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44F1" w14:textId="214DBD20" w:rsidR="000761FD" w:rsidRPr="00714445" w:rsidRDefault="000761FD" w:rsidP="00714445">
      <w:pPr>
        <w:spacing w:after="120"/>
        <w:jc w:val="center"/>
        <w:rPr>
          <w:rFonts w:ascii="Arial" w:eastAsia="Arial" w:hAnsi="Arial"/>
          <w:b/>
          <w:sz w:val="22"/>
          <w:szCs w:val="22"/>
          <w:lang w:val="es-MX"/>
        </w:rPr>
      </w:pPr>
      <w:r w:rsidRPr="00714445">
        <w:rPr>
          <w:rFonts w:ascii="Arial" w:eastAsia="Arial" w:hAnsi="Arial"/>
          <w:b/>
          <w:sz w:val="22"/>
          <w:szCs w:val="22"/>
          <w:lang w:val="es-MX"/>
        </w:rPr>
        <w:t xml:space="preserve">PROGRAMA </w:t>
      </w:r>
      <w:r w:rsidR="00714445" w:rsidRPr="00714445">
        <w:rPr>
          <w:rFonts w:ascii="Arial" w:eastAsia="Arial" w:hAnsi="Arial"/>
          <w:b/>
          <w:sz w:val="22"/>
          <w:szCs w:val="22"/>
          <w:lang w:val="es-MX"/>
        </w:rPr>
        <w:t xml:space="preserve">DE </w:t>
      </w:r>
      <w:r w:rsidR="00714445" w:rsidRPr="00714445">
        <w:rPr>
          <w:rFonts w:ascii="Arial" w:eastAsia="Arial" w:hAnsi="Arial"/>
          <w:b/>
          <w:sz w:val="22"/>
          <w:szCs w:val="22"/>
        </w:rPr>
        <w:t>LA</w:t>
      </w:r>
      <w:r w:rsidR="00EE3E86" w:rsidRPr="00714445">
        <w:rPr>
          <w:rFonts w:ascii="Arial" w:eastAsia="Arial" w:hAnsi="Arial"/>
          <w:b/>
          <w:sz w:val="22"/>
          <w:szCs w:val="22"/>
        </w:rPr>
        <w:t xml:space="preserve"> ENSEÑANZA DE ESTRATEGIAS DE APRENDIZAJE</w:t>
      </w:r>
      <w:r w:rsidRPr="00714445">
        <w:rPr>
          <w:rFonts w:ascii="Arial" w:eastAsia="Arial" w:hAnsi="Arial"/>
          <w:b/>
          <w:sz w:val="22"/>
          <w:szCs w:val="22"/>
          <w:lang w:val="es-MX"/>
        </w:rPr>
        <w:t xml:space="preserve"> ACTUALIZADO PARA V EDICIÓN DE LA MAESTRÍA EN DIDÁCTICA</w:t>
      </w:r>
    </w:p>
    <w:p w14:paraId="34959D12" w14:textId="79822C1C" w:rsidR="00CE2574" w:rsidRPr="00714445" w:rsidRDefault="00CE2574" w:rsidP="00714445">
      <w:pPr>
        <w:spacing w:after="120"/>
        <w:rPr>
          <w:rFonts w:ascii="Arial" w:eastAsia="Arial" w:hAnsi="Arial"/>
          <w:b/>
          <w:sz w:val="22"/>
          <w:szCs w:val="22"/>
        </w:rPr>
      </w:pPr>
      <w:r w:rsidRPr="00714445">
        <w:rPr>
          <w:rFonts w:ascii="Arial" w:eastAsia="Arial" w:hAnsi="Arial"/>
          <w:b/>
          <w:sz w:val="22"/>
          <w:szCs w:val="22"/>
        </w:rPr>
        <w:t>CURSO OBLIGATORIO: LA ENSEÑANZA DE ESTRATEGIAS DE APRENDIZAJE</w:t>
      </w:r>
    </w:p>
    <w:p w14:paraId="0876683B" w14:textId="77777777" w:rsidR="008C5FE9" w:rsidRPr="00714445" w:rsidRDefault="008C5FE9" w:rsidP="00714445">
      <w:pPr>
        <w:spacing w:after="120"/>
        <w:rPr>
          <w:rFonts w:ascii="Arial" w:eastAsia="Arial" w:hAnsi="Arial"/>
          <w:b/>
          <w:sz w:val="22"/>
          <w:szCs w:val="22"/>
        </w:rPr>
      </w:pPr>
      <w:r w:rsidRPr="00714445">
        <w:rPr>
          <w:rFonts w:ascii="Arial" w:eastAsia="Arial" w:hAnsi="Arial"/>
          <w:b/>
          <w:sz w:val="22"/>
          <w:szCs w:val="22"/>
        </w:rPr>
        <w:t xml:space="preserve">IES o centro autorizado:   Universidad de Artemisa “Julio Díaz González” </w:t>
      </w:r>
    </w:p>
    <w:p w14:paraId="41894E57" w14:textId="77777777" w:rsidR="008C5FE9" w:rsidRPr="00714445" w:rsidRDefault="008C5FE9" w:rsidP="00714445">
      <w:pPr>
        <w:spacing w:after="120"/>
        <w:rPr>
          <w:rFonts w:ascii="Arial" w:eastAsia="Arial" w:hAnsi="Arial"/>
          <w:b/>
          <w:sz w:val="22"/>
          <w:szCs w:val="22"/>
        </w:rPr>
      </w:pPr>
      <w:r w:rsidRPr="00714445">
        <w:rPr>
          <w:rFonts w:ascii="Arial" w:eastAsia="Arial" w:hAnsi="Arial"/>
          <w:b/>
          <w:sz w:val="22"/>
          <w:szCs w:val="22"/>
        </w:rPr>
        <w:t xml:space="preserve">Facultad: Ciencias de la Educación </w:t>
      </w:r>
    </w:p>
    <w:p w14:paraId="11E331F9" w14:textId="2D81292F" w:rsidR="000761FD" w:rsidRPr="00714445" w:rsidRDefault="008C5FE9" w:rsidP="00714445">
      <w:pPr>
        <w:spacing w:after="120"/>
        <w:rPr>
          <w:rFonts w:ascii="Arial" w:eastAsia="Arial" w:hAnsi="Arial"/>
          <w:b/>
          <w:sz w:val="22"/>
          <w:szCs w:val="22"/>
        </w:rPr>
      </w:pPr>
      <w:r w:rsidRPr="00714445">
        <w:rPr>
          <w:rFonts w:ascii="Arial" w:eastAsia="Arial" w:hAnsi="Arial"/>
          <w:b/>
          <w:sz w:val="22"/>
          <w:szCs w:val="22"/>
        </w:rPr>
        <w:t>Profesor principal de curso: Alberto González González</w:t>
      </w:r>
    </w:p>
    <w:p w14:paraId="4F15BFB9" w14:textId="13658C6A" w:rsidR="008C5FE9" w:rsidRPr="00714445" w:rsidRDefault="008C5FE9" w:rsidP="00714445">
      <w:pPr>
        <w:spacing w:after="120"/>
        <w:rPr>
          <w:rFonts w:ascii="Arial" w:eastAsia="Arial" w:hAnsi="Arial"/>
          <w:b/>
          <w:sz w:val="22"/>
          <w:szCs w:val="22"/>
        </w:rPr>
      </w:pPr>
      <w:r w:rsidRPr="00714445">
        <w:rPr>
          <w:rFonts w:ascii="Arial" w:eastAsia="Arial" w:hAnsi="Arial"/>
          <w:b/>
          <w:sz w:val="22"/>
          <w:szCs w:val="22"/>
        </w:rPr>
        <w:t xml:space="preserve">E-mail: </w:t>
      </w:r>
      <w:hyperlink r:id="rId5" w:history="1">
        <w:r w:rsidRPr="00714445">
          <w:rPr>
            <w:rStyle w:val="Hipervnculo"/>
            <w:rFonts w:ascii="Arial" w:eastAsiaTheme="minorHAnsi" w:hAnsi="Arial"/>
            <w:b/>
            <w:bCs/>
            <w:kern w:val="2"/>
            <w:sz w:val="22"/>
            <w:szCs w:val="22"/>
            <w:lang w:val="es-MX" w:eastAsia="en-US"/>
            <w14:ligatures w14:val="standardContextual"/>
          </w:rPr>
          <w:t>albeglez0@gmail.com</w:t>
        </w:r>
      </w:hyperlink>
      <w:r w:rsidRPr="00714445">
        <w:rPr>
          <w:rFonts w:ascii="Arial" w:eastAsia="Arial" w:hAnsi="Arial"/>
          <w:b/>
          <w:sz w:val="22"/>
          <w:szCs w:val="22"/>
        </w:rPr>
        <w:t xml:space="preserve"> </w:t>
      </w:r>
    </w:p>
    <w:p w14:paraId="69C1C55B" w14:textId="77777777" w:rsidR="008C5FE9" w:rsidRPr="00714445" w:rsidRDefault="008C5FE9" w:rsidP="00714445">
      <w:pPr>
        <w:spacing w:after="120"/>
        <w:rPr>
          <w:rFonts w:ascii="Arial" w:eastAsia="Arial" w:hAnsi="Arial"/>
          <w:b/>
          <w:sz w:val="22"/>
          <w:szCs w:val="22"/>
          <w:lang w:val="es-MX"/>
        </w:rPr>
      </w:pPr>
      <w:r w:rsidRPr="00714445">
        <w:rPr>
          <w:rFonts w:ascii="Arial" w:eastAsia="Arial" w:hAnsi="Arial"/>
          <w:b/>
          <w:sz w:val="22"/>
          <w:szCs w:val="22"/>
          <w:lang w:val="es-MX"/>
        </w:rPr>
        <w:t xml:space="preserve">Grado científico: Doctor en Ciencias Pedagógicas  </w:t>
      </w:r>
    </w:p>
    <w:p w14:paraId="49BD1803" w14:textId="451125A9" w:rsidR="008C5FE9" w:rsidRPr="00714445" w:rsidRDefault="008C5FE9" w:rsidP="00714445">
      <w:pPr>
        <w:spacing w:after="120"/>
        <w:rPr>
          <w:rFonts w:ascii="Arial" w:eastAsia="Arial" w:hAnsi="Arial"/>
          <w:b/>
          <w:sz w:val="22"/>
          <w:szCs w:val="22"/>
          <w:lang w:val="es-MX"/>
        </w:rPr>
      </w:pPr>
      <w:r w:rsidRPr="00714445">
        <w:rPr>
          <w:rFonts w:ascii="Arial" w:eastAsia="Arial" w:hAnsi="Arial"/>
          <w:b/>
          <w:sz w:val="22"/>
          <w:szCs w:val="22"/>
          <w:lang w:val="es-MX"/>
        </w:rPr>
        <w:t xml:space="preserve">Título académico: Máster en </w:t>
      </w:r>
      <w:r w:rsidR="003B7DC7" w:rsidRPr="00714445">
        <w:rPr>
          <w:rFonts w:ascii="Arial" w:eastAsia="Arial" w:hAnsi="Arial"/>
          <w:b/>
          <w:sz w:val="22"/>
          <w:szCs w:val="22"/>
          <w:lang w:val="es-MX"/>
        </w:rPr>
        <w:t xml:space="preserve">Ciencias </w:t>
      </w:r>
      <w:r w:rsidRPr="00714445">
        <w:rPr>
          <w:rFonts w:ascii="Arial" w:eastAsia="Arial" w:hAnsi="Arial"/>
          <w:b/>
          <w:sz w:val="22"/>
          <w:szCs w:val="22"/>
          <w:lang w:val="es-MX"/>
        </w:rPr>
        <w:t xml:space="preserve">de la Educación </w:t>
      </w:r>
    </w:p>
    <w:p w14:paraId="764F10C4" w14:textId="77777777" w:rsidR="008C5FE9" w:rsidRPr="00714445" w:rsidRDefault="008C5FE9" w:rsidP="00714445">
      <w:pPr>
        <w:spacing w:after="120"/>
        <w:rPr>
          <w:rFonts w:ascii="Arial" w:eastAsia="Arial" w:hAnsi="Arial"/>
          <w:b/>
          <w:sz w:val="22"/>
          <w:szCs w:val="22"/>
          <w:lang w:val="es-MX"/>
        </w:rPr>
      </w:pPr>
      <w:r w:rsidRPr="00714445">
        <w:rPr>
          <w:rFonts w:ascii="Arial" w:eastAsia="Arial" w:hAnsi="Arial"/>
          <w:b/>
          <w:sz w:val="22"/>
          <w:szCs w:val="22"/>
          <w:lang w:val="es-MX"/>
        </w:rPr>
        <w:t>Categoría docente o científica: Profesor Titular</w:t>
      </w:r>
    </w:p>
    <w:p w14:paraId="52431BB3" w14:textId="77777777" w:rsidR="008C5FE9" w:rsidRPr="00714445" w:rsidRDefault="008C5FE9" w:rsidP="00714445">
      <w:pPr>
        <w:spacing w:after="120"/>
        <w:rPr>
          <w:rFonts w:ascii="Arial" w:eastAsia="Arial" w:hAnsi="Arial"/>
          <w:b/>
          <w:sz w:val="22"/>
          <w:szCs w:val="22"/>
          <w:lang w:val="es-MX"/>
        </w:rPr>
      </w:pPr>
      <w:r w:rsidRPr="00714445">
        <w:rPr>
          <w:rFonts w:ascii="Arial" w:eastAsia="Arial" w:hAnsi="Arial"/>
          <w:b/>
          <w:sz w:val="22"/>
          <w:szCs w:val="22"/>
          <w:lang w:val="es-MX"/>
        </w:rPr>
        <w:t xml:space="preserve">Cantidad de créditos académicos: 2 </w:t>
      </w:r>
    </w:p>
    <w:p w14:paraId="05DEB4E7" w14:textId="738A7C77" w:rsidR="008C5FE9" w:rsidRPr="00714445" w:rsidRDefault="008C5FE9" w:rsidP="00714445">
      <w:pPr>
        <w:spacing w:after="120"/>
        <w:rPr>
          <w:rFonts w:ascii="Arial" w:eastAsia="Arial" w:hAnsi="Arial"/>
          <w:b/>
          <w:sz w:val="22"/>
          <w:szCs w:val="22"/>
          <w:lang w:val="es-MX"/>
        </w:rPr>
      </w:pPr>
      <w:r w:rsidRPr="00714445">
        <w:rPr>
          <w:rFonts w:ascii="Arial" w:eastAsia="Arial" w:hAnsi="Arial"/>
          <w:b/>
          <w:sz w:val="22"/>
          <w:szCs w:val="22"/>
          <w:lang w:val="es-MX"/>
        </w:rPr>
        <w:t xml:space="preserve">Modalidad: Tiempo completo </w:t>
      </w:r>
      <w:proofErr w:type="gramStart"/>
      <w:r w:rsidRPr="00714445">
        <w:rPr>
          <w:rFonts w:ascii="Arial" w:eastAsia="Arial" w:hAnsi="Arial"/>
          <w:b/>
          <w:sz w:val="22"/>
          <w:szCs w:val="22"/>
          <w:lang w:val="es-MX"/>
        </w:rPr>
        <w:t>(  )</w:t>
      </w:r>
      <w:proofErr w:type="gramEnd"/>
      <w:r w:rsidRPr="00714445">
        <w:rPr>
          <w:rFonts w:ascii="Arial" w:eastAsia="Arial" w:hAnsi="Arial"/>
          <w:b/>
          <w:sz w:val="22"/>
          <w:szCs w:val="22"/>
          <w:lang w:val="es-MX"/>
        </w:rPr>
        <w:t xml:space="preserve">  Tiempo parcial ( x  )   A distancia (   )</w:t>
      </w:r>
    </w:p>
    <w:p w14:paraId="6AB788DD" w14:textId="59D6B2EF" w:rsidR="00CE2574" w:rsidRPr="00714445" w:rsidRDefault="003B7DC7" w:rsidP="00714445">
      <w:pPr>
        <w:tabs>
          <w:tab w:val="left" w:pos="5440"/>
          <w:tab w:val="left" w:pos="6700"/>
        </w:tabs>
        <w:spacing w:after="120"/>
        <w:rPr>
          <w:rFonts w:ascii="Arial" w:eastAsia="Arial" w:hAnsi="Arial"/>
          <w:b/>
          <w:sz w:val="22"/>
          <w:szCs w:val="22"/>
        </w:rPr>
      </w:pPr>
      <w:r w:rsidRPr="00714445">
        <w:rPr>
          <w:rFonts w:ascii="Arial" w:eastAsia="Arial" w:hAnsi="Arial"/>
          <w:b/>
          <w:sz w:val="22"/>
          <w:szCs w:val="22"/>
        </w:rPr>
        <w:t>JUSTIFICACIÓN</w:t>
      </w:r>
    </w:p>
    <w:p w14:paraId="4CD781DE" w14:textId="2E1D39D9"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 </w:t>
      </w:r>
      <w:r w:rsidRPr="00714445">
        <w:rPr>
          <w:rFonts w:ascii="Arial" w:hAnsi="Arial" w:cs="Arial"/>
          <w:sz w:val="22"/>
          <w:szCs w:val="22"/>
          <w:shd w:val="clear" w:color="auto" w:fill="FFFFFF"/>
        </w:rPr>
        <w:t>La educación superior enfrenta desafíos sin precedentes en un mundo globalizado y en constante cambio. Por lo tanto, se vuelve imperativo desarrollar un programa de posgrado que no solo forme profesionales en el ámbito del conocimiento, sino que también les brinde herramientas efectivas para fomentar el aprendizaje en sus contextos educativos. El enfoque en </w:t>
      </w:r>
      <w:r w:rsidRPr="00714445">
        <w:rPr>
          <w:rStyle w:val="Textoennegrita"/>
          <w:rFonts w:ascii="Arial" w:hAnsi="Arial" w:cs="Arial"/>
          <w:b w:val="0"/>
          <w:bCs w:val="0"/>
          <w:sz w:val="22"/>
          <w:szCs w:val="22"/>
          <w:shd w:val="clear" w:color="auto" w:fill="FFFFFF"/>
        </w:rPr>
        <w:t>estrategias de enseñanza y aprendizaje</w:t>
      </w:r>
      <w:r w:rsidRPr="00714445">
        <w:rPr>
          <w:rFonts w:ascii="Arial" w:hAnsi="Arial" w:cs="Arial"/>
          <w:sz w:val="22"/>
          <w:szCs w:val="22"/>
          <w:shd w:val="clear" w:color="auto" w:fill="FFFFFF"/>
        </w:rPr>
        <w:t> es crucial, dado que estas estrategias son fundamentales para mejorar el proceso de aprendizaje y adaptarse a las necesidades y características de los estudiantes.</w:t>
      </w:r>
    </w:p>
    <w:p w14:paraId="4CB25AE1" w14:textId="029E0635"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Las </w:t>
      </w:r>
      <w:r w:rsidRPr="00714445">
        <w:rPr>
          <w:rStyle w:val="Textoennegrita"/>
          <w:rFonts w:ascii="Arial" w:hAnsi="Arial" w:cs="Arial"/>
          <w:b w:val="0"/>
          <w:bCs w:val="0"/>
          <w:sz w:val="22"/>
          <w:szCs w:val="22"/>
        </w:rPr>
        <w:t>estrategias de aprendizaje</w:t>
      </w:r>
      <w:r w:rsidRPr="00714445">
        <w:rPr>
          <w:rFonts w:ascii="Arial" w:hAnsi="Arial" w:cs="Arial"/>
          <w:sz w:val="22"/>
          <w:szCs w:val="22"/>
        </w:rPr>
        <w:t> se refieren a los métodos y técnicas empleadas por los estudiantes para facilitar su proceso de aprendizaje, optimizando así la asimilación y aplicación del conocimiento. Se pueden clasificar en diversas categorías, como estrategias cognitivas, metacognitivas, sociales y de gestión del tiempo. La enseñanza de estas estrategias es crucial, especialmente en virtud de la diversidad de estilos de aprendizaje presentes en los estudiantes contemporáneos, así como de las complejidades que enfrentan en un mundo caracterizado por cambios rápidos y constantes. En este sentido, los docentes no solo deben impartir conocimientos, sino también equipar a sus estudiantes con herramientas que les permitan aprender a aprender, desarrollando así la autonomía y la motivación intrínseca para el estudio.</w:t>
      </w:r>
    </w:p>
    <w:p w14:paraId="71553C9B"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Las concepciones teóricas que sustentan esta enseñanza de estrategias de aprendizaje incluyen enfoques cognitivos, constructivistas y socio-culturales. Desde la perspectiva cognitiva, es esencial entender cómo procesamos y organizamos la información, mientras que el enfoque constructivista enfatiza la importancia del aprendizaje significativo que se construye a partir de experiencias previas y la interacción con el entorno. El marco socio-cultural, por su parte, subraya la influencia del contexto social y cultural en el aprendizaje, mostrando cómo la interacción con otros puede enriquecer y diversificar el proceso educativo. De este modo, el diseño de estrategias de aprendizaje debe considerar estos marcos teóricos para estimular la actividad cognoscitiva de los estudiantes, fomentando no solo la adquisición de información, sino también el desarrollo de competencias críticas que les permitan enfrentar los desafíos del siglo XXI.</w:t>
      </w:r>
    </w:p>
    <w:p w14:paraId="6E030276"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El diseño de estas estrategias debe responder también a las tendencias actuales en didáctica, que abarcan la integración de las Tecnologías de la Información y la Comunicación (TIC) en el aula. Las TIC no solo son herramientas para el acceso a la información, sino que ofrecen plataformas para la colaboración, la creación y la innovación. Incorporar las TIC en el diseño de estrategias de aprendizaje permite a los estudiantes interactuar con los contenidos de maneras diversas, adaptando el aprendizaje a sus necesidades, intereses y estilos. Además, las TIC facilitan el aprendizaje colaborativo mediante herramientas como foros, wikis y plataformas de videoconferencia, que rompen barreras de tiempo y espacio, promoviendo una interacción rica y constante.</w:t>
      </w:r>
    </w:p>
    <w:p w14:paraId="04826853"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A medida que se avanza en el desarrollo de un programa de posgrado que promueva estas estrategias de aprendizaje, es crucial destacar competencias específicas que son especialmente relevantes en el contexto educativo actual. Por ejemplo, la promoción del </w:t>
      </w:r>
      <w:r w:rsidRPr="00714445">
        <w:rPr>
          <w:rStyle w:val="Textoennegrita"/>
          <w:rFonts w:ascii="Arial" w:hAnsi="Arial" w:cs="Arial"/>
          <w:b w:val="0"/>
          <w:bCs w:val="0"/>
          <w:sz w:val="22"/>
          <w:szCs w:val="22"/>
        </w:rPr>
        <w:t>pensamiento crítico</w:t>
      </w:r>
      <w:r w:rsidRPr="00714445">
        <w:rPr>
          <w:rFonts w:ascii="Arial" w:hAnsi="Arial" w:cs="Arial"/>
          <w:b/>
          <w:bCs/>
          <w:sz w:val="22"/>
          <w:szCs w:val="22"/>
        </w:rPr>
        <w:t> </w:t>
      </w:r>
      <w:r w:rsidRPr="00714445">
        <w:rPr>
          <w:rFonts w:ascii="Arial" w:hAnsi="Arial" w:cs="Arial"/>
          <w:sz w:val="22"/>
          <w:szCs w:val="22"/>
        </w:rPr>
        <w:t>y la</w:t>
      </w:r>
      <w:r w:rsidRPr="00714445">
        <w:rPr>
          <w:rFonts w:ascii="Arial" w:hAnsi="Arial" w:cs="Arial"/>
          <w:b/>
          <w:bCs/>
          <w:sz w:val="22"/>
          <w:szCs w:val="22"/>
        </w:rPr>
        <w:t> </w:t>
      </w:r>
      <w:r w:rsidRPr="00714445">
        <w:rPr>
          <w:rStyle w:val="Textoennegrita"/>
          <w:rFonts w:ascii="Arial" w:hAnsi="Arial" w:cs="Arial"/>
          <w:b w:val="0"/>
          <w:bCs w:val="0"/>
          <w:sz w:val="22"/>
          <w:szCs w:val="22"/>
        </w:rPr>
        <w:t>resolución de problemas</w:t>
      </w:r>
      <w:r w:rsidRPr="00714445">
        <w:rPr>
          <w:rFonts w:ascii="Arial" w:hAnsi="Arial" w:cs="Arial"/>
          <w:sz w:val="22"/>
          <w:szCs w:val="22"/>
        </w:rPr>
        <w:t> es fundamental; estas habilidades permiten a los estudiantes analizar problemas complejos de manera efectiva y proponer soluciones innovadoras. En un entorno cada vez más interconectado y lleno de información, la capacidad de discernir y evaluar críticamente los datos es una competencia esencial. Además, la </w:t>
      </w:r>
      <w:r w:rsidRPr="00714445">
        <w:rPr>
          <w:rStyle w:val="Textoennegrita"/>
          <w:rFonts w:ascii="Arial" w:hAnsi="Arial" w:cs="Arial"/>
          <w:b w:val="0"/>
          <w:bCs w:val="0"/>
          <w:sz w:val="22"/>
          <w:szCs w:val="22"/>
        </w:rPr>
        <w:t>creatividad</w:t>
      </w:r>
      <w:r w:rsidRPr="00714445">
        <w:rPr>
          <w:rFonts w:ascii="Arial" w:hAnsi="Arial" w:cs="Arial"/>
          <w:sz w:val="22"/>
          <w:szCs w:val="22"/>
        </w:rPr>
        <w:t xml:space="preserve"> y </w:t>
      </w:r>
      <w:r w:rsidRPr="00714445">
        <w:rPr>
          <w:rFonts w:ascii="Arial" w:hAnsi="Arial" w:cs="Arial"/>
          <w:sz w:val="22"/>
          <w:szCs w:val="22"/>
        </w:rPr>
        <w:lastRenderedPageBreak/>
        <w:t>la </w:t>
      </w:r>
      <w:r w:rsidRPr="00714445">
        <w:rPr>
          <w:rStyle w:val="Textoennegrita"/>
          <w:rFonts w:ascii="Arial" w:hAnsi="Arial" w:cs="Arial"/>
          <w:b w:val="0"/>
          <w:bCs w:val="0"/>
          <w:sz w:val="22"/>
          <w:szCs w:val="22"/>
        </w:rPr>
        <w:t>innovación</w:t>
      </w:r>
      <w:r w:rsidRPr="00714445">
        <w:rPr>
          <w:rFonts w:ascii="Arial" w:hAnsi="Arial" w:cs="Arial"/>
          <w:sz w:val="22"/>
          <w:szCs w:val="22"/>
        </w:rPr>
        <w:t> deben ser estimuladas en todas las áreas del aprendizaje, siendo vital preparar a los estudiantes no solo para adaptarse al cambio, sino para ser agentes de cambio en sus respectivas comunidades y profesiones.</w:t>
      </w:r>
    </w:p>
    <w:p w14:paraId="19E8EA95"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Otro aspecto crítico es la </w:t>
      </w:r>
      <w:r w:rsidRPr="00714445">
        <w:rPr>
          <w:rStyle w:val="Textoennegrita"/>
          <w:rFonts w:ascii="Arial" w:hAnsi="Arial" w:cs="Arial"/>
          <w:b w:val="0"/>
          <w:bCs w:val="0"/>
          <w:sz w:val="22"/>
          <w:szCs w:val="22"/>
        </w:rPr>
        <w:t>colaboración y el trabajo en equipo</w:t>
      </w:r>
      <w:r w:rsidRPr="00714445">
        <w:rPr>
          <w:rFonts w:ascii="Arial" w:hAnsi="Arial" w:cs="Arial"/>
          <w:sz w:val="22"/>
          <w:szCs w:val="22"/>
        </w:rPr>
        <w:t>, habilidades que son cada vez más demandadas por el mercado laboral. Aprender a trabajar en equipo y colaborar de manera efectiva no solo mejora la dinámica grupal, sino que también permite a los estudiantes adquirir diferentes perspectivas y enriquecer su proceso de aprendizaje. Igualmente, la </w:t>
      </w:r>
      <w:r w:rsidRPr="00714445">
        <w:rPr>
          <w:rStyle w:val="Textoennegrita"/>
          <w:rFonts w:ascii="Arial" w:hAnsi="Arial" w:cs="Arial"/>
          <w:b w:val="0"/>
          <w:bCs w:val="0"/>
          <w:sz w:val="22"/>
          <w:szCs w:val="22"/>
        </w:rPr>
        <w:t>comunicación efectiva</w:t>
      </w:r>
      <w:r w:rsidRPr="00714445">
        <w:rPr>
          <w:rFonts w:ascii="Arial" w:hAnsi="Arial" w:cs="Arial"/>
          <w:sz w:val="22"/>
          <w:szCs w:val="22"/>
        </w:rPr>
        <w:t>, tanto oral como escrita, es una competencia que trasciende las disciplinas y que se convierte en un requisito fundamental para el éxito profesional y personal en cualquier ámbito. La forma en que los estudiantes expresan sus ideas y se comunican con otros impacta directamente en su capacidad para influir y liderar.</w:t>
      </w:r>
    </w:p>
    <w:p w14:paraId="177C12F9"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En un mundo digitalizado, la </w:t>
      </w:r>
      <w:r w:rsidRPr="00714445">
        <w:rPr>
          <w:rStyle w:val="Textoennegrita"/>
          <w:rFonts w:ascii="Arial" w:hAnsi="Arial" w:cs="Arial"/>
          <w:b w:val="0"/>
          <w:bCs w:val="0"/>
          <w:sz w:val="22"/>
          <w:szCs w:val="22"/>
        </w:rPr>
        <w:t>alfabetización digital</w:t>
      </w:r>
      <w:r w:rsidRPr="00714445">
        <w:rPr>
          <w:rFonts w:ascii="Arial" w:hAnsi="Arial" w:cs="Arial"/>
          <w:sz w:val="22"/>
          <w:szCs w:val="22"/>
        </w:rPr>
        <w:t> se ha convertido en un pilar en la educación contemporánea. Enseñar a los estudiantes a utilizar la tecnología de manera responsable y efectiva no solo amplía sus horizontes, sino que también fomenta una utilización crítica de las herramientas disponibles. Esta alfabetización implica no solo el manejo técnico de los dispositivos digitales, sino también el desarrollo de una mentalidad crítica hacia la información que consumen, promoviendo una ciudadanía informada y activa en la era digital.</w:t>
      </w:r>
    </w:p>
    <w:p w14:paraId="0DF0A0D1"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Un componente innovador y transformador que merece atención especial dentro de este programa es el uso de la </w:t>
      </w:r>
      <w:r w:rsidRPr="00714445">
        <w:rPr>
          <w:rStyle w:val="Textoennegrita"/>
          <w:rFonts w:ascii="Arial" w:hAnsi="Arial" w:cs="Arial"/>
          <w:b w:val="0"/>
          <w:bCs w:val="0"/>
          <w:sz w:val="22"/>
          <w:szCs w:val="22"/>
        </w:rPr>
        <w:t>inteligencia artificial (IA)</w:t>
      </w:r>
      <w:r w:rsidRPr="00714445">
        <w:rPr>
          <w:rFonts w:ascii="Arial" w:hAnsi="Arial" w:cs="Arial"/>
          <w:sz w:val="22"/>
          <w:szCs w:val="22"/>
        </w:rPr>
        <w:t> como estrategia de enseñanza y aprendizaje. La IA ofrece múltiples oportunidades para personalizar y mejorar la experiencia educativa. Por un lado, sistemas basados en IA pueden analizar el progreso de los estudiantes, identificar sus fortalezas y debilidades, y ofrecer recomendaciones personalizadas sobre estrategias de aprendizaje efectivas que se alineen con sus necesidades específicas.</w:t>
      </w:r>
    </w:p>
    <w:p w14:paraId="63563AE7"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Además, la IA puede facilitar el aprendizaje adaptativo en tiempo real. A medida que los estudiantes interactúan con los materiales educativos y las actividades en línea, los algoritmos de IA pueden ajustar el nivel de dificultad y el tipo de contenido presentado, asegurando que cada estudiante se enfrente a desafíos adecuados que fomenten su desarrollo intelectual sin caer en la frustración.</w:t>
      </w:r>
    </w:p>
    <w:p w14:paraId="7E1EACF8"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Los asistentes virtuales impulsados por inteligencia artificial también pueden mejorar el acceso a la información, proporcionando respuestas inmediatas a preguntas y facilitando la interacción con los recursos de aprendizaje. Esto brinda a los estudiantes un soporte constante que puede complementar el trabajo de los educadores y fomentar un aprendizaje más autónomo.</w:t>
      </w:r>
    </w:p>
    <w:p w14:paraId="79DEAC5D"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 xml:space="preserve">Finalmente, la IA no solo transforma la enseñanza a nivel individual, sino que también puede fomentar la colaboración entre los estudiantes. Plataformas basadas en IA pueden conectar a estudiantes con intereses y habilidades similares, promoviendo proyectos conjuntos y aprendizaje colaborativo. </w:t>
      </w:r>
      <w:r w:rsidRPr="00714445">
        <w:rPr>
          <w:rFonts w:ascii="Arial" w:hAnsi="Arial" w:cs="Arial"/>
          <w:sz w:val="22"/>
          <w:szCs w:val="22"/>
          <w:shd w:val="clear" w:color="auto" w:fill="FFFFFF"/>
        </w:rPr>
        <w:t>Este enfoque también alinea con las habilidades del siglo XXI, como la colaboración, la resolución de problemas y la comunicación efectiva.</w:t>
      </w:r>
    </w:p>
    <w:p w14:paraId="6E8758CE"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Promover una </w:t>
      </w:r>
      <w:r w:rsidRPr="00714445">
        <w:rPr>
          <w:rStyle w:val="Textoennegrita"/>
          <w:rFonts w:ascii="Arial" w:hAnsi="Arial" w:cs="Arial"/>
          <w:b w:val="0"/>
          <w:bCs w:val="0"/>
          <w:sz w:val="22"/>
          <w:szCs w:val="22"/>
        </w:rPr>
        <w:t>mentalidad de aprendizaje permanente</w:t>
      </w:r>
      <w:r w:rsidRPr="00714445">
        <w:rPr>
          <w:rFonts w:ascii="Arial" w:hAnsi="Arial" w:cs="Arial"/>
          <w:sz w:val="22"/>
          <w:szCs w:val="22"/>
        </w:rPr>
        <w:t> es otra de las exigencias más significativas del siglo XXI. A medida que la velocidad del cambio en el conocimiento y la tecnología continúa acelerándose, los estudiantes deben adoptar una actitud de aprendizaje continuo a lo largo de su vida. Esto implica cultivar hábitos de autodisciplina, curiosidad intelectual y resiliencia ante el fracaso, así como la capacidad de adaptarse a nuevas realidades laborales y sociales.</w:t>
      </w:r>
    </w:p>
    <w:p w14:paraId="5966BBC3"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La </w:t>
      </w:r>
      <w:r w:rsidRPr="00714445">
        <w:rPr>
          <w:rStyle w:val="Textoennegrita"/>
          <w:rFonts w:ascii="Arial" w:hAnsi="Arial" w:cs="Arial"/>
          <w:b w:val="0"/>
          <w:bCs w:val="0"/>
          <w:sz w:val="22"/>
          <w:szCs w:val="22"/>
        </w:rPr>
        <w:t>inclusión</w:t>
      </w:r>
      <w:r w:rsidRPr="00714445">
        <w:rPr>
          <w:rFonts w:ascii="Arial" w:hAnsi="Arial" w:cs="Arial"/>
          <w:sz w:val="22"/>
          <w:szCs w:val="22"/>
        </w:rPr>
        <w:t> y la </w:t>
      </w:r>
      <w:r w:rsidRPr="00714445">
        <w:rPr>
          <w:rStyle w:val="Textoennegrita"/>
          <w:rFonts w:ascii="Arial" w:hAnsi="Arial" w:cs="Arial"/>
          <w:b w:val="0"/>
          <w:bCs w:val="0"/>
          <w:sz w:val="22"/>
          <w:szCs w:val="22"/>
        </w:rPr>
        <w:t>diversidad</w:t>
      </w:r>
      <w:r w:rsidRPr="00714445">
        <w:rPr>
          <w:rFonts w:ascii="Arial" w:hAnsi="Arial" w:cs="Arial"/>
          <w:sz w:val="22"/>
          <w:szCs w:val="22"/>
        </w:rPr>
        <w:t> son otros principios que deben estar presentes en la enseñanza de estrategias de aprendizaje. En un mundo globalizado, los estudiantes provienen de diversos contextos culturales y sociales. Fomentar el respeto y la inclusión para todas las personas, independientemente de sus diferencias, no solo enriquece el entorno educativo, sino que también prepara a los estudiantes para interactuar con un mundo diversas en sus futuras carreras.</w:t>
      </w:r>
    </w:p>
    <w:p w14:paraId="553E1B74"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Asimismo, la </w:t>
      </w:r>
      <w:r w:rsidRPr="00714445">
        <w:rPr>
          <w:rStyle w:val="Textoennegrita"/>
          <w:rFonts w:ascii="Arial" w:hAnsi="Arial" w:cs="Arial"/>
          <w:b w:val="0"/>
          <w:bCs w:val="0"/>
          <w:sz w:val="22"/>
          <w:szCs w:val="22"/>
        </w:rPr>
        <w:t>responsabilidad social y ética</w:t>
      </w:r>
      <w:r w:rsidRPr="00714445">
        <w:rPr>
          <w:rFonts w:ascii="Arial" w:hAnsi="Arial" w:cs="Arial"/>
          <w:sz w:val="22"/>
          <w:szCs w:val="22"/>
        </w:rPr>
        <w:t> debe ser un componente fundamental del currículo. Educar a los estudiantes sobre la importancia de actuar de manera ética y de considerar el impacto social de sus decisiones es esencial para formar ciudadanos comprometidos y responsables. Esto puede incluir discusiones sobre la sostenibilidad, la justicia social y la ética profesional en diversas disciplinas.</w:t>
      </w:r>
    </w:p>
    <w:p w14:paraId="4AB01565"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Finalmente, es indispensable poner atención en la </w:t>
      </w:r>
      <w:r w:rsidRPr="00714445">
        <w:rPr>
          <w:rStyle w:val="Textoennegrita"/>
          <w:rFonts w:ascii="Arial" w:hAnsi="Arial" w:cs="Arial"/>
          <w:b w:val="0"/>
          <w:bCs w:val="0"/>
          <w:sz w:val="22"/>
          <w:szCs w:val="22"/>
        </w:rPr>
        <w:t>salud mental y emocional</w:t>
      </w:r>
      <w:r w:rsidRPr="00714445">
        <w:rPr>
          <w:rFonts w:ascii="Arial" w:hAnsi="Arial" w:cs="Arial"/>
          <w:sz w:val="22"/>
          <w:szCs w:val="22"/>
        </w:rPr>
        <w:t> de los estudiantes. Crear un entorno de aprendizaje que priorice el bienestar mental no solo mejora el rendimiento académico, sino que también fomenta un clima escolar positivo, donde los estudiantes se sientan seguros y apoyados. La promoción de la salud mental puede incluir la enseñanza de habilidades de afrontamiento, la creación de redes de apoyo entre pares y la concienciación sobre la importancia de cuidar la salud emocional.</w:t>
      </w:r>
    </w:p>
    <w:p w14:paraId="60319EE1" w14:textId="77777777" w:rsidR="003B7DC7" w:rsidRPr="00714445" w:rsidRDefault="003B7DC7"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lastRenderedPageBreak/>
        <w:t>A través de estas diversas dimensiones, el programa de posgrado puede aspirar a formar un perfil profesional que no solo esté preparado para enfrentar los retos del siglo XXI, sino que también sea capaz de contribuir de manera efectiva al desarrollo de sus comunidades, fomentando el aprendizaje continuo, la innovación y la responsabilidad social. En este contexto, la implementación de estrategias de enseñanza y aprendizaje que respondan a estas necesidades permitirá generar un impacto significativo en la formación de los futuros líderes y profesionales</w:t>
      </w:r>
    </w:p>
    <w:p w14:paraId="40893CA2" w14:textId="77777777" w:rsidR="003B7DC7" w:rsidRPr="00714445" w:rsidRDefault="003B7DC7" w:rsidP="00714445">
      <w:pPr>
        <w:tabs>
          <w:tab w:val="left" w:pos="5440"/>
          <w:tab w:val="left" w:pos="6700"/>
        </w:tabs>
        <w:spacing w:after="120"/>
        <w:rPr>
          <w:rFonts w:ascii="Arial" w:eastAsia="Arial" w:hAnsi="Arial"/>
          <w:b/>
          <w:sz w:val="22"/>
          <w:szCs w:val="22"/>
          <w:lang w:val="es-CU"/>
        </w:rPr>
      </w:pPr>
      <w:r w:rsidRPr="00714445">
        <w:rPr>
          <w:rFonts w:ascii="Arial" w:eastAsia="Arial" w:hAnsi="Arial"/>
          <w:b/>
          <w:sz w:val="22"/>
          <w:szCs w:val="22"/>
          <w:lang w:val="es-CU"/>
        </w:rPr>
        <w:t>ESTUDIANTES</w:t>
      </w:r>
    </w:p>
    <w:p w14:paraId="6BE7F8E7" w14:textId="77777777" w:rsidR="003B7DC7" w:rsidRPr="00714445" w:rsidRDefault="003B7DC7" w:rsidP="00714445">
      <w:pPr>
        <w:tabs>
          <w:tab w:val="left" w:pos="5440"/>
          <w:tab w:val="left" w:pos="6700"/>
        </w:tabs>
        <w:spacing w:after="120"/>
        <w:rPr>
          <w:rFonts w:ascii="Arial" w:eastAsia="Arial" w:hAnsi="Arial"/>
          <w:bCs/>
          <w:sz w:val="22"/>
          <w:szCs w:val="22"/>
          <w:lang w:val="es-CU"/>
        </w:rPr>
      </w:pPr>
      <w:r w:rsidRPr="00714445">
        <w:rPr>
          <w:rFonts w:ascii="Arial" w:eastAsia="Arial" w:hAnsi="Arial"/>
          <w:bCs/>
          <w:sz w:val="22"/>
          <w:szCs w:val="22"/>
          <w:lang w:val="es-CU"/>
        </w:rPr>
        <w:t>El ingreso de estudiantes a este curso de Taller de Tesis I podrá efectuarse automáticamente si el maestrando ha cursado y aprobado cada uno de los cursos concebidos para el diplomado I de la Maestría en Didáctica.</w:t>
      </w:r>
    </w:p>
    <w:p w14:paraId="11B15F4C" w14:textId="23B03B0F" w:rsidR="00CE2574" w:rsidRPr="00714445" w:rsidRDefault="006F2B2F" w:rsidP="00714445">
      <w:pPr>
        <w:tabs>
          <w:tab w:val="left" w:pos="5440"/>
          <w:tab w:val="left" w:pos="6700"/>
        </w:tabs>
        <w:spacing w:after="120"/>
        <w:rPr>
          <w:rFonts w:ascii="Arial" w:eastAsia="Arial" w:hAnsi="Arial"/>
          <w:b/>
          <w:sz w:val="22"/>
          <w:szCs w:val="22"/>
          <w:lang w:val="es-CU"/>
        </w:rPr>
      </w:pPr>
      <w:r w:rsidRPr="00714445">
        <w:rPr>
          <w:rFonts w:ascii="Arial" w:eastAsia="Times New Roman" w:hAnsi="Arial"/>
          <w:b/>
          <w:bCs/>
          <w:sz w:val="22"/>
          <w:szCs w:val="22"/>
        </w:rPr>
        <w:t>OBJETIVO GENERAL DEL CURSO</w:t>
      </w:r>
    </w:p>
    <w:p w14:paraId="081BB1F6" w14:textId="00ACA4F4" w:rsidR="007D0227" w:rsidRPr="00714445" w:rsidRDefault="007D0227" w:rsidP="00714445">
      <w:pPr>
        <w:spacing w:after="120"/>
        <w:jc w:val="both"/>
        <w:rPr>
          <w:rFonts w:ascii="Arial" w:eastAsia="Times New Roman" w:hAnsi="Arial"/>
          <w:sz w:val="22"/>
          <w:szCs w:val="22"/>
        </w:rPr>
      </w:pPr>
      <w:r w:rsidRPr="00714445">
        <w:rPr>
          <w:rFonts w:ascii="Arial" w:eastAsia="Times New Roman" w:hAnsi="Arial"/>
          <w:sz w:val="22"/>
          <w:szCs w:val="22"/>
        </w:rPr>
        <w:t>Desarrollar competencias profesionales en la implementación y diseño de estrategias de enseñanza</w:t>
      </w:r>
      <w:r w:rsidR="008929EF" w:rsidRPr="00714445">
        <w:rPr>
          <w:rFonts w:ascii="Arial" w:eastAsia="Times New Roman" w:hAnsi="Arial"/>
          <w:sz w:val="22"/>
          <w:szCs w:val="22"/>
        </w:rPr>
        <w:t>-</w:t>
      </w:r>
      <w:r w:rsidRPr="00714445">
        <w:rPr>
          <w:rFonts w:ascii="Arial" w:eastAsia="Times New Roman" w:hAnsi="Arial"/>
          <w:sz w:val="22"/>
          <w:szCs w:val="22"/>
        </w:rPr>
        <w:t>aprendizaje efectivas, mediante la integración de teorías educativas, la identificación de diferentes tipos de estrategias de aprendizaje, y el uso innovador de las Tecnologías de la Información y la Comunicación (TIC), con el fin de fomentar la estimulación cognitiva y el aprendizaje autónomo en diversos contextos educativos.</w:t>
      </w:r>
      <w:r w:rsidR="008929EF" w:rsidRPr="00714445">
        <w:rPr>
          <w:rFonts w:ascii="Arial" w:eastAsia="Times New Roman" w:hAnsi="Arial"/>
          <w:sz w:val="22"/>
          <w:szCs w:val="22"/>
        </w:rPr>
        <w:t xml:space="preserve"> </w:t>
      </w:r>
    </w:p>
    <w:p w14:paraId="0E7E6753" w14:textId="09ACC301" w:rsidR="003B7DC7" w:rsidRPr="00714445" w:rsidRDefault="006F2B2F" w:rsidP="00714445">
      <w:pPr>
        <w:spacing w:after="120"/>
        <w:rPr>
          <w:rFonts w:ascii="Arial" w:eastAsia="Times New Roman" w:hAnsi="Arial"/>
          <w:b/>
          <w:bCs/>
          <w:sz w:val="22"/>
          <w:szCs w:val="22"/>
        </w:rPr>
      </w:pPr>
      <w:r w:rsidRPr="00714445">
        <w:rPr>
          <w:rFonts w:ascii="Arial" w:eastAsia="Times New Roman" w:hAnsi="Arial"/>
          <w:b/>
          <w:bCs/>
          <w:sz w:val="22"/>
          <w:szCs w:val="22"/>
        </w:rPr>
        <w:t>CONTENIDOS</w:t>
      </w:r>
    </w:p>
    <w:p w14:paraId="5DFB14EC" w14:textId="752479FE" w:rsidR="00CE2574" w:rsidRPr="00714445" w:rsidRDefault="006F2B2F" w:rsidP="00714445">
      <w:pPr>
        <w:pStyle w:val="Prrafodelista"/>
        <w:numPr>
          <w:ilvl w:val="0"/>
          <w:numId w:val="4"/>
        </w:numPr>
        <w:spacing w:after="120"/>
        <w:rPr>
          <w:rFonts w:ascii="Arial" w:eastAsia="Arial" w:hAnsi="Arial"/>
          <w:b/>
          <w:sz w:val="22"/>
          <w:szCs w:val="22"/>
        </w:rPr>
      </w:pPr>
      <w:r w:rsidRPr="00714445">
        <w:rPr>
          <w:rFonts w:ascii="Arial" w:eastAsia="Arial" w:hAnsi="Arial"/>
          <w:b/>
          <w:sz w:val="22"/>
          <w:szCs w:val="22"/>
        </w:rPr>
        <w:t>SISTEMA DE CONOCIMIENTOS</w:t>
      </w:r>
    </w:p>
    <w:p w14:paraId="266794C9" w14:textId="77777777" w:rsidR="008929EF" w:rsidRPr="00714445" w:rsidRDefault="00CE2574" w:rsidP="00714445">
      <w:pPr>
        <w:spacing w:after="120"/>
        <w:jc w:val="both"/>
        <w:rPr>
          <w:rFonts w:ascii="Arial" w:eastAsia="Times New Roman" w:hAnsi="Arial"/>
          <w:sz w:val="22"/>
          <w:szCs w:val="22"/>
        </w:rPr>
      </w:pPr>
      <w:r w:rsidRPr="00714445">
        <w:rPr>
          <w:rFonts w:ascii="Arial" w:eastAsia="Arial" w:hAnsi="Arial"/>
          <w:sz w:val="22"/>
          <w:szCs w:val="22"/>
        </w:rPr>
        <w:t>Estrategias de enseñanza y aprendizaje. Tipos de estrategias de aprendizaje. Necesidad de la enseñanza de estrategias de aprendizaje. Concepciones teóricas que sustentan las estrategias de aprendizaje. Diseño de estrategias de aprendizaje que favorezcan la estimulación de la actividad cognoscitiva de los estudiantes. Las Tecnologías de la Información y la Comunicación en el desarrollo de estrategias de aprendizaje.</w:t>
      </w:r>
      <w:r w:rsidR="008929EF" w:rsidRPr="00714445">
        <w:rPr>
          <w:rFonts w:ascii="Arial" w:eastAsia="Arial" w:hAnsi="Arial"/>
          <w:sz w:val="22"/>
          <w:szCs w:val="22"/>
        </w:rPr>
        <w:t xml:space="preserve"> </w:t>
      </w:r>
      <w:r w:rsidR="008929EF" w:rsidRPr="00714445">
        <w:rPr>
          <w:rFonts w:ascii="Arial" w:hAnsi="Arial"/>
          <w:sz w:val="22"/>
          <w:szCs w:val="22"/>
        </w:rPr>
        <w:t>El uso de la </w:t>
      </w:r>
      <w:r w:rsidR="008929EF" w:rsidRPr="00714445">
        <w:rPr>
          <w:rStyle w:val="Textoennegrita"/>
          <w:rFonts w:ascii="Arial" w:hAnsi="Arial"/>
          <w:b w:val="0"/>
          <w:bCs w:val="0"/>
          <w:sz w:val="22"/>
          <w:szCs w:val="22"/>
        </w:rPr>
        <w:t>inteligencia artificial (IA)</w:t>
      </w:r>
    </w:p>
    <w:p w14:paraId="72FC79A5" w14:textId="4B39F63E" w:rsidR="00CE2574" w:rsidRPr="00714445" w:rsidRDefault="007C09C9" w:rsidP="00714445">
      <w:pPr>
        <w:pStyle w:val="Prrafodelista"/>
        <w:numPr>
          <w:ilvl w:val="0"/>
          <w:numId w:val="4"/>
        </w:numPr>
        <w:spacing w:after="120"/>
        <w:rPr>
          <w:rFonts w:ascii="Arial" w:eastAsia="Arial" w:hAnsi="Arial"/>
          <w:b/>
          <w:sz w:val="22"/>
          <w:szCs w:val="22"/>
        </w:rPr>
      </w:pPr>
      <w:bookmarkStart w:id="0" w:name="page48"/>
      <w:bookmarkEnd w:id="0"/>
      <w:r w:rsidRPr="00714445">
        <w:rPr>
          <w:rFonts w:ascii="Arial" w:eastAsia="Arial" w:hAnsi="Arial"/>
          <w:b/>
          <w:sz w:val="22"/>
          <w:szCs w:val="22"/>
        </w:rPr>
        <w:t>SISTEMA DE HABILIDADES</w:t>
      </w:r>
    </w:p>
    <w:p w14:paraId="01ABC18A" w14:textId="77777777" w:rsidR="00CE2574" w:rsidRPr="00714445" w:rsidRDefault="00CE2574" w:rsidP="00714445">
      <w:pPr>
        <w:spacing w:after="120"/>
        <w:jc w:val="both"/>
        <w:rPr>
          <w:rFonts w:ascii="Arial" w:eastAsia="Arial" w:hAnsi="Arial"/>
          <w:sz w:val="22"/>
          <w:szCs w:val="22"/>
        </w:rPr>
      </w:pPr>
      <w:r w:rsidRPr="00714445">
        <w:rPr>
          <w:rFonts w:ascii="Arial" w:eastAsia="Arial" w:hAnsi="Arial"/>
          <w:sz w:val="22"/>
          <w:szCs w:val="22"/>
        </w:rPr>
        <w:t>Fundamentar de forma teórica, metodológica y práctica la enseñanza de estrategias de aprendizaje.</w:t>
      </w:r>
    </w:p>
    <w:p w14:paraId="089D05DB" w14:textId="77777777" w:rsidR="00CE2574" w:rsidRPr="00714445" w:rsidRDefault="00CE2574" w:rsidP="00714445">
      <w:pPr>
        <w:spacing w:after="120"/>
        <w:jc w:val="both"/>
        <w:rPr>
          <w:rFonts w:ascii="Arial" w:eastAsia="Arial" w:hAnsi="Arial"/>
          <w:sz w:val="22"/>
          <w:szCs w:val="22"/>
        </w:rPr>
      </w:pPr>
      <w:r w:rsidRPr="00714445">
        <w:rPr>
          <w:rFonts w:ascii="Arial" w:eastAsia="Arial" w:hAnsi="Arial"/>
          <w:sz w:val="22"/>
          <w:szCs w:val="22"/>
        </w:rPr>
        <w:t xml:space="preserve">Argumentar la selección </w:t>
      </w:r>
      <w:r w:rsidR="00486AE9" w:rsidRPr="00714445">
        <w:rPr>
          <w:rFonts w:ascii="Arial" w:eastAsia="Arial" w:hAnsi="Arial"/>
          <w:sz w:val="22"/>
          <w:szCs w:val="22"/>
        </w:rPr>
        <w:t>de estrategias</w:t>
      </w:r>
      <w:r w:rsidRPr="00714445">
        <w:rPr>
          <w:rFonts w:ascii="Arial" w:eastAsia="Arial" w:hAnsi="Arial"/>
          <w:sz w:val="22"/>
          <w:szCs w:val="22"/>
        </w:rPr>
        <w:t xml:space="preserve"> de aprendizaje que posibiliten la estimulación de la actividad cognoscitiva de los estudiantes desde la dirección del proceso de enseñanza-aprendizaje.</w:t>
      </w:r>
    </w:p>
    <w:p w14:paraId="2461BA42" w14:textId="6DBB23C8" w:rsidR="00CE2574" w:rsidRPr="00714445" w:rsidRDefault="007C09C9" w:rsidP="00714445">
      <w:pPr>
        <w:pStyle w:val="Prrafodelista"/>
        <w:numPr>
          <w:ilvl w:val="0"/>
          <w:numId w:val="4"/>
        </w:numPr>
        <w:spacing w:after="120"/>
        <w:rPr>
          <w:rFonts w:ascii="Arial" w:eastAsia="Arial" w:hAnsi="Arial"/>
          <w:b/>
          <w:sz w:val="22"/>
          <w:szCs w:val="22"/>
        </w:rPr>
      </w:pPr>
      <w:r w:rsidRPr="00714445">
        <w:rPr>
          <w:rFonts w:ascii="Arial" w:eastAsia="Arial" w:hAnsi="Arial"/>
          <w:b/>
          <w:sz w:val="22"/>
          <w:szCs w:val="22"/>
        </w:rPr>
        <w:t>SISTEMA DE VALORES Y ACTITUDES PROFESIONALES</w:t>
      </w:r>
    </w:p>
    <w:p w14:paraId="4E8FC1D9" w14:textId="77777777" w:rsidR="00CE2574" w:rsidRPr="00714445" w:rsidRDefault="00CE2574" w:rsidP="00714445">
      <w:pPr>
        <w:spacing w:after="120"/>
        <w:jc w:val="both"/>
        <w:rPr>
          <w:rFonts w:ascii="Arial" w:eastAsia="Arial" w:hAnsi="Arial"/>
          <w:sz w:val="22"/>
          <w:szCs w:val="22"/>
        </w:rPr>
      </w:pPr>
      <w:r w:rsidRPr="00714445">
        <w:rPr>
          <w:rFonts w:ascii="Arial" w:eastAsia="Arial" w:hAnsi="Arial"/>
          <w:sz w:val="22"/>
          <w:szCs w:val="22"/>
        </w:rPr>
        <w:t>Conciencia de la necesidad de desarrollar estrategias para aprender a aprender en correspondencia con las demandas de la sociedad del conocimiento.</w:t>
      </w:r>
    </w:p>
    <w:p w14:paraId="07DCD10C" w14:textId="77777777" w:rsidR="00CE2574" w:rsidRPr="00714445" w:rsidRDefault="00CE2574" w:rsidP="00714445">
      <w:pPr>
        <w:spacing w:after="120"/>
        <w:jc w:val="both"/>
        <w:rPr>
          <w:rFonts w:ascii="Arial" w:eastAsia="Arial" w:hAnsi="Arial"/>
          <w:sz w:val="22"/>
          <w:szCs w:val="22"/>
        </w:rPr>
      </w:pPr>
      <w:r w:rsidRPr="00714445">
        <w:rPr>
          <w:rFonts w:ascii="Arial" w:eastAsia="Arial" w:hAnsi="Arial"/>
          <w:sz w:val="22"/>
          <w:szCs w:val="22"/>
        </w:rPr>
        <w:t>Apropiación de conocimientos teóricos y prácticos para perfeccionar la dirección del proceso de enseñanza aprendizaje.</w:t>
      </w:r>
    </w:p>
    <w:p w14:paraId="35CA7881" w14:textId="23BBA5B4" w:rsidR="00CE2574" w:rsidRPr="00714445" w:rsidRDefault="00CE2574" w:rsidP="00714445">
      <w:pPr>
        <w:spacing w:after="120"/>
        <w:jc w:val="both"/>
        <w:rPr>
          <w:rFonts w:ascii="Arial" w:eastAsia="Arial" w:hAnsi="Arial"/>
          <w:sz w:val="22"/>
          <w:szCs w:val="22"/>
        </w:rPr>
      </w:pPr>
      <w:r w:rsidRPr="00714445">
        <w:rPr>
          <w:rFonts w:ascii="Arial" w:eastAsia="Arial" w:hAnsi="Arial"/>
          <w:sz w:val="22"/>
          <w:szCs w:val="22"/>
        </w:rPr>
        <w:t>Elevación del interés por actualizar el conocimiento acerca de las concepciones actuales que estimulan la actividad cognoscitiva de los estudiantes.</w:t>
      </w:r>
    </w:p>
    <w:p w14:paraId="70D09CE4" w14:textId="5779B601" w:rsidR="008929EF" w:rsidRPr="00714445" w:rsidRDefault="008929EF" w:rsidP="00714445">
      <w:pPr>
        <w:spacing w:after="120"/>
        <w:jc w:val="both"/>
        <w:rPr>
          <w:rFonts w:ascii="Arial" w:eastAsia="Arial" w:hAnsi="Arial"/>
          <w:sz w:val="22"/>
          <w:szCs w:val="22"/>
          <w:lang w:val="es-MX"/>
        </w:rPr>
      </w:pPr>
      <w:r w:rsidRPr="00714445">
        <w:rPr>
          <w:rFonts w:ascii="Arial" w:eastAsia="Arial" w:hAnsi="Arial"/>
          <w:sz w:val="22"/>
          <w:szCs w:val="22"/>
          <w:lang w:val="es-MX"/>
        </w:rPr>
        <w:t>Valoración de la diversidad de perspectivas y experiencias en la comunidad educativa, con la promoción de un ambiente inclusivo y respetuoso hacia los demás.</w:t>
      </w:r>
    </w:p>
    <w:p w14:paraId="42DD14E7" w14:textId="77777777" w:rsidR="007C09C9" w:rsidRPr="00714445" w:rsidRDefault="008929EF" w:rsidP="00714445">
      <w:pPr>
        <w:spacing w:after="120"/>
        <w:jc w:val="both"/>
        <w:rPr>
          <w:rFonts w:ascii="Arial" w:eastAsia="Arial" w:hAnsi="Arial"/>
          <w:sz w:val="22"/>
          <w:szCs w:val="22"/>
          <w:lang w:val="es-MX"/>
        </w:rPr>
      </w:pPr>
      <w:r w:rsidRPr="00714445">
        <w:rPr>
          <w:rFonts w:ascii="Arial" w:eastAsia="Arial" w:hAnsi="Arial"/>
          <w:sz w:val="22"/>
          <w:szCs w:val="22"/>
          <w:lang w:val="es-MX"/>
        </w:rPr>
        <w:t>Apoyo mutuo y aprendizaje entre pares, a partir de la concepción de que la colaboración enriquece la gestión de la didáctica</w:t>
      </w:r>
    </w:p>
    <w:p w14:paraId="30EC89FC" w14:textId="182D234E" w:rsidR="00391A94" w:rsidRPr="00714445" w:rsidRDefault="007C09C9" w:rsidP="00714445">
      <w:pPr>
        <w:spacing w:after="120"/>
        <w:jc w:val="both"/>
        <w:rPr>
          <w:rFonts w:ascii="Arial" w:eastAsia="Arial" w:hAnsi="Arial"/>
          <w:sz w:val="22"/>
          <w:szCs w:val="22"/>
          <w:lang w:val="es-MX"/>
        </w:rPr>
      </w:pPr>
      <w:r w:rsidRPr="00714445">
        <w:rPr>
          <w:rFonts w:ascii="Arial" w:eastAsia="Arial" w:hAnsi="Arial"/>
          <w:b/>
          <w:bCs/>
          <w:sz w:val="22"/>
          <w:szCs w:val="22"/>
          <w:lang w:val="es-MX"/>
        </w:rPr>
        <w:t xml:space="preserve">MÉTODOS </w:t>
      </w:r>
    </w:p>
    <w:p w14:paraId="337DC01C" w14:textId="086573BB" w:rsidR="00CE2574" w:rsidRPr="00714445" w:rsidRDefault="00391A94" w:rsidP="00714445">
      <w:pPr>
        <w:spacing w:after="120"/>
        <w:jc w:val="both"/>
        <w:rPr>
          <w:rFonts w:ascii="Arial" w:eastAsia="Times New Roman" w:hAnsi="Arial"/>
          <w:sz w:val="22"/>
          <w:szCs w:val="22"/>
        </w:rPr>
      </w:pPr>
      <w:r w:rsidRPr="00714445">
        <w:rPr>
          <w:rFonts w:ascii="Arial" w:eastAsia="Times New Roman" w:hAnsi="Arial"/>
          <w:sz w:val="22"/>
          <w:szCs w:val="22"/>
        </w:rPr>
        <w:t>Para cumplir el objetivo general, se pueden emplear diversos métodos didácticos que fomenten la participación de los maestrandos, promuevan su reflexión crítica y faciliten el aprendizaje colaborativo. Algunos métodos relevantes son:</w:t>
      </w:r>
    </w:p>
    <w:p w14:paraId="7D364934" w14:textId="77777777"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Aprendizaje Basado en Proyectos (ABP): permite a los estudiantes trabajar en proyectos reales que requieren la aplicación de estrategias de aprendizaje. Fomenta la colaboración, la creatividad y la resolución de problemas.</w:t>
      </w:r>
    </w:p>
    <w:p w14:paraId="26A34BC0" w14:textId="79FD891C"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Enseñanza Diferenciada: implica adaptar las estrategias de enseñanza a las necesidades individuales de los estudiantes, teniendo en cuenta sus estilos de aprendizaje, intereses y niveles de habilidad</w:t>
      </w:r>
      <w:r w:rsidRPr="00714445">
        <w:rPr>
          <w:rFonts w:ascii="Arial" w:eastAsia="Times New Roman" w:hAnsi="Arial"/>
          <w:sz w:val="22"/>
          <w:szCs w:val="22"/>
          <w:lang w:val="es-CU"/>
        </w:rPr>
        <w:t xml:space="preserve"> de tal modo que </w:t>
      </w:r>
      <w:r w:rsidR="00B3031F" w:rsidRPr="00714445">
        <w:rPr>
          <w:rFonts w:ascii="Arial" w:eastAsia="Times New Roman" w:hAnsi="Arial"/>
          <w:sz w:val="22"/>
          <w:szCs w:val="22"/>
          <w:lang w:val="es-CU"/>
        </w:rPr>
        <w:t xml:space="preserve">con el enfoque profesional del </w:t>
      </w:r>
      <w:r w:rsidRPr="00714445">
        <w:rPr>
          <w:rFonts w:ascii="Arial" w:eastAsia="Times New Roman" w:hAnsi="Arial"/>
          <w:sz w:val="22"/>
          <w:szCs w:val="22"/>
          <w:lang w:val="es-CU"/>
        </w:rPr>
        <w:t>curso se convierta en un modelo didáctico</w:t>
      </w:r>
      <w:r w:rsidRPr="00714445">
        <w:rPr>
          <w:rFonts w:ascii="Arial" w:eastAsia="Times New Roman" w:hAnsi="Arial"/>
          <w:sz w:val="22"/>
          <w:szCs w:val="22"/>
          <w:lang w:val="es-CU"/>
        </w:rPr>
        <w:t>.</w:t>
      </w:r>
    </w:p>
    <w:p w14:paraId="619DC1F7" w14:textId="1A058A13"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lastRenderedPageBreak/>
        <w:t xml:space="preserve">Método del Caso: utiliza situaciones reales o hipotéticas para que los estudiantes analicen, discutan y propongan </w:t>
      </w:r>
      <w:r w:rsidR="00B3031F" w:rsidRPr="00714445">
        <w:rPr>
          <w:rFonts w:ascii="Arial" w:eastAsia="Times New Roman" w:hAnsi="Arial"/>
          <w:sz w:val="22"/>
          <w:szCs w:val="22"/>
          <w:lang w:val="es-CU"/>
        </w:rPr>
        <w:t xml:space="preserve">las estrategias de enseñanza </w:t>
      </w:r>
      <w:r w:rsidR="00B3031F" w:rsidRPr="00714445">
        <w:rPr>
          <w:rFonts w:ascii="Arial" w:eastAsia="Times New Roman" w:hAnsi="Arial"/>
          <w:sz w:val="22"/>
          <w:szCs w:val="22"/>
          <w:lang w:val="es-CU"/>
        </w:rPr>
        <w:t xml:space="preserve">de acuerdo </w:t>
      </w:r>
      <w:r w:rsidR="00B3031F" w:rsidRPr="00714445">
        <w:rPr>
          <w:rFonts w:ascii="Arial" w:eastAsia="Times New Roman" w:hAnsi="Arial"/>
          <w:sz w:val="22"/>
          <w:szCs w:val="22"/>
          <w:lang w:val="es-CU"/>
        </w:rPr>
        <w:t>a las necesidades individuales de los estudiantes, teniendo en cuenta sus estilos de aprendiz</w:t>
      </w:r>
      <w:r w:rsidR="00B3031F" w:rsidRPr="00714445">
        <w:rPr>
          <w:rFonts w:ascii="Arial" w:eastAsia="Times New Roman" w:hAnsi="Arial"/>
          <w:sz w:val="22"/>
          <w:szCs w:val="22"/>
          <w:lang w:val="es-CU"/>
        </w:rPr>
        <w:t>aje</w:t>
      </w:r>
      <w:r w:rsidRPr="00714445">
        <w:rPr>
          <w:rFonts w:ascii="Arial" w:eastAsia="Times New Roman" w:hAnsi="Arial"/>
          <w:sz w:val="22"/>
          <w:szCs w:val="22"/>
          <w:lang w:val="es-CU"/>
        </w:rPr>
        <w:t>, promoviendo el pensamiento crítico y la aplicación práctica de conceptos.</w:t>
      </w:r>
    </w:p>
    <w:p w14:paraId="7C2709ED" w14:textId="46318222"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 xml:space="preserve">Aprendizaje Cooperativo: facilita el trabajo en grupo, donde los estudiantes aprenden unos de otros mediante actividades colaborativas, </w:t>
      </w:r>
      <w:r w:rsidR="00B3031F" w:rsidRPr="00714445">
        <w:rPr>
          <w:rFonts w:ascii="Arial" w:eastAsia="Times New Roman" w:hAnsi="Arial"/>
          <w:sz w:val="22"/>
          <w:szCs w:val="22"/>
          <w:lang w:val="es-CU"/>
        </w:rPr>
        <w:t xml:space="preserve">partiendo del trabajo con modelos pasando a las prácticas cooperadas y de ahí a las prácticas independientes, </w:t>
      </w:r>
      <w:r w:rsidRPr="00714445">
        <w:rPr>
          <w:rFonts w:ascii="Arial" w:eastAsia="Times New Roman" w:hAnsi="Arial"/>
          <w:sz w:val="22"/>
          <w:szCs w:val="22"/>
          <w:lang w:val="es-CU"/>
        </w:rPr>
        <w:t>fortaleciendo así las habilidades interpersonales y de comunicación.</w:t>
      </w:r>
    </w:p>
    <w:p w14:paraId="00B4CA34" w14:textId="77777777"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Aprendizaje Basado en Problemas (ABP): presenta a los estudiantes problemas complejos que deben investigar y resolver, promoviendo el aprendizaje activo y el desarrollo de habilidades de investigación y pensamiento crítico.</w:t>
      </w:r>
    </w:p>
    <w:p w14:paraId="392749E4" w14:textId="77777777"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Debates y Discusiones Guiadas: fomentan la argumentación y la defensa de posiciones, así como la reflexión crítica sobre diferentes perspectivas respecto a un tema.</w:t>
      </w:r>
    </w:p>
    <w:p w14:paraId="334A89EE" w14:textId="77777777"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Modelado y Simulación: utiliza escenarios simulados que permiten a los estudiantes experimentar roles y situaciones del mundo real, desarrollando así competencias prácticas y cognitivas.</w:t>
      </w:r>
    </w:p>
    <w:p w14:paraId="328AC5B0" w14:textId="77777777" w:rsidR="00EE3E86" w:rsidRPr="00714445" w:rsidRDefault="00EE3E86" w:rsidP="00714445">
      <w:pPr>
        <w:spacing w:after="120"/>
        <w:jc w:val="both"/>
        <w:rPr>
          <w:rFonts w:ascii="Arial" w:eastAsia="Times New Roman" w:hAnsi="Arial"/>
          <w:sz w:val="22"/>
          <w:szCs w:val="22"/>
          <w:lang w:val="es-CU"/>
        </w:rPr>
      </w:pPr>
      <w:r w:rsidRPr="00714445">
        <w:rPr>
          <w:rFonts w:ascii="Arial" w:eastAsia="Times New Roman" w:hAnsi="Arial"/>
          <w:sz w:val="22"/>
          <w:szCs w:val="22"/>
          <w:lang w:val="es-CU"/>
        </w:rPr>
        <w:t>Método de Reflexión Crítica: promueve la autoevaluación y la reflexión sobre el propio proceso de aprendizaje, ayudando a los estudiantes a identificar fortalezas y áreas de mejora en sus estrategias de aprendizaje.</w:t>
      </w:r>
    </w:p>
    <w:p w14:paraId="06A8F56F" w14:textId="68D9D801" w:rsidR="00BC61DE" w:rsidRPr="00714445" w:rsidRDefault="007C09C9" w:rsidP="00714445">
      <w:pPr>
        <w:spacing w:after="120"/>
        <w:jc w:val="both"/>
        <w:rPr>
          <w:rFonts w:ascii="Arial" w:hAnsi="Arial"/>
          <w:b/>
          <w:bCs/>
          <w:sz w:val="22"/>
          <w:szCs w:val="22"/>
          <w:lang w:val="es-MX"/>
        </w:rPr>
      </w:pPr>
      <w:r w:rsidRPr="00714445">
        <w:rPr>
          <w:rFonts w:ascii="Arial" w:hAnsi="Arial"/>
          <w:b/>
          <w:bCs/>
          <w:sz w:val="22"/>
          <w:szCs w:val="22"/>
          <w:lang w:val="es-MX"/>
        </w:rPr>
        <w:t>FORMAS ORGANIZATIVAS DE LAS ACTIVIDADES</w:t>
      </w:r>
    </w:p>
    <w:p w14:paraId="0F57468A" w14:textId="77777777" w:rsidR="00BC61DE" w:rsidRPr="00714445" w:rsidRDefault="00BC61DE"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Uso de TIC: integrar plataformas de aprendizaje en línea, redes sociales académicas, y herramientas de colaboración digital para facilitar el acceso a recursos y la interacción entre estudiantes y educadores.</w:t>
      </w:r>
    </w:p>
    <w:p w14:paraId="203475F5" w14:textId="77777777" w:rsidR="00BC61DE" w:rsidRPr="00714445" w:rsidRDefault="00BC61DE"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Flipped Classroom (Aula Invertida): involucra a los estudiantes en la investigación y el aprendizaje previo del contenido (por ejemplo, a través de videos o lecturas online) antes de las sesiones presenciales, donde se realizan debates y actividades prácticas.</w:t>
      </w:r>
    </w:p>
    <w:p w14:paraId="7671CB0E" w14:textId="44C7E556"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Seminarios: sesiones en las que se discuten temas específicos y se fomenta el intercambio de ideas entre estudiantes y docentes.</w:t>
      </w:r>
    </w:p>
    <w:p w14:paraId="0687DEE3" w14:textId="33FFFE5F"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Talleres: espacios prácticos donde los estudiantes pueden experimentar directamente con estrategias de enseñanza y aprendizaje.</w:t>
      </w:r>
    </w:p>
    <w:p w14:paraId="257E5540" w14:textId="0858EAB1"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Webinars: sesiones en línea en vivo que permiten presentar conceptos y facilitar la interacción en tiempo real.</w:t>
      </w:r>
    </w:p>
    <w:p w14:paraId="7A994739" w14:textId="52CC34B7"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Cursos Asincrónicos: contenido que los estudiantes pueden completar a su propio ritmo, incluyendo videos, lecturas y quizzes.</w:t>
      </w:r>
    </w:p>
    <w:p w14:paraId="654E40C7" w14:textId="07B9F0B8"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Aprendizaje Híbrido (Blended Learning): una combinación de sesiones presenciales y virtuales que permite flexibilidad y variedad en las formas de enseñanza.</w:t>
      </w:r>
    </w:p>
    <w:p w14:paraId="061801DD" w14:textId="5943855C"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Grupos de Estudio: formar grupos pequeños que se reúnan para discutir lecturas, realizar proyectos o preparar presentaciones, fomentando la colaboración y el aprendizaje entre pares.</w:t>
      </w:r>
    </w:p>
    <w:p w14:paraId="620C4084" w14:textId="116CDF8E"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Foros y Debates: espacios organizados donde los estudiantes puedan debatir sobre temas relevantes y compartir opiniones, favoreciendo el pensamiento crítico y la comunicación.</w:t>
      </w:r>
    </w:p>
    <w:p w14:paraId="0B1401DD" w14:textId="70DEA7F5"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Proyectos Colaborativos: asignar a los estudiantes proyectos grupales que integren diversas estrategias de aprendizaje, permitiendo aplicar lo aprendido de manera práctica y colaborativa.</w:t>
      </w:r>
    </w:p>
    <w:p w14:paraId="19984312" w14:textId="74A1517C"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Estudio de Casos: analizar casos reales o hipotéticos en grupos, promoviendo la discusión y la aplicación de estrategias de enseñanza y aprendizaje en diferentes contextos.</w:t>
      </w:r>
    </w:p>
    <w:p w14:paraId="0151BD78" w14:textId="4087BE8C" w:rsidR="005260E8"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Actividades de Reflexión Individual: solicitar a los estudiantes que realicen autoevaluaciones y reflexiones sobre su aprendizaje y las estrategias que están utilizando, promoviendo la metacognición.</w:t>
      </w:r>
    </w:p>
    <w:p w14:paraId="37094986" w14:textId="1D6DF19A" w:rsidR="00391A94" w:rsidRPr="00714445" w:rsidRDefault="005260E8" w:rsidP="00714445">
      <w:pPr>
        <w:pStyle w:val="Prrafodelista"/>
        <w:numPr>
          <w:ilvl w:val="0"/>
          <w:numId w:val="3"/>
        </w:numPr>
        <w:spacing w:after="120"/>
        <w:jc w:val="both"/>
        <w:rPr>
          <w:rFonts w:ascii="Arial" w:eastAsia="Times New Roman" w:hAnsi="Arial"/>
          <w:sz w:val="22"/>
          <w:szCs w:val="22"/>
          <w:lang w:val="es-CU"/>
        </w:rPr>
      </w:pPr>
      <w:r w:rsidRPr="00714445">
        <w:rPr>
          <w:rFonts w:ascii="Arial" w:eastAsia="Times New Roman" w:hAnsi="Arial"/>
          <w:sz w:val="22"/>
          <w:szCs w:val="22"/>
          <w:lang w:val="es-CU"/>
        </w:rPr>
        <w:t>Prácticas Profesionales: ofrecer oportunidades para que los estudiantes apliquen sus conocimientos en contextos educativos reales a través de prácticas o pasantías.</w:t>
      </w:r>
    </w:p>
    <w:p w14:paraId="06D195FB" w14:textId="77777777" w:rsidR="00EA5315" w:rsidRPr="00714445" w:rsidRDefault="00EA5315" w:rsidP="00714445">
      <w:pPr>
        <w:spacing w:after="120"/>
        <w:jc w:val="both"/>
        <w:rPr>
          <w:rFonts w:ascii="Arial" w:hAnsi="Arial"/>
          <w:b/>
          <w:bCs/>
          <w:sz w:val="22"/>
          <w:szCs w:val="22"/>
          <w:lang w:val="es-MX"/>
        </w:rPr>
      </w:pPr>
      <w:r w:rsidRPr="00714445">
        <w:rPr>
          <w:rFonts w:ascii="Arial" w:hAnsi="Arial"/>
          <w:b/>
          <w:bCs/>
          <w:sz w:val="22"/>
          <w:szCs w:val="22"/>
          <w:lang w:val="es-MX"/>
        </w:rPr>
        <w:t>MATERIALES</w:t>
      </w:r>
    </w:p>
    <w:p w14:paraId="3173763B" w14:textId="77777777" w:rsidR="00EA5315" w:rsidRPr="00714445" w:rsidRDefault="00EA5315" w:rsidP="00714445">
      <w:pPr>
        <w:spacing w:after="120"/>
        <w:jc w:val="both"/>
        <w:rPr>
          <w:rFonts w:ascii="Arial" w:hAnsi="Arial"/>
          <w:i/>
          <w:iCs/>
          <w:sz w:val="22"/>
          <w:szCs w:val="22"/>
          <w:lang w:val="es-MX"/>
        </w:rPr>
      </w:pPr>
      <w:r w:rsidRPr="00714445">
        <w:rPr>
          <w:rFonts w:ascii="Arial" w:hAnsi="Arial"/>
          <w:i/>
          <w:iCs/>
          <w:sz w:val="22"/>
          <w:szCs w:val="22"/>
          <w:lang w:val="es-MX"/>
        </w:rPr>
        <w:t xml:space="preserve">1. Libros y artículos académicos: </w:t>
      </w:r>
      <w:r w:rsidRPr="00714445">
        <w:rPr>
          <w:rFonts w:ascii="Arial" w:hAnsi="Arial"/>
          <w:sz w:val="22"/>
          <w:szCs w:val="22"/>
          <w:lang w:val="es-MX"/>
        </w:rPr>
        <w:t>Textos básicos sobre metodología de la investigación, didáctica y teorías educativas, así como artículos de revisión y estudios previos relevantes para los temas a investigar</w:t>
      </w:r>
      <w:r w:rsidRPr="00714445">
        <w:rPr>
          <w:rFonts w:ascii="Arial" w:hAnsi="Arial"/>
          <w:i/>
          <w:iCs/>
          <w:sz w:val="22"/>
          <w:szCs w:val="22"/>
          <w:lang w:val="es-MX"/>
        </w:rPr>
        <w:t>.</w:t>
      </w:r>
    </w:p>
    <w:p w14:paraId="358B8A2E" w14:textId="77777777" w:rsidR="00EA5315" w:rsidRPr="00714445" w:rsidRDefault="00EA5315" w:rsidP="00714445">
      <w:pPr>
        <w:spacing w:after="120"/>
        <w:jc w:val="both"/>
        <w:rPr>
          <w:rFonts w:ascii="Arial" w:hAnsi="Arial"/>
          <w:i/>
          <w:iCs/>
          <w:sz w:val="22"/>
          <w:szCs w:val="22"/>
          <w:lang w:val="es-MX"/>
        </w:rPr>
      </w:pPr>
      <w:r w:rsidRPr="00714445">
        <w:rPr>
          <w:rFonts w:ascii="Arial" w:hAnsi="Arial"/>
          <w:i/>
          <w:iCs/>
          <w:sz w:val="22"/>
          <w:szCs w:val="22"/>
          <w:lang w:val="es-MX"/>
        </w:rPr>
        <w:t xml:space="preserve">2. Guías y plantillas: </w:t>
      </w:r>
      <w:r w:rsidRPr="00714445">
        <w:rPr>
          <w:rFonts w:ascii="Arial" w:hAnsi="Arial"/>
          <w:sz w:val="22"/>
          <w:szCs w:val="22"/>
          <w:lang w:val="es-MX"/>
        </w:rPr>
        <w:t>Documentos con directrices sobre cómo elaborar un protocolo de investigación y un marco teórico, así como plantillas para facilitar la estructuración de los trabajos</w:t>
      </w:r>
      <w:r w:rsidRPr="00714445">
        <w:rPr>
          <w:rFonts w:ascii="Arial" w:hAnsi="Arial"/>
          <w:i/>
          <w:iCs/>
          <w:sz w:val="22"/>
          <w:szCs w:val="22"/>
          <w:lang w:val="es-MX"/>
        </w:rPr>
        <w:t>.</w:t>
      </w:r>
    </w:p>
    <w:p w14:paraId="4540CAE5" w14:textId="77777777" w:rsidR="00EA5315" w:rsidRPr="00714445" w:rsidRDefault="00EA5315" w:rsidP="00714445">
      <w:pPr>
        <w:spacing w:after="120"/>
        <w:jc w:val="both"/>
        <w:rPr>
          <w:rFonts w:ascii="Arial" w:hAnsi="Arial"/>
          <w:i/>
          <w:iCs/>
          <w:sz w:val="22"/>
          <w:szCs w:val="22"/>
          <w:lang w:val="es-MX"/>
        </w:rPr>
      </w:pPr>
      <w:r w:rsidRPr="00714445">
        <w:rPr>
          <w:rFonts w:ascii="Arial" w:hAnsi="Arial"/>
          <w:i/>
          <w:iCs/>
          <w:sz w:val="22"/>
          <w:szCs w:val="22"/>
          <w:lang w:val="es-MX"/>
        </w:rPr>
        <w:t xml:space="preserve">3. Material audiovisual: </w:t>
      </w:r>
      <w:r w:rsidRPr="00714445">
        <w:rPr>
          <w:rFonts w:ascii="Arial" w:hAnsi="Arial"/>
          <w:sz w:val="22"/>
          <w:szCs w:val="22"/>
          <w:lang w:val="es-MX"/>
        </w:rPr>
        <w:t>Presentaciones en PowerPoint, videos educativos sobre metodologías de investigación y ejemplos de prototipos de tesis</w:t>
      </w:r>
      <w:r w:rsidRPr="00714445">
        <w:rPr>
          <w:rFonts w:ascii="Arial" w:hAnsi="Arial"/>
          <w:i/>
          <w:iCs/>
          <w:sz w:val="22"/>
          <w:szCs w:val="22"/>
          <w:lang w:val="es-MX"/>
        </w:rPr>
        <w:t>.</w:t>
      </w:r>
    </w:p>
    <w:p w14:paraId="386F9961" w14:textId="77777777" w:rsidR="00EA5315" w:rsidRPr="00714445" w:rsidRDefault="00EA5315" w:rsidP="00714445">
      <w:pPr>
        <w:spacing w:after="120"/>
        <w:jc w:val="both"/>
        <w:rPr>
          <w:rFonts w:ascii="Arial" w:hAnsi="Arial"/>
          <w:b/>
          <w:bCs/>
          <w:sz w:val="22"/>
          <w:szCs w:val="22"/>
          <w:lang w:val="es-MX"/>
        </w:rPr>
      </w:pPr>
      <w:r w:rsidRPr="00714445">
        <w:rPr>
          <w:rFonts w:ascii="Arial" w:hAnsi="Arial"/>
          <w:b/>
          <w:bCs/>
          <w:sz w:val="22"/>
          <w:szCs w:val="22"/>
          <w:lang w:val="es-MX"/>
        </w:rPr>
        <w:t>MEDIOS</w:t>
      </w:r>
    </w:p>
    <w:p w14:paraId="2C5BE532" w14:textId="77777777" w:rsidR="00EA5315" w:rsidRPr="00714445" w:rsidRDefault="00EA5315" w:rsidP="00714445">
      <w:pPr>
        <w:pStyle w:val="Prrafodelista"/>
        <w:numPr>
          <w:ilvl w:val="0"/>
          <w:numId w:val="2"/>
        </w:numPr>
        <w:spacing w:after="120"/>
        <w:jc w:val="both"/>
        <w:rPr>
          <w:rFonts w:ascii="Arial" w:hAnsi="Arial"/>
          <w:sz w:val="22"/>
          <w:szCs w:val="22"/>
          <w:lang w:val="es-MX"/>
        </w:rPr>
      </w:pPr>
      <w:r w:rsidRPr="00714445">
        <w:rPr>
          <w:rFonts w:ascii="Arial" w:hAnsi="Arial"/>
          <w:i/>
          <w:iCs/>
          <w:sz w:val="22"/>
          <w:szCs w:val="22"/>
          <w:lang w:val="es-MX"/>
        </w:rPr>
        <w:lastRenderedPageBreak/>
        <w:t>Tecnología audiovisual</w:t>
      </w:r>
      <w:r w:rsidRPr="00714445">
        <w:rPr>
          <w:rFonts w:ascii="Arial" w:hAnsi="Arial"/>
          <w:sz w:val="22"/>
          <w:szCs w:val="22"/>
          <w:lang w:val="es-MX"/>
        </w:rPr>
        <w:t>: Proyectores, pantallas, y sistemas de sonido para presentaciones.</w:t>
      </w:r>
    </w:p>
    <w:p w14:paraId="5C748987" w14:textId="77777777" w:rsidR="00EA5315" w:rsidRPr="00714445" w:rsidRDefault="00EA5315" w:rsidP="00714445">
      <w:pPr>
        <w:pStyle w:val="Prrafodelista"/>
        <w:numPr>
          <w:ilvl w:val="0"/>
          <w:numId w:val="2"/>
        </w:numPr>
        <w:spacing w:after="120"/>
        <w:jc w:val="both"/>
        <w:rPr>
          <w:rFonts w:ascii="Arial" w:hAnsi="Arial"/>
          <w:sz w:val="22"/>
          <w:szCs w:val="22"/>
          <w:lang w:val="es-MX"/>
        </w:rPr>
      </w:pPr>
      <w:r w:rsidRPr="00714445">
        <w:rPr>
          <w:rFonts w:ascii="Arial" w:hAnsi="Arial"/>
          <w:i/>
          <w:iCs/>
          <w:sz w:val="22"/>
          <w:szCs w:val="22"/>
          <w:lang w:val="es-MX"/>
        </w:rPr>
        <w:t>Computadoras o dispositivos móviles</w:t>
      </w:r>
      <w:r w:rsidRPr="00714445">
        <w:rPr>
          <w:rFonts w:ascii="Arial" w:hAnsi="Arial"/>
          <w:sz w:val="22"/>
          <w:szCs w:val="22"/>
          <w:lang w:val="es-MX"/>
        </w:rPr>
        <w:t>: Equipos para que los maestrandos realicen búsquedas de información, escriban sus informes y se conecten a plataformas de aprendizaje.</w:t>
      </w:r>
    </w:p>
    <w:p w14:paraId="7DCCDC20" w14:textId="77777777" w:rsidR="00EA5315" w:rsidRPr="00714445" w:rsidRDefault="00EA5315" w:rsidP="00714445">
      <w:pPr>
        <w:pStyle w:val="Prrafodelista"/>
        <w:numPr>
          <w:ilvl w:val="0"/>
          <w:numId w:val="2"/>
        </w:numPr>
        <w:spacing w:after="120"/>
        <w:jc w:val="both"/>
        <w:rPr>
          <w:rFonts w:ascii="Arial" w:hAnsi="Arial"/>
          <w:sz w:val="22"/>
          <w:szCs w:val="22"/>
          <w:lang w:val="es-MX"/>
        </w:rPr>
      </w:pPr>
      <w:r w:rsidRPr="00714445">
        <w:rPr>
          <w:rFonts w:ascii="Arial" w:hAnsi="Arial"/>
          <w:i/>
          <w:iCs/>
          <w:sz w:val="22"/>
          <w:szCs w:val="22"/>
          <w:lang w:val="es-MX"/>
        </w:rPr>
        <w:t>Redes sociales y foros en línea</w:t>
      </w:r>
      <w:r w:rsidRPr="00714445">
        <w:rPr>
          <w:rFonts w:ascii="Arial" w:hAnsi="Arial"/>
          <w:sz w:val="22"/>
          <w:szCs w:val="22"/>
          <w:lang w:val="es-MX"/>
        </w:rPr>
        <w:t>: Plataforma Moodle para facilitar la comunicación y el intercambio de ideas. Grupos de discusión que fomenten la colaboración y la interacción entre estudiantes.</w:t>
      </w:r>
    </w:p>
    <w:p w14:paraId="3725C0E5" w14:textId="77777777" w:rsidR="00EA5315" w:rsidRPr="00714445" w:rsidRDefault="00EA5315" w:rsidP="00714445">
      <w:pPr>
        <w:pStyle w:val="Prrafodelista"/>
        <w:numPr>
          <w:ilvl w:val="0"/>
          <w:numId w:val="2"/>
        </w:numPr>
        <w:spacing w:after="120"/>
        <w:jc w:val="both"/>
        <w:rPr>
          <w:rFonts w:ascii="Arial" w:hAnsi="Arial"/>
          <w:sz w:val="22"/>
          <w:szCs w:val="22"/>
          <w:lang w:val="es-MX"/>
        </w:rPr>
      </w:pPr>
      <w:r w:rsidRPr="00714445">
        <w:rPr>
          <w:rFonts w:ascii="Arial" w:hAnsi="Arial"/>
          <w:i/>
          <w:iCs/>
          <w:sz w:val="22"/>
          <w:szCs w:val="22"/>
          <w:lang w:val="es-MX"/>
        </w:rPr>
        <w:t>Materiales de evaluación</w:t>
      </w:r>
      <w:r w:rsidRPr="00714445">
        <w:rPr>
          <w:rFonts w:ascii="Arial" w:hAnsi="Arial"/>
          <w:sz w:val="22"/>
          <w:szCs w:val="22"/>
          <w:lang w:val="es-MX"/>
        </w:rPr>
        <w:t xml:space="preserve">: Rubricas para la autoevaluación y evaluación del trabajo a presentar al taller de tesis. </w:t>
      </w:r>
    </w:p>
    <w:p w14:paraId="60AED197" w14:textId="7714536B" w:rsidR="00391A94" w:rsidRPr="00714445" w:rsidRDefault="00EA5315" w:rsidP="00714445">
      <w:pPr>
        <w:pStyle w:val="Prrafodelista"/>
        <w:numPr>
          <w:ilvl w:val="0"/>
          <w:numId w:val="2"/>
        </w:numPr>
        <w:spacing w:after="120"/>
        <w:jc w:val="both"/>
        <w:rPr>
          <w:rFonts w:ascii="Arial" w:eastAsia="Times New Roman" w:hAnsi="Arial"/>
          <w:sz w:val="22"/>
          <w:szCs w:val="22"/>
          <w:lang w:val="es-MX"/>
        </w:rPr>
      </w:pPr>
      <w:r w:rsidRPr="00714445">
        <w:rPr>
          <w:rFonts w:ascii="Arial" w:eastAsia="Times New Roman" w:hAnsi="Arial"/>
          <w:sz w:val="22"/>
          <w:szCs w:val="22"/>
          <w:lang w:val="es-MX"/>
        </w:rPr>
        <w:t>Inteligencia Artificial: Chat GPT en cualquiera de sus variantes para su uso como fuente y medio de enseñanza y aprendizaje</w:t>
      </w:r>
    </w:p>
    <w:p w14:paraId="0A25752F" w14:textId="3969377A" w:rsidR="00EA5315" w:rsidRPr="00714445" w:rsidRDefault="007C09C9" w:rsidP="00714445">
      <w:pPr>
        <w:spacing w:after="120"/>
        <w:rPr>
          <w:rFonts w:ascii="Arial" w:eastAsia="Arial" w:hAnsi="Arial"/>
          <w:b/>
          <w:sz w:val="22"/>
          <w:szCs w:val="22"/>
        </w:rPr>
      </w:pPr>
      <w:r w:rsidRPr="00714445">
        <w:rPr>
          <w:rFonts w:ascii="Arial" w:eastAsia="Arial" w:hAnsi="Arial"/>
          <w:b/>
          <w:sz w:val="22"/>
          <w:szCs w:val="22"/>
        </w:rPr>
        <w:t>EVALUACIÓN</w:t>
      </w:r>
    </w:p>
    <w:p w14:paraId="5BCA970A" w14:textId="5269EC36" w:rsidR="00EA5315" w:rsidRPr="00714445" w:rsidRDefault="00EA5315" w:rsidP="00714445">
      <w:pPr>
        <w:spacing w:after="120"/>
        <w:jc w:val="both"/>
        <w:rPr>
          <w:rFonts w:ascii="Arial" w:eastAsia="Arial" w:hAnsi="Arial"/>
          <w:b/>
          <w:sz w:val="22"/>
          <w:szCs w:val="22"/>
        </w:rPr>
      </w:pPr>
      <w:r w:rsidRPr="00714445">
        <w:rPr>
          <w:rFonts w:ascii="Arial" w:eastAsia="Arial" w:hAnsi="Arial"/>
          <w:bCs/>
          <w:sz w:val="22"/>
          <w:szCs w:val="22"/>
        </w:rPr>
        <w:t>Se evaluará de forma sistemática, a partir de los siguientes criterios: el dominio del contenido, la utilización de la investigación, participación activa demostrada en defender y fundamentar sus criterios y posiciones. Como evaluación final se debe entregar por escrito y defender el diseño de un sistema de actividades que les permita exponer las estrategias de aprendizaje que más emplean sus estudiantes para apropiarse de los objetivos del contenido trabajado</w:t>
      </w:r>
      <w:r w:rsidRPr="00714445">
        <w:rPr>
          <w:rFonts w:ascii="Arial" w:eastAsia="Arial" w:hAnsi="Arial"/>
          <w:b/>
          <w:sz w:val="22"/>
          <w:szCs w:val="22"/>
        </w:rPr>
        <w:t>.</w:t>
      </w:r>
    </w:p>
    <w:p w14:paraId="7A3FC471" w14:textId="45A0C4BF" w:rsidR="00CE2574" w:rsidRPr="00714445" w:rsidRDefault="007C09C9" w:rsidP="00714445">
      <w:pPr>
        <w:spacing w:after="120"/>
        <w:rPr>
          <w:rFonts w:ascii="Arial" w:eastAsia="Arial" w:hAnsi="Arial"/>
          <w:b/>
          <w:sz w:val="22"/>
          <w:szCs w:val="22"/>
        </w:rPr>
      </w:pPr>
      <w:r w:rsidRPr="00714445">
        <w:rPr>
          <w:rFonts w:ascii="Arial" w:eastAsia="Arial" w:hAnsi="Arial"/>
          <w:b/>
          <w:sz w:val="22"/>
          <w:szCs w:val="22"/>
        </w:rPr>
        <w:t>BIBLIOGRAFÍA:</w:t>
      </w:r>
    </w:p>
    <w:p w14:paraId="27D935DC"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lang w:val="en-US"/>
        </w:rPr>
      </w:pPr>
    </w:p>
    <w:p w14:paraId="52F3F384" w14:textId="77777777" w:rsidR="00714445" w:rsidRPr="00714445" w:rsidRDefault="00714445" w:rsidP="00714445">
      <w:pPr>
        <w:spacing w:after="120"/>
        <w:jc w:val="both"/>
        <w:rPr>
          <w:rFonts w:ascii="Arial" w:eastAsia="Arial" w:hAnsi="Arial"/>
          <w:sz w:val="22"/>
          <w:szCs w:val="22"/>
        </w:rPr>
      </w:pPr>
      <w:r w:rsidRPr="00714445">
        <w:rPr>
          <w:rFonts w:ascii="Arial" w:eastAsia="Arial" w:hAnsi="Arial"/>
          <w:sz w:val="22"/>
          <w:szCs w:val="22"/>
        </w:rPr>
        <w:t>Beltrán, J.  et.  Al.  (1997).  “Psicología de la educación”.  Disponible en Eudema Universidad/manuales. Madrid, España.</w:t>
      </w:r>
    </w:p>
    <w:p w14:paraId="73D1EA70"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lang w:val="en-US"/>
        </w:rPr>
      </w:pPr>
      <w:r w:rsidRPr="00714445">
        <w:rPr>
          <w:rFonts w:ascii="Arial" w:hAnsi="Arial" w:cs="Arial"/>
          <w:sz w:val="22"/>
          <w:szCs w:val="22"/>
          <w:lang w:val="en-US"/>
        </w:rPr>
        <w:t>Bennett, S., &amp; Maton, K. (2010). Beyond the 'digital natives' debate: A challenging dialogue on young people's technology use. </w:t>
      </w:r>
      <w:r w:rsidRPr="00714445">
        <w:rPr>
          <w:rStyle w:val="nfasis"/>
          <w:rFonts w:ascii="Arial" w:hAnsi="Arial" w:cs="Arial"/>
          <w:sz w:val="22"/>
          <w:szCs w:val="22"/>
          <w:lang w:val="en-US"/>
        </w:rPr>
        <w:t>Journal of Computer Assisted Learning</w:t>
      </w:r>
      <w:r w:rsidRPr="00714445">
        <w:rPr>
          <w:rFonts w:ascii="Arial" w:hAnsi="Arial" w:cs="Arial"/>
          <w:sz w:val="22"/>
          <w:szCs w:val="22"/>
          <w:lang w:val="en-US"/>
        </w:rPr>
        <w:t>, </w:t>
      </w:r>
      <w:r w:rsidRPr="00714445">
        <w:rPr>
          <w:rStyle w:val="nfasis"/>
          <w:rFonts w:ascii="Arial" w:hAnsi="Arial" w:cs="Arial"/>
          <w:sz w:val="22"/>
          <w:szCs w:val="22"/>
          <w:lang w:val="en-US"/>
        </w:rPr>
        <w:t>26</w:t>
      </w:r>
      <w:r w:rsidRPr="00714445">
        <w:rPr>
          <w:rFonts w:ascii="Arial" w:hAnsi="Arial" w:cs="Arial"/>
          <w:sz w:val="22"/>
          <w:szCs w:val="22"/>
          <w:lang w:val="en-US"/>
        </w:rPr>
        <w:t>(5), 321-331. </w:t>
      </w:r>
      <w:hyperlink r:id="rId6" w:tgtFrame="_blank" w:history="1">
        <w:r w:rsidRPr="00714445">
          <w:rPr>
            <w:rStyle w:val="Hipervnculo"/>
            <w:rFonts w:ascii="Arial" w:hAnsi="Arial" w:cs="Arial"/>
            <w:color w:val="0969DA"/>
            <w:sz w:val="22"/>
            <w:szCs w:val="22"/>
            <w:lang w:val="en-US"/>
          </w:rPr>
          <w:t>https://doi.org/10.1</w:t>
        </w:r>
        <w:r w:rsidRPr="00714445">
          <w:rPr>
            <w:rStyle w:val="Hipervnculo"/>
            <w:rFonts w:ascii="Arial" w:hAnsi="Arial" w:cs="Arial"/>
            <w:color w:val="0969DA"/>
            <w:sz w:val="22"/>
            <w:szCs w:val="22"/>
            <w:lang w:val="en-US"/>
          </w:rPr>
          <w:t>1</w:t>
        </w:r>
        <w:r w:rsidRPr="00714445">
          <w:rPr>
            <w:rStyle w:val="Hipervnculo"/>
            <w:rFonts w:ascii="Arial" w:hAnsi="Arial" w:cs="Arial"/>
            <w:color w:val="0969DA"/>
            <w:sz w:val="22"/>
            <w:szCs w:val="22"/>
            <w:lang w:val="en-US"/>
          </w:rPr>
          <w:t>11/j.1365-2729.2010.00360.x</w:t>
        </w:r>
      </w:hyperlink>
    </w:p>
    <w:p w14:paraId="571BC292"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lang w:val="en-US"/>
        </w:rPr>
      </w:pPr>
      <w:proofErr w:type="spellStart"/>
      <w:r w:rsidRPr="00714445">
        <w:rPr>
          <w:rFonts w:ascii="Arial" w:hAnsi="Arial" w:cs="Arial"/>
          <w:sz w:val="22"/>
          <w:szCs w:val="22"/>
          <w:lang w:val="en-US"/>
        </w:rPr>
        <w:t>Brusilovsky</w:t>
      </w:r>
      <w:proofErr w:type="spellEnd"/>
      <w:r w:rsidRPr="00714445">
        <w:rPr>
          <w:rFonts w:ascii="Arial" w:hAnsi="Arial" w:cs="Arial"/>
          <w:sz w:val="22"/>
          <w:szCs w:val="22"/>
          <w:lang w:val="en-US"/>
        </w:rPr>
        <w:t>, P., &amp; Millán, E. (2015). User modeling 2.0: New opportunities for personalized learning. </w:t>
      </w:r>
      <w:r w:rsidRPr="00714445">
        <w:rPr>
          <w:rStyle w:val="nfasis"/>
          <w:rFonts w:ascii="Arial" w:hAnsi="Arial" w:cs="Arial"/>
          <w:sz w:val="22"/>
          <w:szCs w:val="22"/>
          <w:lang w:val="en-US"/>
        </w:rPr>
        <w:t>User Modeling and User-Adapted Interaction</w:t>
      </w:r>
      <w:r w:rsidRPr="00714445">
        <w:rPr>
          <w:rFonts w:ascii="Arial" w:hAnsi="Arial" w:cs="Arial"/>
          <w:sz w:val="22"/>
          <w:szCs w:val="22"/>
          <w:lang w:val="en-US"/>
        </w:rPr>
        <w:t>, </w:t>
      </w:r>
      <w:r w:rsidRPr="00714445">
        <w:rPr>
          <w:rStyle w:val="nfasis"/>
          <w:rFonts w:ascii="Arial" w:hAnsi="Arial" w:cs="Arial"/>
          <w:sz w:val="22"/>
          <w:szCs w:val="22"/>
          <w:lang w:val="en-US"/>
        </w:rPr>
        <w:t>25</w:t>
      </w:r>
      <w:r w:rsidRPr="00714445">
        <w:rPr>
          <w:rFonts w:ascii="Arial" w:hAnsi="Arial" w:cs="Arial"/>
          <w:sz w:val="22"/>
          <w:szCs w:val="22"/>
          <w:lang w:val="en-US"/>
        </w:rPr>
        <w:t>(5), 485-506. </w:t>
      </w:r>
      <w:hyperlink r:id="rId7" w:tgtFrame="_blank" w:history="1">
        <w:r w:rsidRPr="00714445">
          <w:rPr>
            <w:rStyle w:val="Hipervnculo"/>
            <w:rFonts w:ascii="Arial" w:hAnsi="Arial" w:cs="Arial"/>
            <w:color w:val="0969DA"/>
            <w:sz w:val="22"/>
            <w:szCs w:val="22"/>
            <w:lang w:val="en-US"/>
          </w:rPr>
          <w:t>https://doi.org/10.1007/s11257-015-9171-7</w:t>
        </w:r>
      </w:hyperlink>
    </w:p>
    <w:p w14:paraId="5F044CDB"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Cebrián, G. (2018). </w:t>
      </w:r>
      <w:r w:rsidRPr="00714445">
        <w:rPr>
          <w:rStyle w:val="nfasis"/>
          <w:rFonts w:ascii="Arial" w:hAnsi="Arial" w:cs="Arial"/>
          <w:sz w:val="22"/>
          <w:szCs w:val="22"/>
        </w:rPr>
        <w:t>Didáctica universitaria: Claves para la mejora educativa</w:t>
      </w:r>
      <w:r w:rsidRPr="00714445">
        <w:rPr>
          <w:rFonts w:ascii="Arial" w:hAnsi="Arial" w:cs="Arial"/>
          <w:sz w:val="22"/>
          <w:szCs w:val="22"/>
        </w:rPr>
        <w:t> (4.ª ed.). Ediciones Pirámide.</w:t>
      </w:r>
    </w:p>
    <w:p w14:paraId="43054407"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García, R., &amp; García, E. (2015). Estrategias de enseñanza y aprendizaje: El caso de la educación superior. </w:t>
      </w:r>
      <w:r w:rsidRPr="00714445">
        <w:rPr>
          <w:rStyle w:val="nfasis"/>
          <w:rFonts w:ascii="Arial" w:hAnsi="Arial" w:cs="Arial"/>
          <w:sz w:val="22"/>
          <w:szCs w:val="22"/>
        </w:rPr>
        <w:t>Revista de Educación Superior</w:t>
      </w:r>
      <w:r w:rsidRPr="00714445">
        <w:rPr>
          <w:rFonts w:ascii="Arial" w:hAnsi="Arial" w:cs="Arial"/>
          <w:sz w:val="22"/>
          <w:szCs w:val="22"/>
        </w:rPr>
        <w:t>, </w:t>
      </w:r>
      <w:r w:rsidRPr="00714445">
        <w:rPr>
          <w:rStyle w:val="nfasis"/>
          <w:rFonts w:ascii="Arial" w:hAnsi="Arial" w:cs="Arial"/>
          <w:sz w:val="22"/>
          <w:szCs w:val="22"/>
        </w:rPr>
        <w:t>36</w:t>
      </w:r>
      <w:r w:rsidRPr="00714445">
        <w:rPr>
          <w:rFonts w:ascii="Arial" w:hAnsi="Arial" w:cs="Arial"/>
          <w:sz w:val="22"/>
          <w:szCs w:val="22"/>
        </w:rPr>
        <w:t>(1), 57-72. </w:t>
      </w:r>
      <w:hyperlink r:id="rId8" w:tgtFrame="_blank" w:history="1">
        <w:r w:rsidRPr="00714445">
          <w:rPr>
            <w:rStyle w:val="Hipervnculo"/>
            <w:rFonts w:ascii="Arial" w:hAnsi="Arial" w:cs="Arial"/>
            <w:color w:val="0969DA"/>
            <w:sz w:val="22"/>
            <w:szCs w:val="22"/>
          </w:rPr>
          <w:t>https://doi.org/10.1016/j.reses.2015.08.001</w:t>
        </w:r>
      </w:hyperlink>
    </w:p>
    <w:p w14:paraId="3C0F8B8C"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González, Á. M. (2019). </w:t>
      </w:r>
      <w:r w:rsidRPr="00714445">
        <w:rPr>
          <w:rStyle w:val="nfasis"/>
          <w:rFonts w:ascii="Arial" w:hAnsi="Arial" w:cs="Arial"/>
          <w:sz w:val="22"/>
          <w:szCs w:val="22"/>
        </w:rPr>
        <w:t>Metodologías activas en la educación</w:t>
      </w:r>
      <w:r w:rsidRPr="00714445">
        <w:rPr>
          <w:rFonts w:ascii="Arial" w:hAnsi="Arial" w:cs="Arial"/>
          <w:sz w:val="22"/>
          <w:szCs w:val="22"/>
        </w:rPr>
        <w:t> (2.ª ed.). Ediciones Siruela.</w:t>
      </w:r>
    </w:p>
    <w:p w14:paraId="3B694CE1" w14:textId="77777777" w:rsidR="00714445" w:rsidRPr="00714445" w:rsidRDefault="00714445" w:rsidP="00714445">
      <w:pPr>
        <w:spacing w:after="120"/>
        <w:jc w:val="both"/>
        <w:rPr>
          <w:rFonts w:ascii="Arial" w:eastAsia="Arial" w:hAnsi="Arial"/>
          <w:sz w:val="22"/>
          <w:szCs w:val="22"/>
        </w:rPr>
      </w:pPr>
      <w:r w:rsidRPr="00714445">
        <w:rPr>
          <w:rFonts w:ascii="Arial" w:eastAsia="Arial" w:hAnsi="Arial"/>
          <w:sz w:val="22"/>
          <w:szCs w:val="22"/>
        </w:rPr>
        <w:t>Hernández, A. (s/a): “Las estrategias de aprendizaje como un medio de apoyo en el proceso de asimilación”. CEPES, UH. Material en soporte digital.</w:t>
      </w:r>
    </w:p>
    <w:p w14:paraId="51B73778"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Lozano, A., &amp; Ramírez, J. (2020). Desarrollo de competencias digitales en estudiantes universitarios. </w:t>
      </w:r>
      <w:r w:rsidRPr="00714445">
        <w:rPr>
          <w:rStyle w:val="nfasis"/>
          <w:rFonts w:ascii="Arial" w:hAnsi="Arial" w:cs="Arial"/>
          <w:sz w:val="22"/>
          <w:szCs w:val="22"/>
        </w:rPr>
        <w:t>Revista Iberoamericana de Educación a Distancia</w:t>
      </w:r>
      <w:r w:rsidRPr="00714445">
        <w:rPr>
          <w:rFonts w:ascii="Arial" w:hAnsi="Arial" w:cs="Arial"/>
          <w:sz w:val="22"/>
          <w:szCs w:val="22"/>
        </w:rPr>
        <w:t>, </w:t>
      </w:r>
      <w:r w:rsidRPr="00714445">
        <w:rPr>
          <w:rStyle w:val="nfasis"/>
          <w:rFonts w:ascii="Arial" w:hAnsi="Arial" w:cs="Arial"/>
          <w:sz w:val="22"/>
          <w:szCs w:val="22"/>
        </w:rPr>
        <w:t>23</w:t>
      </w:r>
      <w:r w:rsidRPr="00714445">
        <w:rPr>
          <w:rFonts w:ascii="Arial" w:hAnsi="Arial" w:cs="Arial"/>
          <w:sz w:val="22"/>
          <w:szCs w:val="22"/>
        </w:rPr>
        <w:t>(1), 9-24. </w:t>
      </w:r>
      <w:hyperlink r:id="rId9" w:tgtFrame="_blank" w:history="1">
        <w:r w:rsidRPr="00714445">
          <w:rPr>
            <w:rStyle w:val="Hipervnculo"/>
            <w:rFonts w:ascii="Arial" w:hAnsi="Arial" w:cs="Arial"/>
            <w:color w:val="0969DA"/>
            <w:sz w:val="22"/>
            <w:szCs w:val="22"/>
          </w:rPr>
          <w:t>https://www.reded.es/</w:t>
        </w:r>
        <w:r w:rsidRPr="00714445">
          <w:rPr>
            <w:rStyle w:val="Hipervnculo"/>
            <w:rFonts w:ascii="Arial" w:hAnsi="Arial" w:cs="Arial"/>
            <w:color w:val="0969DA"/>
            <w:sz w:val="22"/>
            <w:szCs w:val="22"/>
          </w:rPr>
          <w:t>r</w:t>
        </w:r>
        <w:r w:rsidRPr="00714445">
          <w:rPr>
            <w:rStyle w:val="Hipervnculo"/>
            <w:rFonts w:ascii="Arial" w:hAnsi="Arial" w:cs="Arial"/>
            <w:color w:val="0969DA"/>
            <w:sz w:val="22"/>
            <w:szCs w:val="22"/>
          </w:rPr>
          <w:t>evista/index.php/riead/article/view/2867</w:t>
        </w:r>
      </w:hyperlink>
    </w:p>
    <w:p w14:paraId="7CD7C75D" w14:textId="77777777" w:rsidR="00714445" w:rsidRPr="00714445" w:rsidRDefault="00714445" w:rsidP="00714445">
      <w:pPr>
        <w:pStyle w:val="NormalWeb"/>
        <w:shd w:val="clear" w:color="auto" w:fill="FFFFFF"/>
        <w:spacing w:before="0" w:beforeAutospacing="0" w:after="120" w:afterAutospacing="0"/>
        <w:ind w:left="360"/>
        <w:jc w:val="both"/>
        <w:rPr>
          <w:rFonts w:ascii="Arial" w:hAnsi="Arial" w:cs="Arial"/>
          <w:sz w:val="22"/>
          <w:szCs w:val="22"/>
          <w:lang w:val="en-US"/>
        </w:rPr>
      </w:pPr>
      <w:r w:rsidRPr="00714445">
        <w:rPr>
          <w:rFonts w:ascii="Arial" w:hAnsi="Arial" w:cs="Arial"/>
          <w:sz w:val="22"/>
          <w:szCs w:val="22"/>
          <w:lang w:val="en-US"/>
        </w:rPr>
        <w:t>Margaryan, A., &amp; Littlejohn, A. (2008). Are digital natives a myth or reality? Students' use of Web 2.0 technologies. </w:t>
      </w:r>
      <w:r w:rsidRPr="00714445">
        <w:rPr>
          <w:rStyle w:val="nfasis"/>
          <w:rFonts w:ascii="Arial" w:hAnsi="Arial" w:cs="Arial"/>
          <w:sz w:val="22"/>
          <w:szCs w:val="22"/>
          <w:lang w:val="en-US"/>
        </w:rPr>
        <w:t>Computers &amp; Education</w:t>
      </w:r>
      <w:r w:rsidRPr="00714445">
        <w:rPr>
          <w:rFonts w:ascii="Arial" w:hAnsi="Arial" w:cs="Arial"/>
          <w:sz w:val="22"/>
          <w:szCs w:val="22"/>
          <w:lang w:val="en-US"/>
        </w:rPr>
        <w:t>, </w:t>
      </w:r>
      <w:r w:rsidRPr="00714445">
        <w:rPr>
          <w:rStyle w:val="nfasis"/>
          <w:rFonts w:ascii="Arial" w:hAnsi="Arial" w:cs="Arial"/>
          <w:sz w:val="22"/>
          <w:szCs w:val="22"/>
          <w:lang w:val="en-US"/>
        </w:rPr>
        <w:t>54</w:t>
      </w:r>
      <w:r w:rsidRPr="00714445">
        <w:rPr>
          <w:rFonts w:ascii="Arial" w:hAnsi="Arial" w:cs="Arial"/>
          <w:sz w:val="22"/>
          <w:szCs w:val="22"/>
          <w:lang w:val="en-US"/>
        </w:rPr>
        <w:t>(3), 176-182. </w:t>
      </w:r>
      <w:hyperlink r:id="rId10" w:tgtFrame="_blank" w:history="1">
        <w:r w:rsidRPr="00714445">
          <w:rPr>
            <w:rStyle w:val="Hipervnculo"/>
            <w:rFonts w:ascii="Arial" w:hAnsi="Arial" w:cs="Arial"/>
            <w:color w:val="0969DA"/>
            <w:sz w:val="22"/>
            <w:szCs w:val="22"/>
            <w:lang w:val="en-US"/>
          </w:rPr>
          <w:t>https://doi.org/10.1016/j.compedu.2007.09.004</w:t>
        </w:r>
      </w:hyperlink>
    </w:p>
    <w:p w14:paraId="7D0833A4"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Martínez, A., &amp; Sosa, R. (2016). Uso de las TIC en la formación de docentes: Implicaciones pedagógicas. </w:t>
      </w:r>
      <w:r w:rsidRPr="00714445">
        <w:rPr>
          <w:rStyle w:val="nfasis"/>
          <w:rFonts w:ascii="Arial" w:hAnsi="Arial" w:cs="Arial"/>
          <w:sz w:val="22"/>
          <w:szCs w:val="22"/>
        </w:rPr>
        <w:t>Revista de Tecnología y Educación</w:t>
      </w:r>
      <w:r w:rsidRPr="00714445">
        <w:rPr>
          <w:rFonts w:ascii="Arial" w:hAnsi="Arial" w:cs="Arial"/>
          <w:sz w:val="22"/>
          <w:szCs w:val="22"/>
        </w:rPr>
        <w:t>, </w:t>
      </w:r>
      <w:r w:rsidRPr="00714445">
        <w:rPr>
          <w:rStyle w:val="nfasis"/>
          <w:rFonts w:ascii="Arial" w:hAnsi="Arial" w:cs="Arial"/>
          <w:sz w:val="22"/>
          <w:szCs w:val="22"/>
        </w:rPr>
        <w:t>8</w:t>
      </w:r>
      <w:r w:rsidRPr="00714445">
        <w:rPr>
          <w:rFonts w:ascii="Arial" w:hAnsi="Arial" w:cs="Arial"/>
          <w:sz w:val="22"/>
          <w:szCs w:val="22"/>
        </w:rPr>
        <w:t>(2), 45-58. </w:t>
      </w:r>
      <w:hyperlink r:id="rId11" w:tgtFrame="_blank" w:history="1">
        <w:r w:rsidRPr="00714445">
          <w:rPr>
            <w:rStyle w:val="Hipervnculo"/>
            <w:rFonts w:ascii="Arial" w:hAnsi="Arial" w:cs="Arial"/>
            <w:color w:val="0969DA"/>
            <w:sz w:val="22"/>
            <w:szCs w:val="22"/>
          </w:rPr>
          <w:t>https://www.redalyc.org/articulo.oa?id=43149086005</w:t>
        </w:r>
      </w:hyperlink>
    </w:p>
    <w:p w14:paraId="3EB21A55"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Mora, J., &amp; Roldán, M. (2019). La gamificación como estrategia innovadora en el aula. </w:t>
      </w:r>
      <w:r w:rsidRPr="00714445">
        <w:rPr>
          <w:rStyle w:val="nfasis"/>
          <w:rFonts w:ascii="Arial" w:hAnsi="Arial" w:cs="Arial"/>
          <w:sz w:val="22"/>
          <w:szCs w:val="22"/>
        </w:rPr>
        <w:t>Revista Electrónica de Investigación Educativa</w:t>
      </w:r>
      <w:r w:rsidRPr="00714445">
        <w:rPr>
          <w:rFonts w:ascii="Arial" w:hAnsi="Arial" w:cs="Arial"/>
          <w:sz w:val="22"/>
          <w:szCs w:val="22"/>
        </w:rPr>
        <w:t>, </w:t>
      </w:r>
      <w:r w:rsidRPr="00714445">
        <w:rPr>
          <w:rStyle w:val="nfasis"/>
          <w:rFonts w:ascii="Arial" w:hAnsi="Arial" w:cs="Arial"/>
          <w:sz w:val="22"/>
          <w:szCs w:val="22"/>
        </w:rPr>
        <w:t>21</w:t>
      </w:r>
      <w:r w:rsidRPr="00714445">
        <w:rPr>
          <w:rFonts w:ascii="Arial" w:hAnsi="Arial" w:cs="Arial"/>
          <w:sz w:val="22"/>
          <w:szCs w:val="22"/>
        </w:rPr>
        <w:t>(1), 54-67. </w:t>
      </w:r>
      <w:hyperlink r:id="rId12" w:tgtFrame="_blank" w:history="1">
        <w:r w:rsidRPr="00714445">
          <w:rPr>
            <w:rStyle w:val="Hipervnculo"/>
            <w:rFonts w:ascii="Arial" w:hAnsi="Arial" w:cs="Arial"/>
            <w:color w:val="0969DA"/>
            <w:sz w:val="22"/>
            <w:szCs w:val="22"/>
          </w:rPr>
          <w:t>https://www.redie.uabc.mx/redie/article/view/1758</w:t>
        </w:r>
      </w:hyperlink>
    </w:p>
    <w:p w14:paraId="51A8FD2E"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Morales, J. (2020). </w:t>
      </w:r>
      <w:r w:rsidRPr="00714445">
        <w:rPr>
          <w:rStyle w:val="nfasis"/>
          <w:rFonts w:ascii="Arial" w:hAnsi="Arial" w:cs="Arial"/>
          <w:sz w:val="22"/>
          <w:szCs w:val="22"/>
        </w:rPr>
        <w:t>Las TIC en la educación: Un enfoque metodológico</w:t>
      </w:r>
      <w:r w:rsidRPr="00714445">
        <w:rPr>
          <w:rFonts w:ascii="Arial" w:hAnsi="Arial" w:cs="Arial"/>
          <w:sz w:val="22"/>
          <w:szCs w:val="22"/>
        </w:rPr>
        <w:t>. Publicaciones de la Universidad de Granada.</w:t>
      </w:r>
    </w:p>
    <w:p w14:paraId="5B05A06E" w14:textId="77777777" w:rsidR="00714445" w:rsidRPr="00714445" w:rsidRDefault="00714445" w:rsidP="00714445">
      <w:pPr>
        <w:spacing w:after="120"/>
        <w:jc w:val="both"/>
        <w:rPr>
          <w:rFonts w:ascii="Arial" w:eastAsia="Arial" w:hAnsi="Arial"/>
          <w:sz w:val="22"/>
          <w:szCs w:val="22"/>
        </w:rPr>
      </w:pPr>
      <w:r w:rsidRPr="00714445">
        <w:rPr>
          <w:rFonts w:ascii="Arial" w:eastAsia="Arial" w:hAnsi="Arial"/>
          <w:sz w:val="22"/>
          <w:szCs w:val="22"/>
        </w:rPr>
        <w:t>Moreno, M. T., (2015) “Compendio de Estrategias de aprendizaje”. Centro de Estudios de Ciencias de la Educación “Enrique José Varona”. Universidad de Camagüey. Cuba.</w:t>
      </w:r>
    </w:p>
    <w:p w14:paraId="01E88A2F"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t>Pérez, A., &amp; Álvarez, J. (2021). </w:t>
      </w:r>
      <w:r w:rsidRPr="00714445">
        <w:rPr>
          <w:rStyle w:val="nfasis"/>
          <w:rFonts w:ascii="Arial" w:hAnsi="Arial" w:cs="Arial"/>
          <w:sz w:val="22"/>
          <w:szCs w:val="22"/>
        </w:rPr>
        <w:t>Estrategias de enseñanza para el siglo XXI: Enfoques didácticos para la educación superior</w:t>
      </w:r>
      <w:r w:rsidRPr="00714445">
        <w:rPr>
          <w:rFonts w:ascii="Arial" w:hAnsi="Arial" w:cs="Arial"/>
          <w:sz w:val="22"/>
          <w:szCs w:val="22"/>
        </w:rPr>
        <w:t>. Editorial Narcea.</w:t>
      </w:r>
    </w:p>
    <w:p w14:paraId="5109E7F8" w14:textId="77777777" w:rsidR="00714445" w:rsidRPr="00714445" w:rsidRDefault="00714445" w:rsidP="00714445">
      <w:pPr>
        <w:pStyle w:val="NormalWeb"/>
        <w:shd w:val="clear" w:color="auto" w:fill="FFFFFF"/>
        <w:spacing w:before="0" w:beforeAutospacing="0" w:after="120" w:afterAutospacing="0"/>
        <w:jc w:val="both"/>
        <w:rPr>
          <w:rFonts w:ascii="Arial" w:hAnsi="Arial" w:cs="Arial"/>
          <w:sz w:val="22"/>
          <w:szCs w:val="22"/>
        </w:rPr>
      </w:pPr>
      <w:r w:rsidRPr="00714445">
        <w:rPr>
          <w:rFonts w:ascii="Arial" w:hAnsi="Arial" w:cs="Arial"/>
          <w:sz w:val="22"/>
          <w:szCs w:val="22"/>
        </w:rPr>
        <w:lastRenderedPageBreak/>
        <w:t>Rincón, I. (2017). Metodologías activas de enseñanza en la formación profesional. </w:t>
      </w:r>
      <w:r w:rsidRPr="00714445">
        <w:rPr>
          <w:rStyle w:val="nfasis"/>
          <w:rFonts w:ascii="Arial" w:hAnsi="Arial" w:cs="Arial"/>
          <w:sz w:val="22"/>
          <w:szCs w:val="22"/>
        </w:rPr>
        <w:t>Educación y Educadores</w:t>
      </w:r>
      <w:r w:rsidRPr="00714445">
        <w:rPr>
          <w:rFonts w:ascii="Arial" w:hAnsi="Arial" w:cs="Arial"/>
          <w:sz w:val="22"/>
          <w:szCs w:val="22"/>
        </w:rPr>
        <w:t>, </w:t>
      </w:r>
      <w:r w:rsidRPr="00714445">
        <w:rPr>
          <w:rStyle w:val="nfasis"/>
          <w:rFonts w:ascii="Arial" w:hAnsi="Arial" w:cs="Arial"/>
          <w:sz w:val="22"/>
          <w:szCs w:val="22"/>
        </w:rPr>
        <w:t>20</w:t>
      </w:r>
      <w:r w:rsidRPr="00714445">
        <w:rPr>
          <w:rFonts w:ascii="Arial" w:hAnsi="Arial" w:cs="Arial"/>
          <w:sz w:val="22"/>
          <w:szCs w:val="22"/>
        </w:rPr>
        <w:t>(1), 123-136. </w:t>
      </w:r>
      <w:hyperlink r:id="rId13" w:tgtFrame="_blank" w:history="1">
        <w:r w:rsidRPr="00714445">
          <w:rPr>
            <w:rStyle w:val="Hipervnculo"/>
            <w:rFonts w:ascii="Arial" w:hAnsi="Arial" w:cs="Arial"/>
            <w:color w:val="0969DA"/>
            <w:sz w:val="22"/>
            <w:szCs w:val="22"/>
          </w:rPr>
          <w:t>https://doi.org/10.5294/edu.2017.20.1.7</w:t>
        </w:r>
      </w:hyperlink>
    </w:p>
    <w:p w14:paraId="0414E619" w14:textId="77777777" w:rsidR="00714445" w:rsidRPr="00714445" w:rsidRDefault="00714445" w:rsidP="00714445">
      <w:pPr>
        <w:spacing w:after="120"/>
        <w:jc w:val="both"/>
        <w:rPr>
          <w:rFonts w:ascii="Arial" w:eastAsia="Arial" w:hAnsi="Arial"/>
          <w:color w:val="0000FF"/>
          <w:sz w:val="22"/>
          <w:szCs w:val="22"/>
          <w:u w:val="single"/>
        </w:rPr>
      </w:pPr>
      <w:r w:rsidRPr="00714445">
        <w:rPr>
          <w:rFonts w:ascii="Arial" w:eastAsia="Arial" w:hAnsi="Arial"/>
          <w:sz w:val="22"/>
          <w:szCs w:val="22"/>
        </w:rPr>
        <w:t xml:space="preserve">Wompner, F., y Fernández, R., (2007). “Aprender a aprender. Un método valioso para la educación superior.” En Observatorio de la Economía Latinoamericana 72, Disponible en </w:t>
      </w:r>
      <w:hyperlink r:id="rId14" w:history="1">
        <w:r w:rsidRPr="00714445">
          <w:rPr>
            <w:rFonts w:ascii="Arial" w:eastAsia="Arial" w:hAnsi="Arial"/>
            <w:color w:val="0000FF"/>
            <w:sz w:val="22"/>
            <w:szCs w:val="22"/>
            <w:u w:val="single"/>
          </w:rPr>
          <w:t>www.eumed.net/cursecon/ecolat/cl/</w:t>
        </w:r>
      </w:hyperlink>
    </w:p>
    <w:p w14:paraId="4DC8418D" w14:textId="5F56C05F" w:rsidR="00CE2574" w:rsidRPr="00714445" w:rsidRDefault="00CE2574" w:rsidP="00714445">
      <w:pPr>
        <w:spacing w:after="120"/>
        <w:rPr>
          <w:rFonts w:ascii="Arial" w:eastAsia="Arial" w:hAnsi="Arial"/>
          <w:sz w:val="22"/>
          <w:szCs w:val="22"/>
          <w:lang w:val="en-US"/>
        </w:rPr>
      </w:pPr>
    </w:p>
    <w:p w14:paraId="6DAB7DA9" w14:textId="77777777" w:rsidR="00CE2574" w:rsidRPr="00714445" w:rsidRDefault="00CE2574" w:rsidP="00714445">
      <w:pPr>
        <w:spacing w:after="120"/>
        <w:rPr>
          <w:rFonts w:ascii="Arial" w:eastAsia="Arial" w:hAnsi="Arial"/>
          <w:b/>
          <w:sz w:val="22"/>
          <w:szCs w:val="22"/>
          <w:lang w:val="en-US"/>
        </w:rPr>
      </w:pPr>
    </w:p>
    <w:p w14:paraId="6700BB9F" w14:textId="77777777" w:rsidR="00B27569" w:rsidRPr="00714445" w:rsidRDefault="00B27569" w:rsidP="00714445">
      <w:pPr>
        <w:spacing w:after="120"/>
        <w:rPr>
          <w:rFonts w:ascii="Arial" w:hAnsi="Arial"/>
          <w:sz w:val="22"/>
          <w:szCs w:val="22"/>
          <w:lang w:val="en-US"/>
        </w:rPr>
      </w:pPr>
    </w:p>
    <w:sectPr w:rsidR="00B27569" w:rsidRPr="00714445" w:rsidSect="00CE25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752"/>
    <w:multiLevelType w:val="hybridMultilevel"/>
    <w:tmpl w:val="09C4E70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64F0E22"/>
    <w:multiLevelType w:val="multilevel"/>
    <w:tmpl w:val="C286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C3F7C"/>
    <w:multiLevelType w:val="multilevel"/>
    <w:tmpl w:val="8FD09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7B2E15"/>
    <w:multiLevelType w:val="hybridMultilevel"/>
    <w:tmpl w:val="49746AFA"/>
    <w:lvl w:ilvl="0" w:tplc="0409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3C1782A"/>
    <w:multiLevelType w:val="hybridMultilevel"/>
    <w:tmpl w:val="62E8D15A"/>
    <w:lvl w:ilvl="0" w:tplc="0409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7B"/>
    <w:rsid w:val="000761FD"/>
    <w:rsid w:val="00391A94"/>
    <w:rsid w:val="003B7DC7"/>
    <w:rsid w:val="00486AE9"/>
    <w:rsid w:val="005260E8"/>
    <w:rsid w:val="006F2B2F"/>
    <w:rsid w:val="00714445"/>
    <w:rsid w:val="007C09C9"/>
    <w:rsid w:val="007D0227"/>
    <w:rsid w:val="0081054E"/>
    <w:rsid w:val="008929EF"/>
    <w:rsid w:val="008B73DF"/>
    <w:rsid w:val="008C5FE9"/>
    <w:rsid w:val="008E7D34"/>
    <w:rsid w:val="00A3367B"/>
    <w:rsid w:val="00B27569"/>
    <w:rsid w:val="00B3031F"/>
    <w:rsid w:val="00BC61DE"/>
    <w:rsid w:val="00CE2574"/>
    <w:rsid w:val="00EA5315"/>
    <w:rsid w:val="00EE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F52A"/>
  <w15:docId w15:val="{2EB6514E-F7FE-429A-A480-BAA97559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74"/>
    <w:pPr>
      <w:spacing w:after="0" w:line="240" w:lineRule="auto"/>
    </w:pPr>
    <w:rPr>
      <w:rFonts w:ascii="Calibri" w:eastAsia="Calibri" w:hAnsi="Calibri"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5FE9"/>
    <w:rPr>
      <w:color w:val="0563C1" w:themeColor="hyperlink"/>
      <w:u w:val="single"/>
    </w:rPr>
  </w:style>
  <w:style w:type="character" w:styleId="Mencinsinresolver">
    <w:name w:val="Unresolved Mention"/>
    <w:basedOn w:val="Fuentedeprrafopredeter"/>
    <w:uiPriority w:val="99"/>
    <w:semiHidden/>
    <w:unhideWhenUsed/>
    <w:rsid w:val="008C5FE9"/>
    <w:rPr>
      <w:color w:val="605E5C"/>
      <w:shd w:val="clear" w:color="auto" w:fill="E1DFDD"/>
    </w:rPr>
  </w:style>
  <w:style w:type="paragraph" w:styleId="NormalWeb">
    <w:name w:val="Normal (Web)"/>
    <w:basedOn w:val="Normal"/>
    <w:uiPriority w:val="99"/>
    <w:unhideWhenUsed/>
    <w:rsid w:val="003B7DC7"/>
    <w:pPr>
      <w:spacing w:before="100" w:beforeAutospacing="1" w:after="100" w:afterAutospacing="1"/>
    </w:pPr>
    <w:rPr>
      <w:rFonts w:ascii="Times New Roman" w:eastAsia="Times New Roman" w:hAnsi="Times New Roman" w:cs="Times New Roman"/>
      <w:sz w:val="24"/>
      <w:szCs w:val="24"/>
      <w:lang w:val="es-CU" w:eastAsia="es-CU"/>
    </w:rPr>
  </w:style>
  <w:style w:type="character" w:styleId="Textoennegrita">
    <w:name w:val="Strong"/>
    <w:basedOn w:val="Fuentedeprrafopredeter"/>
    <w:uiPriority w:val="22"/>
    <w:qFormat/>
    <w:rsid w:val="003B7DC7"/>
    <w:rPr>
      <w:b/>
      <w:bCs/>
    </w:rPr>
  </w:style>
  <w:style w:type="paragraph" w:styleId="Prrafodelista">
    <w:name w:val="List Paragraph"/>
    <w:basedOn w:val="Normal"/>
    <w:uiPriority w:val="34"/>
    <w:qFormat/>
    <w:rsid w:val="003B7DC7"/>
    <w:pPr>
      <w:ind w:left="720"/>
      <w:contextualSpacing/>
    </w:pPr>
  </w:style>
  <w:style w:type="character" w:styleId="nfasis">
    <w:name w:val="Emphasis"/>
    <w:basedOn w:val="Fuentedeprrafopredeter"/>
    <w:uiPriority w:val="20"/>
    <w:qFormat/>
    <w:rsid w:val="00714445"/>
    <w:rPr>
      <w:i/>
      <w:iCs/>
    </w:rPr>
  </w:style>
  <w:style w:type="character" w:styleId="Hipervnculovisitado">
    <w:name w:val="FollowedHyperlink"/>
    <w:basedOn w:val="Fuentedeprrafopredeter"/>
    <w:uiPriority w:val="99"/>
    <w:semiHidden/>
    <w:unhideWhenUsed/>
    <w:rsid w:val="00714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reses.2015.08.001" TargetMode="External"/><Relationship Id="rId13" Type="http://schemas.openxmlformats.org/officeDocument/2006/relationships/hyperlink" Target="https://doi.org/10.5294/edu.2017.20.1.7" TargetMode="External"/><Relationship Id="rId3" Type="http://schemas.openxmlformats.org/officeDocument/2006/relationships/settings" Target="settings.xml"/><Relationship Id="rId7" Type="http://schemas.openxmlformats.org/officeDocument/2006/relationships/hyperlink" Target="https://doi.org/10.1007/s11257-015-9171-7" TargetMode="External"/><Relationship Id="rId12" Type="http://schemas.openxmlformats.org/officeDocument/2006/relationships/hyperlink" Target="https://www.redie.uabc.mx/redie/article/view/17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11/j.1365-2729.2010.00360.x" TargetMode="External"/><Relationship Id="rId11" Type="http://schemas.openxmlformats.org/officeDocument/2006/relationships/hyperlink" Target="https://www.redalyc.org/articulo.oa?id=43149086005" TargetMode="External"/><Relationship Id="rId5" Type="http://schemas.openxmlformats.org/officeDocument/2006/relationships/hyperlink" Target="mailto:albeglez0@gmail.com" TargetMode="External"/><Relationship Id="rId15" Type="http://schemas.openxmlformats.org/officeDocument/2006/relationships/fontTable" Target="fontTable.xml"/><Relationship Id="rId10" Type="http://schemas.openxmlformats.org/officeDocument/2006/relationships/hyperlink" Target="https://doi.org/10.1016/j.compedu.2007.09.004" TargetMode="External"/><Relationship Id="rId4" Type="http://schemas.openxmlformats.org/officeDocument/2006/relationships/webSettings" Target="webSettings.xml"/><Relationship Id="rId9" Type="http://schemas.openxmlformats.org/officeDocument/2006/relationships/hyperlink" Target="https://www.reded.es/revista/index.php/riead/article/view/2867" TargetMode="External"/><Relationship Id="rId14" Type="http://schemas.openxmlformats.org/officeDocument/2006/relationships/hyperlink" Target="http://www.eumed.net/cursecon/ecolat/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3359</Words>
  <Characters>18475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Albe2Glez</cp:lastModifiedBy>
  <cp:revision>2</cp:revision>
  <dcterms:created xsi:type="dcterms:W3CDTF">2025-01-09T01:53:00Z</dcterms:created>
  <dcterms:modified xsi:type="dcterms:W3CDTF">2025-01-09T01:53:00Z</dcterms:modified>
</cp:coreProperties>
</file>