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1A0" w:rsidRPr="0096722E" w:rsidRDefault="008D11A0" w:rsidP="0096722E">
      <w:pPr>
        <w:jc w:val="both"/>
        <w:rPr>
          <w:rFonts w:ascii="Arial" w:hAnsi="Arial" w:cs="Arial"/>
          <w:b/>
        </w:rPr>
      </w:pPr>
      <w:bookmarkStart w:id="0" w:name="_GoBack"/>
      <w:bookmarkEnd w:id="0"/>
      <w:r w:rsidRPr="0096722E">
        <w:rPr>
          <w:rFonts w:ascii="Arial" w:hAnsi="Arial" w:cs="Arial"/>
          <w:b/>
        </w:rPr>
        <w:t>GUÍA DE ESTUDIO COMUNICACIÓN EDUCATIVA EN EL PROCESO PEDAGÓGICO</w:t>
      </w:r>
    </w:p>
    <w:p w:rsidR="008D11A0" w:rsidRPr="0096722E" w:rsidRDefault="008D11A0" w:rsidP="0096722E">
      <w:pPr>
        <w:jc w:val="both"/>
        <w:rPr>
          <w:rFonts w:ascii="Arial" w:hAnsi="Arial" w:cs="Arial"/>
          <w:b/>
        </w:rPr>
      </w:pPr>
      <w:r w:rsidRPr="0096722E">
        <w:rPr>
          <w:rFonts w:ascii="Arial" w:hAnsi="Arial" w:cs="Arial"/>
          <w:b/>
        </w:rPr>
        <w:t>Autora: Rafaela Cr</w:t>
      </w:r>
      <w:r w:rsidR="004C2A13">
        <w:rPr>
          <w:rFonts w:ascii="Arial" w:hAnsi="Arial" w:cs="Arial"/>
          <w:b/>
        </w:rPr>
        <w:t>uzata Guzmán, Profesora Titular</w:t>
      </w:r>
      <w:r w:rsidRPr="0096722E">
        <w:rPr>
          <w:rFonts w:ascii="Arial" w:hAnsi="Arial" w:cs="Arial"/>
          <w:b/>
        </w:rPr>
        <w:t>, Dr</w:t>
      </w:r>
      <w:r w:rsidR="002023B5">
        <w:rPr>
          <w:rFonts w:ascii="Arial" w:hAnsi="Arial" w:cs="Arial"/>
          <w:b/>
        </w:rPr>
        <w:t xml:space="preserve"> </w:t>
      </w:r>
      <w:r w:rsidRPr="0096722E">
        <w:rPr>
          <w:rFonts w:ascii="Arial" w:hAnsi="Arial" w:cs="Arial"/>
          <w:b/>
        </w:rPr>
        <w:t>C. Pedagógicas</w:t>
      </w:r>
    </w:p>
    <w:p w:rsidR="008D11A0" w:rsidRPr="0096722E" w:rsidRDefault="008D11A0" w:rsidP="0096722E">
      <w:pPr>
        <w:jc w:val="both"/>
        <w:rPr>
          <w:rFonts w:ascii="Arial" w:hAnsi="Arial" w:cs="Arial"/>
          <w:b/>
        </w:rPr>
      </w:pPr>
      <w:r w:rsidRPr="0096722E">
        <w:rPr>
          <w:rFonts w:ascii="Arial" w:hAnsi="Arial" w:cs="Arial"/>
          <w:b/>
        </w:rPr>
        <w:t>CURSO OBLIGATORIO</w:t>
      </w:r>
    </w:p>
    <w:p w:rsidR="008D11A0" w:rsidRPr="0096722E" w:rsidRDefault="008D11A0" w:rsidP="0096722E">
      <w:pPr>
        <w:jc w:val="both"/>
        <w:rPr>
          <w:rFonts w:ascii="Arial" w:hAnsi="Arial" w:cs="Arial"/>
        </w:rPr>
      </w:pPr>
      <w:r w:rsidRPr="0096722E">
        <w:rPr>
          <w:rFonts w:ascii="Arial" w:hAnsi="Arial" w:cs="Arial"/>
        </w:rPr>
        <w:t xml:space="preserve">La </w:t>
      </w:r>
      <w:r w:rsidR="002023B5" w:rsidRPr="0096722E">
        <w:rPr>
          <w:rFonts w:ascii="Arial" w:hAnsi="Arial" w:cs="Arial"/>
        </w:rPr>
        <w:t>guía lo</w:t>
      </w:r>
      <w:r w:rsidRPr="0096722E">
        <w:rPr>
          <w:rFonts w:ascii="Arial" w:hAnsi="Arial" w:cs="Arial"/>
        </w:rPr>
        <w:t xml:space="preserve"> orientará a usted en relación con los principales contenidos y objetivos que debe tratar y vencer en su formación como un buen docente y comunicador, estudioso de una maestría que le eleva su preparación en Didáctica para un desempeño docente educativo eficiente. Le permitirá además ubicarse en las actividades evaluativas. Recuerde esta guía está elaborada para el tema 1 que recibirá por la modalidad a distancia. </w:t>
      </w:r>
    </w:p>
    <w:p w:rsidR="00484CF0" w:rsidRPr="0096722E" w:rsidRDefault="008D11A0" w:rsidP="0096722E">
      <w:pPr>
        <w:jc w:val="both"/>
        <w:rPr>
          <w:rFonts w:ascii="Arial" w:eastAsia="SimSun" w:hAnsi="Arial" w:cs="Arial"/>
          <w:color w:val="000000"/>
          <w:lang w:val="es-MX" w:eastAsia="zh-CN"/>
        </w:rPr>
      </w:pPr>
      <w:r w:rsidRPr="0096722E">
        <w:rPr>
          <w:rFonts w:ascii="Arial" w:hAnsi="Arial" w:cs="Arial"/>
        </w:rPr>
        <w:t xml:space="preserve">El curso abarca </w:t>
      </w:r>
      <w:r w:rsidRPr="00C40CF6">
        <w:rPr>
          <w:rFonts w:ascii="Arial" w:hAnsi="Arial" w:cs="Arial"/>
          <w:b/>
        </w:rPr>
        <w:t>objetivos generales</w:t>
      </w:r>
      <w:r w:rsidRPr="0096722E">
        <w:rPr>
          <w:rFonts w:ascii="Arial" w:hAnsi="Arial" w:cs="Arial"/>
        </w:rPr>
        <w:t xml:space="preserve"> que lo ayudan en su autoanálisis crítico de cada contenido, y lo referimos a continuación: </w:t>
      </w:r>
      <w:r w:rsidR="00484CF0" w:rsidRPr="0096722E">
        <w:rPr>
          <w:rFonts w:ascii="Arial" w:eastAsia="SimSun" w:hAnsi="Arial" w:cs="Arial"/>
          <w:color w:val="000000"/>
          <w:lang w:val="es-MX" w:eastAsia="zh-CN"/>
        </w:rPr>
        <w:t>-Valorar los componentes de la comunicación, de la comunicación educativa y comunicación pedagógica, en el desempeño y la competencia profesional pedagógica, para la conducción del Proceso Pedagógico en la formación de niños, adolescentes, jóvenes y adultos, mediante la elaboración y aplicación de estrategias comunicativas, que favorezcan los mecanismos de interacción-comunicativa.</w:t>
      </w:r>
    </w:p>
    <w:p w:rsidR="00E47777" w:rsidRPr="0096722E" w:rsidRDefault="00CB3D25" w:rsidP="0096722E">
      <w:pPr>
        <w:spacing w:after="0"/>
        <w:jc w:val="both"/>
        <w:rPr>
          <w:rFonts w:ascii="Arial" w:hAnsi="Arial" w:cs="Arial"/>
          <w:b/>
        </w:rPr>
      </w:pPr>
      <w:r w:rsidRPr="0096722E">
        <w:rPr>
          <w:rFonts w:ascii="Arial" w:hAnsi="Arial" w:cs="Arial"/>
          <w:b/>
        </w:rPr>
        <w:t>Tema 1</w:t>
      </w:r>
      <w:r w:rsidR="008D11A0" w:rsidRPr="0096722E">
        <w:rPr>
          <w:rFonts w:ascii="Arial" w:hAnsi="Arial" w:cs="Arial"/>
          <w:b/>
        </w:rPr>
        <w:t xml:space="preserve">: </w:t>
      </w:r>
      <w:r w:rsidR="00E47777" w:rsidRPr="0096722E">
        <w:rPr>
          <w:rFonts w:ascii="Arial" w:hAnsi="Arial" w:cs="Arial"/>
          <w:b/>
        </w:rPr>
        <w:t xml:space="preserve">Teorías de la comunicación con enfoques subjetivos y enfoque materialista- dialéctico. La comunicación interpersonal como proceso psicológico. Su definición. Papel de la comunicación en la formación </w:t>
      </w:r>
      <w:r w:rsidR="005E6C0D" w:rsidRPr="0096722E">
        <w:rPr>
          <w:rFonts w:ascii="Arial" w:hAnsi="Arial" w:cs="Arial"/>
          <w:b/>
        </w:rPr>
        <w:t>de la</w:t>
      </w:r>
      <w:r w:rsidR="00E47777" w:rsidRPr="0096722E">
        <w:rPr>
          <w:rFonts w:ascii="Arial" w:hAnsi="Arial" w:cs="Arial"/>
          <w:b/>
        </w:rPr>
        <w:t xml:space="preserve"> subjetividad. La comunicación y la cognición. Relación con la neurociencia. La estructura y el funcionamiento del proceso comunicativo.</w:t>
      </w:r>
    </w:p>
    <w:p w:rsidR="00E47777" w:rsidRPr="0096722E" w:rsidRDefault="00E47777" w:rsidP="0096722E">
      <w:pPr>
        <w:jc w:val="both"/>
        <w:rPr>
          <w:rFonts w:ascii="Arial" w:hAnsi="Arial" w:cs="Arial"/>
          <w:b/>
        </w:rPr>
      </w:pPr>
    </w:p>
    <w:p w:rsidR="008D11A0" w:rsidRPr="0096722E" w:rsidRDefault="008D11A0" w:rsidP="0096722E">
      <w:pPr>
        <w:jc w:val="both"/>
        <w:rPr>
          <w:rFonts w:ascii="Arial" w:hAnsi="Arial" w:cs="Arial"/>
          <w:b/>
        </w:rPr>
      </w:pPr>
      <w:r w:rsidRPr="0096722E">
        <w:rPr>
          <w:rFonts w:ascii="Arial" w:hAnsi="Arial" w:cs="Arial"/>
          <w:b/>
        </w:rPr>
        <w:t xml:space="preserve">Objetivos </w:t>
      </w:r>
    </w:p>
    <w:p w:rsidR="0048064A" w:rsidRPr="0096722E" w:rsidRDefault="0048064A" w:rsidP="0096722E">
      <w:pPr>
        <w:jc w:val="both"/>
        <w:rPr>
          <w:rFonts w:ascii="Arial" w:eastAsia="SimSun" w:hAnsi="Arial" w:cs="Arial"/>
          <w:lang w:val="es-MX" w:eastAsia="zh-CN"/>
        </w:rPr>
      </w:pPr>
      <w:r w:rsidRPr="0096722E">
        <w:rPr>
          <w:rFonts w:ascii="Arial" w:eastAsia="SimSun" w:hAnsi="Arial" w:cs="Arial"/>
          <w:color w:val="000000"/>
          <w:lang w:val="es-MX" w:eastAsia="zh-CN"/>
        </w:rPr>
        <w:t>En particular del</w:t>
      </w:r>
      <w:r w:rsidR="00DC66AA">
        <w:rPr>
          <w:rFonts w:ascii="Arial" w:eastAsia="SimSun" w:hAnsi="Arial" w:cs="Arial"/>
          <w:color w:val="000000"/>
          <w:lang w:val="es-MX" w:eastAsia="zh-CN"/>
        </w:rPr>
        <w:t xml:space="preserve"> tema 1 los siguientes</w:t>
      </w:r>
      <w:r w:rsidRPr="0096722E">
        <w:rPr>
          <w:rFonts w:ascii="Arial" w:eastAsia="SimSun" w:hAnsi="Arial" w:cs="Arial"/>
          <w:color w:val="000000"/>
          <w:lang w:val="es-MX" w:eastAsia="zh-CN"/>
        </w:rPr>
        <w:t>:</w:t>
      </w:r>
    </w:p>
    <w:p w:rsidR="0048064A" w:rsidRPr="0096722E" w:rsidRDefault="0048064A" w:rsidP="0096722E">
      <w:pPr>
        <w:pStyle w:val="NormalWeb"/>
        <w:spacing w:before="200" w:beforeAutospacing="0" w:after="0" w:afterAutospacing="0" w:line="276" w:lineRule="auto"/>
        <w:jc w:val="both"/>
        <w:rPr>
          <w:rFonts w:ascii="Arial" w:hAnsi="Arial" w:cs="Arial"/>
          <w:sz w:val="22"/>
          <w:szCs w:val="22"/>
        </w:rPr>
      </w:pPr>
      <w:r w:rsidRPr="0096722E">
        <w:rPr>
          <w:rFonts w:ascii="Arial" w:eastAsiaTheme="minorEastAsia" w:hAnsi="Arial" w:cs="Arial"/>
          <w:color w:val="000000" w:themeColor="text1"/>
          <w:kern w:val="24"/>
          <w:sz w:val="22"/>
          <w:szCs w:val="22"/>
          <w:lang w:val="es-ES"/>
        </w:rPr>
        <w:t xml:space="preserve">-Identificar la comunicación como un proceso </w:t>
      </w:r>
      <w:r w:rsidR="00367752" w:rsidRPr="0096722E">
        <w:rPr>
          <w:rFonts w:ascii="Arial" w:eastAsiaTheme="minorEastAsia" w:hAnsi="Arial" w:cs="Arial"/>
          <w:color w:val="000000" w:themeColor="text1"/>
          <w:kern w:val="24"/>
          <w:sz w:val="22"/>
          <w:szCs w:val="22"/>
          <w:lang w:val="es-ES"/>
        </w:rPr>
        <w:t>complejo,</w:t>
      </w:r>
      <w:r w:rsidRPr="0096722E">
        <w:rPr>
          <w:rFonts w:ascii="Arial" w:eastAsiaTheme="minorEastAsia" w:hAnsi="Arial" w:cs="Arial"/>
          <w:color w:val="000000" w:themeColor="text1"/>
          <w:kern w:val="24"/>
          <w:sz w:val="22"/>
          <w:szCs w:val="22"/>
          <w:lang w:val="es-ES"/>
        </w:rPr>
        <w:t xml:space="preserve"> así como las fuentes fundamentales para su surgimiento como ciencia.</w:t>
      </w:r>
    </w:p>
    <w:p w:rsidR="0048064A" w:rsidRPr="0096722E" w:rsidRDefault="0048064A" w:rsidP="0096722E">
      <w:pPr>
        <w:pStyle w:val="NormalWeb"/>
        <w:spacing w:before="200" w:beforeAutospacing="0" w:after="0" w:afterAutospacing="0" w:line="276" w:lineRule="auto"/>
        <w:jc w:val="both"/>
        <w:rPr>
          <w:rFonts w:ascii="Arial" w:hAnsi="Arial" w:cs="Arial"/>
          <w:sz w:val="22"/>
          <w:szCs w:val="22"/>
        </w:rPr>
      </w:pPr>
      <w:r w:rsidRPr="0096722E">
        <w:rPr>
          <w:rFonts w:ascii="Arial" w:eastAsiaTheme="minorEastAsia" w:hAnsi="Arial" w:cs="Arial"/>
          <w:color w:val="000000" w:themeColor="text1"/>
          <w:kern w:val="24"/>
          <w:sz w:val="22"/>
          <w:szCs w:val="22"/>
          <w:lang w:val="es-ES"/>
        </w:rPr>
        <w:t>-Valorar las diferentes definiciones de comunicación para la toma de posiciones críticas al respecto.</w:t>
      </w:r>
    </w:p>
    <w:p w:rsidR="0048064A" w:rsidRPr="0096722E" w:rsidRDefault="0048064A" w:rsidP="0096722E">
      <w:pPr>
        <w:pStyle w:val="NormalWeb"/>
        <w:spacing w:before="200" w:beforeAutospacing="0" w:after="0" w:afterAutospacing="0" w:line="276" w:lineRule="auto"/>
        <w:jc w:val="both"/>
        <w:rPr>
          <w:rFonts w:ascii="Arial" w:hAnsi="Arial" w:cs="Arial"/>
          <w:sz w:val="22"/>
          <w:szCs w:val="22"/>
        </w:rPr>
      </w:pPr>
      <w:r w:rsidRPr="0096722E">
        <w:rPr>
          <w:rFonts w:ascii="Arial" w:eastAsiaTheme="minorEastAsia" w:hAnsi="Arial" w:cs="Arial"/>
          <w:color w:val="000000" w:themeColor="text1"/>
          <w:kern w:val="24"/>
          <w:sz w:val="22"/>
          <w:szCs w:val="22"/>
          <w:lang w:val="es-ES"/>
        </w:rPr>
        <w:t>-Explicar la comunicación como un proceso psicológico y su papel en la formación de la subjetividad del individuo.</w:t>
      </w:r>
    </w:p>
    <w:p w:rsidR="0048064A" w:rsidRPr="0096722E" w:rsidRDefault="0048064A" w:rsidP="0096722E">
      <w:pPr>
        <w:jc w:val="both"/>
        <w:rPr>
          <w:rFonts w:ascii="Arial" w:hAnsi="Arial" w:cs="Arial"/>
          <w:lang w:val="es-MX"/>
        </w:rPr>
      </w:pPr>
    </w:p>
    <w:p w:rsidR="00E84BC5" w:rsidRPr="0096722E" w:rsidRDefault="00E84BC5" w:rsidP="0096722E">
      <w:pPr>
        <w:jc w:val="both"/>
        <w:rPr>
          <w:rFonts w:ascii="Arial" w:hAnsi="Arial" w:cs="Arial"/>
          <w:b/>
          <w:lang w:val="en-US"/>
        </w:rPr>
      </w:pPr>
      <w:r w:rsidRPr="0096722E">
        <w:rPr>
          <w:rFonts w:ascii="Arial" w:hAnsi="Arial" w:cs="Arial"/>
          <w:b/>
          <w:lang w:val="en-US"/>
        </w:rPr>
        <w:t>MATERIALES BIBLIOGRAFICOS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Shannon, C. E., &amp; Weaver, W. (1949). The Mathematical Theory of Communication. </w:t>
      </w:r>
      <w:r w:rsidRPr="00E84BC5">
        <w:rPr>
          <w:rFonts w:ascii="Arial" w:eastAsia="SimSun" w:hAnsi="Arial" w:cs="Arial"/>
          <w:lang w:val="es-MX" w:eastAsia="zh-CN"/>
        </w:rPr>
        <w:t>Urbana: University of Illinois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Texto fundacional de la teoría matemática de la información.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Wiener, N. (1948). Cybernetics: Or Control and Communication in the Animal and the Machine. </w:t>
      </w:r>
      <w:r w:rsidRPr="00E84BC5">
        <w:rPr>
          <w:rFonts w:ascii="Arial" w:eastAsia="SimSun" w:hAnsi="Arial" w:cs="Arial"/>
          <w:lang w:val="es-MX" w:eastAsia="zh-CN"/>
        </w:rPr>
        <w:t>Cambridge, MA: MIT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lastRenderedPageBreak/>
        <w:t>→ Introduce conceptos de retroalimentación y sistemas.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Dance, F. E. X. (1967). Human Communication Theory: Original Essays. </w:t>
      </w:r>
      <w:r w:rsidRPr="00E84BC5">
        <w:rPr>
          <w:rFonts w:ascii="Arial" w:eastAsia="SimSun" w:hAnsi="Arial" w:cs="Arial"/>
          <w:lang w:val="es-MX" w:eastAsia="zh-CN"/>
        </w:rPr>
        <w:t>New York: Holt, Rinehart &amp; Winston.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Compilación histórica con perspectiva sistémica.</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xml:space="preserve">Bertalanffy, L. von. </w:t>
      </w:r>
      <w:r w:rsidRPr="00E84BC5">
        <w:rPr>
          <w:rFonts w:ascii="Arial" w:eastAsia="SimSun" w:hAnsi="Arial" w:cs="Arial"/>
          <w:lang w:val="en-US" w:eastAsia="zh-CN"/>
        </w:rPr>
        <w:t xml:space="preserve">(1968). General System Theory: Foundations, Development, Applications. </w:t>
      </w:r>
      <w:r w:rsidRPr="00E84BC5">
        <w:rPr>
          <w:rFonts w:ascii="Arial" w:eastAsia="SimSun" w:hAnsi="Arial" w:cs="Arial"/>
          <w:lang w:val="es-MX" w:eastAsia="zh-CN"/>
        </w:rPr>
        <w:t>New York: George Braziller.</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Base teórica de sistemas aplicable a comunicación.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2. Teorías antropológicas y lingüísticas de la comunicación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Enfoque: Significado cultural, antropología de la comunicación, estudios lingüísticos (estructuralismo, pragmática, etnografía).</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n-US" w:eastAsia="zh-CN"/>
        </w:rPr>
        <w:t>📚 Referencias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Jakobson, R. (1960). “Closing Statement: Linguistics and Poetics” en Style in Language (ed. </w:t>
      </w:r>
      <w:r w:rsidRPr="00E84BC5">
        <w:rPr>
          <w:rFonts w:ascii="Arial" w:eastAsia="SimSun" w:hAnsi="Arial" w:cs="Arial"/>
          <w:lang w:val="es-MX" w:eastAsia="zh-CN"/>
        </w:rPr>
        <w:t>T. A. Sebeok). Cambridge, MA: MIT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Modelo de funciones del lenguaje.</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n-US" w:eastAsia="zh-CN"/>
        </w:rPr>
        <w:t>Saussure, F. de. (1916/1983). Course in General Linguistics. (W. Baskin, Trad.) New York: Columbia University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Fundamento del estructuralismo lingüístico.</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s-MX" w:eastAsia="zh-CN"/>
        </w:rPr>
        <w:t xml:space="preserve">Hall, E. T. (1976). </w:t>
      </w:r>
      <w:r w:rsidRPr="00E84BC5">
        <w:rPr>
          <w:rFonts w:ascii="Arial" w:eastAsia="SimSun" w:hAnsi="Arial" w:cs="Arial"/>
          <w:lang w:val="en-US" w:eastAsia="zh-CN"/>
        </w:rPr>
        <w:t>Beyond Culture. Garden City, NY: Anchor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Comunicación intercultural y contexto cultural.</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Geertz, C. (1973). The Interpretation of Cultures. </w:t>
      </w:r>
      <w:r w:rsidRPr="00E84BC5">
        <w:rPr>
          <w:rFonts w:ascii="Arial" w:eastAsia="SimSun" w:hAnsi="Arial" w:cs="Arial"/>
          <w:lang w:val="es-MX" w:eastAsia="zh-CN"/>
        </w:rPr>
        <w:t>New York: Basic Books.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Perspectiva antropológica interpretativa de la comunicación cultural.</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Hymes, D. (1974). Foundations in Sociolinguistics: An Ethnographic Approach. </w:t>
      </w:r>
      <w:r w:rsidRPr="00E84BC5">
        <w:rPr>
          <w:rFonts w:ascii="Arial" w:eastAsia="SimSun" w:hAnsi="Arial" w:cs="Arial"/>
          <w:lang w:val="es-MX" w:eastAsia="zh-CN"/>
        </w:rPr>
        <w:t>Philadelphia: University of Pennsylvania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Etnografía del habla.</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3. Teorías psicológicas y socio-psicológicas de la comunicación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Enfoque: Procesos cognitivos, actitudes, aprendizaje, influencia social, interacción.</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w:t>
      </w:r>
      <w:r w:rsidRPr="00E84BC5">
        <w:rPr>
          <w:rFonts w:ascii="Arial" w:eastAsia="SimSun" w:hAnsi="Arial" w:cs="Arial"/>
          <w:lang w:val="es-MX" w:eastAsia="zh-CN"/>
        </w:rPr>
        <w:t xml:space="preserve"> Referencias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xml:space="preserve">Lasswell, H. D. (1948). </w:t>
      </w:r>
      <w:r w:rsidRPr="00E84BC5">
        <w:rPr>
          <w:rFonts w:ascii="Arial" w:eastAsia="SimSun" w:hAnsi="Arial" w:cs="Arial"/>
          <w:lang w:val="en-US" w:eastAsia="zh-CN"/>
        </w:rPr>
        <w:t xml:space="preserve">“The Structure and Function of Communication in Society” en The Communication of Ideas. </w:t>
      </w:r>
      <w:r w:rsidRPr="00E84BC5">
        <w:rPr>
          <w:rFonts w:ascii="Arial" w:eastAsia="SimSun" w:hAnsi="Arial" w:cs="Arial"/>
          <w:lang w:val="es-MX" w:eastAsia="zh-CN"/>
        </w:rPr>
        <w:t>New York: Institute for Religious &amp; Social Studies.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lastRenderedPageBreak/>
        <w:t>→ Actitudes y efectos de la comunicación.</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n-US" w:eastAsia="zh-CN"/>
        </w:rPr>
        <w:t>Bandura, A. (2001). Social Cognitive Theory: An Agentic Perspective en Annual Review of Psychology, 52, 1-26.</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Cognición social y comunicación mediada.</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McGuire, W. J. (1985). “Attitudes and Attitude Change” en Handbook of Social Psychology (4ª ed.). </w:t>
      </w:r>
      <w:r w:rsidRPr="00E84BC5">
        <w:rPr>
          <w:rFonts w:ascii="Arial" w:eastAsia="SimSun" w:hAnsi="Arial" w:cs="Arial"/>
          <w:lang w:val="es-MX" w:eastAsia="zh-CN"/>
        </w:rPr>
        <w:t>New York: Random House.</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Teoría de actitudes y persuasión.</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s-MX" w:eastAsia="zh-CN"/>
        </w:rPr>
        <w:t xml:space="preserve">Berger, C. R., &amp; Calabrese, R. J. (1975). </w:t>
      </w:r>
      <w:r w:rsidRPr="00E84BC5">
        <w:rPr>
          <w:rFonts w:ascii="Arial" w:eastAsia="SimSun" w:hAnsi="Arial" w:cs="Arial"/>
          <w:lang w:val="en-US" w:eastAsia="zh-CN"/>
        </w:rPr>
        <w:t>“Some Explorations in Initial Interaction and Beyond: Toward a Developmental Theory of Interpersonal Communication” en Human Communication Research, 1(2), 99-112.</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Interacción interpersonal desde perspectiva social-psicológica.</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n-US" w:eastAsia="zh-CN"/>
        </w:rPr>
        <w:t>Festinger, L. (1957). A Theory of Cognitive Dissonance. Stanford, CA: Stanford University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Procesos cognitivos y cambio de actitudes.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Textos de referencia general (para estructurar capítulos teóricos)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n-US" w:eastAsia="zh-CN"/>
        </w:rPr>
        <w:t xml:space="preserve">📌 Littlejohn, S. W., &amp; Foss, K. A. (2011). Theories of Human Communication (10ª ed.). </w:t>
      </w:r>
      <w:r w:rsidRPr="00E84BC5">
        <w:rPr>
          <w:rFonts w:ascii="Arial" w:eastAsia="SimSun" w:hAnsi="Arial" w:cs="Arial"/>
          <w:lang w:val="es-MX" w:eastAsia="zh-CN"/>
        </w:rPr>
        <w:t>Waveland Press.</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Mapa comprensivo de teorías (modelo matemático, lingüístico, psicológico, socio-cultural, crítica, etc.).</w:t>
      </w:r>
    </w:p>
    <w:p w:rsidR="00E84BC5" w:rsidRPr="00E84BC5" w:rsidRDefault="00E84BC5" w:rsidP="0096722E">
      <w:pPr>
        <w:jc w:val="both"/>
        <w:rPr>
          <w:rFonts w:ascii="Arial" w:eastAsia="SimSun" w:hAnsi="Arial" w:cs="Arial"/>
          <w:lang w:val="en-US" w:eastAsia="zh-CN"/>
        </w:rPr>
      </w:pPr>
      <w:r w:rsidRPr="00E84BC5">
        <w:rPr>
          <w:rFonts w:ascii="Arial" w:eastAsia="SimSun" w:hAnsi="Arial" w:cs="Arial"/>
          <w:lang w:val="en-US" w:eastAsia="zh-CN"/>
        </w:rPr>
        <w:t>📌 Berger, C. R. &amp; Chaffee, S. H. (Eds.) (1987). Handbook of Communication Science. Sage.</w:t>
      </w:r>
    </w:p>
    <w:p w:rsidR="00E84BC5" w:rsidRPr="00E84BC5" w:rsidRDefault="00E84BC5" w:rsidP="0096722E">
      <w:pPr>
        <w:jc w:val="both"/>
        <w:rPr>
          <w:rFonts w:ascii="Arial" w:eastAsia="SimSun" w:hAnsi="Arial" w:cs="Arial"/>
          <w:lang w:val="es-MX" w:eastAsia="zh-CN"/>
        </w:rPr>
      </w:pPr>
      <w:r w:rsidRPr="00E84BC5">
        <w:rPr>
          <w:rFonts w:ascii="Arial" w:eastAsia="SimSun" w:hAnsi="Arial" w:cs="Arial"/>
          <w:lang w:val="es-MX" w:eastAsia="zh-CN"/>
        </w:rPr>
        <w:t>→ Compendio académico por enfoque teórico.</w:t>
      </w:r>
    </w:p>
    <w:p w:rsidR="00E84BC5" w:rsidRPr="00E84BC5" w:rsidRDefault="00E84BC5" w:rsidP="0096722E">
      <w:pPr>
        <w:tabs>
          <w:tab w:val="left" w:pos="560"/>
          <w:tab w:val="left" w:pos="700"/>
          <w:tab w:val="left" w:pos="980"/>
        </w:tabs>
        <w:spacing w:after="0"/>
        <w:jc w:val="both"/>
        <w:rPr>
          <w:rFonts w:ascii="Arial" w:eastAsia="SimSun" w:hAnsi="Arial" w:cs="Arial"/>
          <w:lang w:val="es-MX" w:eastAsia="zh-CN"/>
        </w:rPr>
      </w:pPr>
      <w:r w:rsidRPr="00E84BC5">
        <w:rPr>
          <w:rFonts w:ascii="Arial" w:eastAsia="SimSun" w:hAnsi="Arial" w:cs="Arial"/>
          <w:lang w:val="es-MX" w:eastAsia="zh-CN"/>
        </w:rPr>
        <w:t>Cruzata, R. (2012). La comunicación pedagógica en la formación inicial del profesional de la Educación Primaria, Tesis en Opción al Grado Científico de Doctor en Ciencias, Universidad de Ciencias Pedagógicas José de la Luz y Caballero.</w:t>
      </w:r>
    </w:p>
    <w:p w:rsidR="00E84BC5" w:rsidRPr="00E84BC5" w:rsidRDefault="00E84BC5" w:rsidP="0096722E">
      <w:pPr>
        <w:jc w:val="both"/>
        <w:rPr>
          <w:rFonts w:ascii="Arial" w:eastAsia="SimSun" w:hAnsi="Arial" w:cs="Arial"/>
          <w:b/>
          <w:lang w:val="es-MX" w:eastAsia="zh-CN"/>
        </w:rPr>
      </w:pPr>
      <w:r w:rsidRPr="00E84BC5">
        <w:rPr>
          <w:rFonts w:ascii="Arial" w:eastAsia="SimSun" w:hAnsi="Arial" w:cs="Arial"/>
          <w:b/>
          <w:lang w:val="es-MX" w:eastAsia="zh-CN"/>
        </w:rPr>
        <w:t xml:space="preserve">Bibliografía relacionada con la neurociencia y la educación </w:t>
      </w:r>
    </w:p>
    <w:p w:rsidR="00E84BC5" w:rsidRPr="00E84BC5" w:rsidRDefault="00E84BC5" w:rsidP="0096722E">
      <w:pPr>
        <w:numPr>
          <w:ilvl w:val="0"/>
          <w:numId w:val="1"/>
        </w:numPr>
        <w:autoSpaceDE w:val="0"/>
        <w:autoSpaceDN w:val="0"/>
        <w:adjustRightInd w:val="0"/>
        <w:spacing w:after="0"/>
        <w:contextualSpacing/>
        <w:jc w:val="both"/>
        <w:rPr>
          <w:rFonts w:ascii="Arial" w:eastAsia="Calibri" w:hAnsi="Arial" w:cs="Arial"/>
          <w:b/>
          <w:bCs/>
        </w:rPr>
      </w:pPr>
      <w:r w:rsidRPr="00E84BC5">
        <w:rPr>
          <w:rFonts w:ascii="Arial" w:eastAsia="Calibri" w:hAnsi="Arial" w:cs="Arial"/>
        </w:rPr>
        <w:t>MARÍA BEATRIZ DELPECH .</w:t>
      </w:r>
      <w:r w:rsidRPr="00E84BC5">
        <w:rPr>
          <w:rFonts w:ascii="Arial" w:eastAsia="Calibri" w:hAnsi="Arial" w:cs="Arial"/>
          <w:b/>
          <w:bCs/>
        </w:rPr>
        <w:t xml:space="preserve"> EXPLICAR MÁS PARA COMPRENDER MEJOR: NEUROCIENCIAS </w:t>
      </w:r>
      <w:r w:rsidRPr="00E84BC5">
        <w:rPr>
          <w:rFonts w:ascii="Arial" w:eastAsia="Calibri" w:hAnsi="Arial" w:cs="Arial"/>
          <w:b/>
          <w:bCs/>
          <w:lang w:val="es-MX"/>
        </w:rPr>
        <w:t>Y NARRATIVIDAD</w:t>
      </w:r>
      <w:r w:rsidRPr="00E84BC5">
        <w:rPr>
          <w:rFonts w:ascii="Arial" w:eastAsia="Calibri" w:hAnsi="Arial" w:cs="Arial"/>
          <w:b/>
          <w:bCs/>
        </w:rPr>
        <w:t xml:space="preserve">. </w:t>
      </w:r>
      <w:r w:rsidRPr="00E84BC5">
        <w:rPr>
          <w:rFonts w:ascii="Arial" w:eastAsia="Calibri" w:hAnsi="Arial" w:cs="Arial"/>
        </w:rPr>
        <w:t>CONICET-INEO / UBA</w:t>
      </w:r>
      <w:r w:rsidRPr="00E84BC5">
        <w:rPr>
          <w:rFonts w:ascii="Arial" w:eastAsia="Calibri" w:hAnsi="Arial" w:cs="Arial"/>
          <w:b/>
          <w:bCs/>
        </w:rPr>
        <w:t>. Academia.cu.Consultado el 12-2-2026.</w:t>
      </w:r>
    </w:p>
    <w:p w:rsidR="00E84BC5" w:rsidRPr="00E84BC5" w:rsidRDefault="00E84BC5" w:rsidP="0096722E">
      <w:pPr>
        <w:numPr>
          <w:ilvl w:val="0"/>
          <w:numId w:val="1"/>
        </w:numPr>
        <w:autoSpaceDE w:val="0"/>
        <w:autoSpaceDN w:val="0"/>
        <w:adjustRightInd w:val="0"/>
        <w:spacing w:after="0"/>
        <w:contextualSpacing/>
        <w:jc w:val="both"/>
        <w:rPr>
          <w:rFonts w:ascii="Arial" w:eastAsia="Calibri" w:hAnsi="Arial" w:cs="Arial"/>
          <w:b/>
          <w:bCs/>
        </w:rPr>
      </w:pPr>
      <w:r w:rsidRPr="00E84BC5">
        <w:rPr>
          <w:rFonts w:ascii="Arial" w:eastAsia="Calibri" w:hAnsi="Arial" w:cs="Arial"/>
          <w:color w:val="000000" w:themeColor="text1"/>
        </w:rPr>
        <w:t xml:space="preserve"> Fernando Díaz Colorado</w:t>
      </w:r>
      <w:r w:rsidRPr="0096722E">
        <w:rPr>
          <w:rFonts w:ascii="Arial" w:eastAsia="Calibri" w:hAnsi="Arial" w:cs="Arial"/>
          <w:color w:val="000000" w:themeColor="text1"/>
          <w:vertAlign w:val="superscript"/>
        </w:rPr>
        <w:footnoteReference w:id="1"/>
      </w:r>
      <w:r w:rsidRPr="00E84BC5">
        <w:rPr>
          <w:rFonts w:ascii="Arial" w:eastAsia="Calibri" w:hAnsi="Arial" w:cs="Arial"/>
          <w:color w:val="000000" w:themeColor="text1"/>
        </w:rPr>
        <w:t xml:space="preserve">. NEUROCIENCIA Y MEDIACIÓN. Academia . cu. Consultado el 12-2-2026. </w:t>
      </w:r>
    </w:p>
    <w:p w:rsidR="00E84BC5" w:rsidRPr="00E84BC5" w:rsidRDefault="00E84BC5" w:rsidP="0096722E">
      <w:pPr>
        <w:numPr>
          <w:ilvl w:val="0"/>
          <w:numId w:val="1"/>
        </w:numPr>
        <w:autoSpaceDE w:val="0"/>
        <w:autoSpaceDN w:val="0"/>
        <w:adjustRightInd w:val="0"/>
        <w:spacing w:after="0"/>
        <w:contextualSpacing/>
        <w:jc w:val="both"/>
        <w:rPr>
          <w:rFonts w:ascii="Arial" w:eastAsia="Calibri" w:hAnsi="Arial" w:cs="Arial"/>
        </w:rPr>
      </w:pPr>
      <w:r w:rsidRPr="00E84BC5">
        <w:rPr>
          <w:rFonts w:ascii="Arial" w:eastAsia="Calibri" w:hAnsi="Arial" w:cs="Arial"/>
        </w:rPr>
        <w:lastRenderedPageBreak/>
        <w:t xml:space="preserve">Celine Maria de Sousa Azevedo, Simone Helen Drumond Ischkanian, Gladys Nogueira Cabral y otros. </w:t>
      </w:r>
      <w:r w:rsidRPr="00E84BC5">
        <w:rPr>
          <w:rFonts w:ascii="Arial" w:eastAsia="Calibri" w:hAnsi="Arial" w:cs="Arial"/>
          <w:b/>
          <w:bCs/>
        </w:rPr>
        <w:t>NEUROCIENCIA APLICADA A LA EDUCACIÓN: ENFOQUES INTERDISCIPLINARIOSSOBRE APRENDIZAJE, ATENCIÓN, BIENESTAR Y DESARROLLO INTEGRAL DEL SER HUMANO EN CONTEXTOS PEDAGÓGICOS CONTEMPORÂNEOS.</w:t>
      </w:r>
    </w:p>
    <w:p w:rsidR="00E84BC5" w:rsidRPr="00E84BC5" w:rsidRDefault="00E84BC5" w:rsidP="0096722E">
      <w:pPr>
        <w:autoSpaceDE w:val="0"/>
        <w:autoSpaceDN w:val="0"/>
        <w:adjustRightInd w:val="0"/>
        <w:spacing w:after="0"/>
        <w:jc w:val="both"/>
        <w:rPr>
          <w:rFonts w:ascii="Arial" w:hAnsi="Arial" w:cs="Arial"/>
          <w:lang w:val="es-MX"/>
        </w:rPr>
      </w:pPr>
    </w:p>
    <w:p w:rsidR="00E84BC5" w:rsidRPr="0096722E" w:rsidRDefault="00E84BC5" w:rsidP="0096722E">
      <w:pPr>
        <w:pStyle w:val="Prrafodelista"/>
        <w:spacing w:after="0"/>
        <w:ind w:right="-752"/>
        <w:jc w:val="both"/>
        <w:rPr>
          <w:rFonts w:ascii="Arial" w:hAnsi="Arial" w:cs="Arial"/>
          <w:b/>
          <w:u w:val="single"/>
        </w:rPr>
      </w:pPr>
      <w:r w:rsidRPr="0096722E">
        <w:rPr>
          <w:rFonts w:ascii="Arial" w:hAnsi="Arial" w:cs="Arial"/>
          <w:b/>
          <w:u w:val="single"/>
        </w:rPr>
        <w:t>Orientaciones para el estudio</w:t>
      </w:r>
    </w:p>
    <w:p w:rsidR="00172895" w:rsidRPr="0096722E" w:rsidRDefault="00E84BC5" w:rsidP="0096722E">
      <w:pPr>
        <w:pStyle w:val="Prrafodelista"/>
        <w:spacing w:after="0"/>
        <w:ind w:right="-752"/>
        <w:jc w:val="both"/>
        <w:rPr>
          <w:rFonts w:ascii="Arial" w:hAnsi="Arial" w:cs="Arial"/>
        </w:rPr>
      </w:pPr>
      <w:r w:rsidRPr="0096722E">
        <w:rPr>
          <w:rFonts w:ascii="Arial" w:hAnsi="Arial" w:cs="Arial"/>
        </w:rPr>
        <w:t xml:space="preserve">Usted debe hacer una lectura y análisis de los contenidos que aparecen en el referat y </w:t>
      </w:r>
      <w:r w:rsidR="00A91AFF" w:rsidRPr="0096722E">
        <w:rPr>
          <w:rFonts w:ascii="Arial" w:hAnsi="Arial" w:cs="Arial"/>
        </w:rPr>
        <w:t xml:space="preserve">en las bibliografías orientadas sobre las teorías de la comunicación y </w:t>
      </w:r>
      <w:r w:rsidR="0022116A" w:rsidRPr="0096722E">
        <w:rPr>
          <w:rFonts w:ascii="Arial" w:hAnsi="Arial" w:cs="Arial"/>
        </w:rPr>
        <w:t>neurociencia</w:t>
      </w:r>
      <w:r w:rsidR="00A91AFF" w:rsidRPr="0096722E">
        <w:rPr>
          <w:rFonts w:ascii="Arial" w:hAnsi="Arial" w:cs="Arial"/>
        </w:rPr>
        <w:t xml:space="preserve"> y educación</w:t>
      </w:r>
      <w:r w:rsidR="0022116A" w:rsidRPr="0096722E">
        <w:rPr>
          <w:rFonts w:ascii="Arial" w:hAnsi="Arial" w:cs="Arial"/>
        </w:rPr>
        <w:t>.</w:t>
      </w:r>
    </w:p>
    <w:p w:rsidR="0022116A" w:rsidRPr="0096722E" w:rsidRDefault="00172895" w:rsidP="0096722E">
      <w:pPr>
        <w:pStyle w:val="Prrafodelista"/>
        <w:numPr>
          <w:ilvl w:val="0"/>
          <w:numId w:val="2"/>
        </w:numPr>
        <w:spacing w:after="0"/>
        <w:ind w:right="-752"/>
        <w:jc w:val="both"/>
        <w:rPr>
          <w:rFonts w:ascii="Arial" w:hAnsi="Arial" w:cs="Arial"/>
        </w:rPr>
      </w:pPr>
      <w:r w:rsidRPr="0096722E">
        <w:rPr>
          <w:rFonts w:ascii="Arial" w:hAnsi="Arial" w:cs="Arial"/>
        </w:rPr>
        <w:t>Resuma en qué consisten cada una de las teorías del surgimiento de la comunicación como ciencia.</w:t>
      </w:r>
      <w:r w:rsidR="00A91AFF" w:rsidRPr="0096722E">
        <w:rPr>
          <w:rFonts w:ascii="Arial" w:hAnsi="Arial" w:cs="Arial"/>
        </w:rPr>
        <w:t xml:space="preserve"> </w:t>
      </w:r>
    </w:p>
    <w:p w:rsidR="00713AEF" w:rsidRPr="0096722E" w:rsidRDefault="00713AEF" w:rsidP="0096722E">
      <w:pPr>
        <w:pStyle w:val="Prrafodelista"/>
        <w:numPr>
          <w:ilvl w:val="0"/>
          <w:numId w:val="2"/>
        </w:numPr>
        <w:spacing w:after="0"/>
        <w:ind w:right="-752"/>
        <w:jc w:val="both"/>
        <w:rPr>
          <w:rFonts w:ascii="Arial" w:hAnsi="Arial" w:cs="Arial"/>
        </w:rPr>
      </w:pPr>
      <w:r w:rsidRPr="0096722E">
        <w:rPr>
          <w:rFonts w:ascii="Arial" w:hAnsi="Arial" w:cs="Arial"/>
        </w:rPr>
        <w:t>Fundamente y valore que valor pedagógico tiene para usted profundizar en la comunicación como una ciencia general y social.</w:t>
      </w:r>
    </w:p>
    <w:p w:rsidR="00E436D8" w:rsidRPr="0096722E" w:rsidRDefault="006D2866" w:rsidP="0096722E">
      <w:pPr>
        <w:pStyle w:val="Prrafodelista"/>
        <w:numPr>
          <w:ilvl w:val="0"/>
          <w:numId w:val="2"/>
        </w:numPr>
        <w:spacing w:after="0"/>
        <w:ind w:right="-752"/>
        <w:jc w:val="both"/>
        <w:rPr>
          <w:rFonts w:ascii="Arial" w:hAnsi="Arial" w:cs="Arial"/>
        </w:rPr>
      </w:pPr>
      <w:r w:rsidRPr="0096722E">
        <w:rPr>
          <w:rFonts w:ascii="Arial" w:hAnsi="Arial" w:cs="Arial"/>
        </w:rPr>
        <w:t xml:space="preserve">Después de profundizar en el estudio de la neurociencia, educación y </w:t>
      </w:r>
      <w:r w:rsidR="0001314C" w:rsidRPr="0096722E">
        <w:rPr>
          <w:rFonts w:ascii="Arial" w:hAnsi="Arial" w:cs="Arial"/>
        </w:rPr>
        <w:t>comunicación; valore</w:t>
      </w:r>
      <w:r w:rsidRPr="0096722E">
        <w:rPr>
          <w:rFonts w:ascii="Arial" w:hAnsi="Arial" w:cs="Arial"/>
        </w:rPr>
        <w:t xml:space="preserve"> que relación pedagógica se establece </w:t>
      </w:r>
      <w:r w:rsidR="0001314C" w:rsidRPr="0096722E">
        <w:rPr>
          <w:rFonts w:ascii="Arial" w:hAnsi="Arial" w:cs="Arial"/>
        </w:rPr>
        <w:t xml:space="preserve">entre ellas </w:t>
      </w:r>
      <w:r w:rsidRPr="0096722E">
        <w:rPr>
          <w:rFonts w:ascii="Arial" w:hAnsi="Arial" w:cs="Arial"/>
        </w:rPr>
        <w:t xml:space="preserve">que favorece al proceso pedagógico. </w:t>
      </w:r>
      <w:r w:rsidR="00E436D8" w:rsidRPr="0096722E">
        <w:rPr>
          <w:rFonts w:ascii="Arial" w:hAnsi="Arial" w:cs="Arial"/>
        </w:rPr>
        <w:t>Ejemplifique.</w:t>
      </w:r>
    </w:p>
    <w:p w:rsidR="009D77B0" w:rsidRPr="0096722E" w:rsidRDefault="009D77B0" w:rsidP="0096722E">
      <w:pPr>
        <w:spacing w:after="0"/>
        <w:ind w:right="-752"/>
        <w:jc w:val="both"/>
        <w:rPr>
          <w:rFonts w:ascii="Arial" w:hAnsi="Arial" w:cs="Arial"/>
        </w:rPr>
      </w:pPr>
    </w:p>
    <w:p w:rsidR="009D77B0" w:rsidRPr="0096722E" w:rsidRDefault="00437E91" w:rsidP="0096722E">
      <w:pPr>
        <w:spacing w:after="0"/>
        <w:ind w:right="-752"/>
        <w:jc w:val="both"/>
        <w:rPr>
          <w:rFonts w:ascii="Arial" w:hAnsi="Arial" w:cs="Arial"/>
          <w:b/>
        </w:rPr>
      </w:pPr>
      <w:r w:rsidRPr="0096722E">
        <w:rPr>
          <w:rFonts w:ascii="Arial" w:hAnsi="Arial" w:cs="Arial"/>
          <w:b/>
        </w:rPr>
        <w:t xml:space="preserve">                             </w:t>
      </w:r>
      <w:r w:rsidR="009D77B0" w:rsidRPr="0096722E">
        <w:rPr>
          <w:rFonts w:ascii="Arial" w:hAnsi="Arial" w:cs="Arial"/>
          <w:b/>
        </w:rPr>
        <w:t>Evaluación</w:t>
      </w:r>
    </w:p>
    <w:p w:rsidR="009D77B0" w:rsidRPr="0096722E" w:rsidRDefault="009D77B0" w:rsidP="0096722E">
      <w:pPr>
        <w:numPr>
          <w:ilvl w:val="0"/>
          <w:numId w:val="2"/>
        </w:numPr>
        <w:jc w:val="both"/>
        <w:rPr>
          <w:rFonts w:ascii="Arial" w:hAnsi="Arial" w:cs="Arial"/>
          <w:lang w:val="es-MX"/>
        </w:rPr>
      </w:pPr>
      <w:r w:rsidRPr="0096722E">
        <w:rPr>
          <w:rFonts w:ascii="Arial" w:hAnsi="Arial" w:cs="Arial"/>
        </w:rPr>
        <w:t xml:space="preserve">Se concibe de manera sistemática a través del cumplimiento de las orientaciones metodológicas para el desarrollo del estudio independiente. Como evaluación final se </w:t>
      </w:r>
      <w:r w:rsidR="0015318B" w:rsidRPr="0096722E">
        <w:rPr>
          <w:rFonts w:ascii="Arial" w:hAnsi="Arial" w:cs="Arial"/>
        </w:rPr>
        <w:t>idea</w:t>
      </w:r>
      <w:r w:rsidRPr="0096722E">
        <w:rPr>
          <w:rFonts w:ascii="Arial" w:hAnsi="Arial" w:cs="Arial"/>
        </w:rPr>
        <w:t xml:space="preserve"> un </w:t>
      </w:r>
      <w:r w:rsidRPr="0096722E">
        <w:rPr>
          <w:rFonts w:ascii="Arial" w:hAnsi="Arial" w:cs="Arial"/>
          <w:b/>
          <w:bCs/>
        </w:rPr>
        <w:t>Informe escrito y su exposición</w:t>
      </w:r>
      <w:r w:rsidRPr="0096722E">
        <w:rPr>
          <w:rFonts w:ascii="Arial" w:hAnsi="Arial" w:cs="Arial"/>
        </w:rPr>
        <w:t>, contentivo en una estrategia de comunicación a partir de la aplicación de un diagnóstico al colectivo pedagógico donde labora. Este informe debe contener la siguiente estructura:</w:t>
      </w:r>
    </w:p>
    <w:p w:rsidR="00030E83" w:rsidRPr="0096722E" w:rsidRDefault="00030E83" w:rsidP="0096722E">
      <w:pPr>
        <w:numPr>
          <w:ilvl w:val="0"/>
          <w:numId w:val="3"/>
        </w:numPr>
        <w:spacing w:after="0"/>
        <w:ind w:left="1080"/>
        <w:contextualSpacing/>
        <w:jc w:val="both"/>
        <w:rPr>
          <w:rFonts w:ascii="Arial" w:eastAsia="Times New Roman" w:hAnsi="Arial" w:cs="Arial"/>
          <w:lang w:val="es-MX" w:eastAsia="es-MX"/>
        </w:rPr>
      </w:pPr>
      <w:r w:rsidRPr="00030E83">
        <w:rPr>
          <w:rFonts w:ascii="Arial" w:eastAsiaTheme="minorEastAsia" w:hAnsi="Arial" w:cs="Arial"/>
          <w:color w:val="000000" w:themeColor="text1"/>
          <w:kern w:val="24"/>
          <w:lang w:eastAsia="es-MX"/>
        </w:rPr>
        <w:t>Presentación: datos personales y del curso</w:t>
      </w:r>
    </w:p>
    <w:p w:rsidR="00030E83" w:rsidRPr="00030E83" w:rsidRDefault="00030E83" w:rsidP="0096722E">
      <w:pPr>
        <w:numPr>
          <w:ilvl w:val="0"/>
          <w:numId w:val="3"/>
        </w:numPr>
        <w:spacing w:after="0"/>
        <w:ind w:left="1080"/>
        <w:contextualSpacing/>
        <w:jc w:val="both"/>
        <w:rPr>
          <w:rFonts w:ascii="Arial" w:eastAsia="Times New Roman" w:hAnsi="Arial" w:cs="Arial"/>
          <w:lang w:val="es-MX" w:eastAsia="es-MX"/>
        </w:rPr>
      </w:pPr>
      <w:r w:rsidRPr="00030E83">
        <w:rPr>
          <w:rFonts w:ascii="Arial" w:eastAsiaTheme="minorEastAsia" w:hAnsi="Arial" w:cs="Arial"/>
          <w:color w:val="000000" w:themeColor="text1"/>
          <w:kern w:val="24"/>
          <w:lang w:eastAsia="es-MX"/>
        </w:rPr>
        <w:t>Introducción: Presentación general del tema, declaración del objetivo del trabajo y los métodos utilizados para llevar a cabo la investigación.</w:t>
      </w:r>
    </w:p>
    <w:p w:rsidR="00030E83" w:rsidRPr="00030E83" w:rsidRDefault="00030E83" w:rsidP="0096722E">
      <w:pPr>
        <w:numPr>
          <w:ilvl w:val="0"/>
          <w:numId w:val="4"/>
        </w:numPr>
        <w:spacing w:after="0"/>
        <w:ind w:left="1080"/>
        <w:contextualSpacing/>
        <w:jc w:val="both"/>
        <w:rPr>
          <w:rFonts w:ascii="Arial" w:eastAsia="Times New Roman" w:hAnsi="Arial" w:cs="Arial"/>
          <w:lang w:val="es-MX" w:eastAsia="es-MX"/>
        </w:rPr>
      </w:pPr>
      <w:r w:rsidRPr="00030E83">
        <w:rPr>
          <w:rFonts w:ascii="Arial" w:eastAsiaTheme="minorEastAsia" w:hAnsi="Arial" w:cs="Arial"/>
          <w:color w:val="000000" w:themeColor="text1"/>
          <w:kern w:val="24"/>
          <w:lang w:val="es-MX" w:eastAsia="es-MX"/>
        </w:rPr>
        <w:t xml:space="preserve">Desarrollo: fundamentar la estrategia a partir de </w:t>
      </w:r>
      <w:r w:rsidR="00A67B5C" w:rsidRPr="0096722E">
        <w:rPr>
          <w:rFonts w:ascii="Arial" w:eastAsiaTheme="minorEastAsia" w:hAnsi="Arial" w:cs="Arial"/>
          <w:color w:val="000000" w:themeColor="text1"/>
          <w:kern w:val="24"/>
          <w:lang w:val="es-MX" w:eastAsia="es-MX"/>
        </w:rPr>
        <w:t>las definiciones</w:t>
      </w:r>
      <w:r w:rsidRPr="00030E83">
        <w:rPr>
          <w:rFonts w:ascii="Arial" w:eastAsiaTheme="minorEastAsia" w:hAnsi="Arial" w:cs="Arial"/>
          <w:color w:val="000000" w:themeColor="text1"/>
          <w:kern w:val="24"/>
          <w:lang w:val="es-MX" w:eastAsia="es-MX"/>
        </w:rPr>
        <w:t xml:space="preserve"> de la misma y los componentes de la </w:t>
      </w:r>
      <w:r w:rsidR="00437E91" w:rsidRPr="0096722E">
        <w:rPr>
          <w:rFonts w:ascii="Arial" w:eastAsiaTheme="minorEastAsia" w:hAnsi="Arial" w:cs="Arial"/>
          <w:color w:val="000000" w:themeColor="text1"/>
          <w:kern w:val="24"/>
          <w:lang w:val="es-MX" w:eastAsia="es-MX"/>
        </w:rPr>
        <w:t>comunicación,</w:t>
      </w:r>
      <w:r w:rsidRPr="00030E83">
        <w:rPr>
          <w:rFonts w:ascii="Arial" w:eastAsiaTheme="minorEastAsia" w:hAnsi="Arial" w:cs="Arial"/>
          <w:color w:val="000000" w:themeColor="text1"/>
          <w:kern w:val="24"/>
          <w:lang w:val="es-MX" w:eastAsia="es-MX"/>
        </w:rPr>
        <w:t xml:space="preserve"> comunicación educativa y pedagógica trabajados en el curso. La estrategia debe contener el análisis del resultado del </w:t>
      </w:r>
      <w:r w:rsidR="00437E91" w:rsidRPr="0096722E">
        <w:rPr>
          <w:rFonts w:ascii="Arial" w:eastAsiaTheme="minorEastAsia" w:hAnsi="Arial" w:cs="Arial"/>
          <w:color w:val="000000" w:themeColor="text1"/>
          <w:kern w:val="24"/>
          <w:lang w:val="es-MX" w:eastAsia="es-MX"/>
        </w:rPr>
        <w:t>diagnóstico, la propuesta</w:t>
      </w:r>
      <w:r w:rsidRPr="00030E83">
        <w:rPr>
          <w:rFonts w:ascii="Arial" w:eastAsiaTheme="minorEastAsia" w:hAnsi="Arial" w:cs="Arial"/>
          <w:color w:val="000000" w:themeColor="text1"/>
          <w:kern w:val="24"/>
          <w:lang w:val="es-MX" w:eastAsia="es-MX"/>
        </w:rPr>
        <w:t xml:space="preserve"> de acciones para resolver la situación detectada y la forma de cómo se va evaluar. Consultar el libro de Comunicación educativa de A. M Fernández y otros autores. Págs 45-57.</w:t>
      </w:r>
    </w:p>
    <w:p w:rsidR="00780963" w:rsidRPr="0096722E" w:rsidRDefault="00AD6785" w:rsidP="0096722E">
      <w:pPr>
        <w:numPr>
          <w:ilvl w:val="0"/>
          <w:numId w:val="2"/>
        </w:numPr>
        <w:jc w:val="both"/>
        <w:rPr>
          <w:rFonts w:ascii="Arial" w:hAnsi="Arial" w:cs="Arial"/>
          <w:lang w:val="es-MX"/>
        </w:rPr>
      </w:pPr>
      <w:r w:rsidRPr="0096722E">
        <w:rPr>
          <w:rFonts w:ascii="Arial" w:hAnsi="Arial" w:cs="Arial"/>
          <w:lang w:val="es-MX"/>
        </w:rPr>
        <w:t>Conclusiones:</w:t>
      </w:r>
      <w:r w:rsidRPr="0096722E">
        <w:rPr>
          <w:rFonts w:ascii="Arial" w:hAnsi="Arial" w:cs="Arial"/>
        </w:rPr>
        <w:t xml:space="preserve"> Resultados alcanzados a partir de la investigación realizada.</w:t>
      </w:r>
      <w:r w:rsidRPr="0096722E">
        <w:rPr>
          <w:rFonts w:ascii="Arial" w:hAnsi="Arial" w:cs="Arial"/>
          <w:lang w:val="es-MX"/>
        </w:rPr>
        <w:t xml:space="preserve"> valorar el beneficio pedagógico que te aporta como docente.</w:t>
      </w:r>
    </w:p>
    <w:p w:rsidR="00780963" w:rsidRPr="0096722E" w:rsidRDefault="00AD6785" w:rsidP="0096722E">
      <w:pPr>
        <w:numPr>
          <w:ilvl w:val="0"/>
          <w:numId w:val="2"/>
        </w:numPr>
        <w:jc w:val="both"/>
        <w:rPr>
          <w:rFonts w:ascii="Arial" w:hAnsi="Arial" w:cs="Arial"/>
          <w:lang w:val="es-MX"/>
        </w:rPr>
      </w:pPr>
      <w:r w:rsidRPr="0096722E">
        <w:rPr>
          <w:rFonts w:ascii="Arial" w:hAnsi="Arial" w:cs="Arial"/>
          <w:lang w:val="es-MX"/>
        </w:rPr>
        <w:t>Referencias bibliográficas, en norma APA 7ma edición</w:t>
      </w:r>
    </w:p>
    <w:p w:rsidR="00780963" w:rsidRPr="0096722E" w:rsidRDefault="00AD6785" w:rsidP="0096722E">
      <w:pPr>
        <w:numPr>
          <w:ilvl w:val="0"/>
          <w:numId w:val="2"/>
        </w:numPr>
        <w:jc w:val="both"/>
        <w:rPr>
          <w:rFonts w:ascii="Arial" w:hAnsi="Arial" w:cs="Arial"/>
          <w:lang w:val="es-MX"/>
        </w:rPr>
      </w:pPr>
      <w:r w:rsidRPr="0096722E">
        <w:rPr>
          <w:rFonts w:ascii="Arial" w:hAnsi="Arial" w:cs="Arial"/>
        </w:rPr>
        <w:t>Anexos: Se recogerán los cuestionarios del diagnóstico aplicado, su procesamiento a partir de tablas o gráficos y cualquier otro aspecto que se considere importante para la comprensión de lo investigado.</w:t>
      </w:r>
    </w:p>
    <w:p w:rsidR="008D11A0" w:rsidRPr="0096722E" w:rsidRDefault="008D11A0" w:rsidP="0096722E">
      <w:pPr>
        <w:jc w:val="both"/>
        <w:rPr>
          <w:rFonts w:ascii="Arial" w:hAnsi="Arial" w:cs="Arial"/>
          <w:lang w:val="es-MX"/>
        </w:rPr>
      </w:pPr>
    </w:p>
    <w:sectPr w:rsidR="008D11A0" w:rsidRPr="0096722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785" w:rsidRDefault="00AD6785" w:rsidP="00E84BC5">
      <w:pPr>
        <w:spacing w:after="0" w:line="240" w:lineRule="auto"/>
      </w:pPr>
      <w:r>
        <w:separator/>
      </w:r>
    </w:p>
  </w:endnote>
  <w:endnote w:type="continuationSeparator" w:id="0">
    <w:p w:rsidR="00AD6785" w:rsidRDefault="00AD6785" w:rsidP="00E8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785" w:rsidRDefault="00AD6785" w:rsidP="00E84BC5">
      <w:pPr>
        <w:spacing w:after="0" w:line="240" w:lineRule="auto"/>
      </w:pPr>
      <w:r>
        <w:separator/>
      </w:r>
    </w:p>
  </w:footnote>
  <w:footnote w:type="continuationSeparator" w:id="0">
    <w:p w:rsidR="00AD6785" w:rsidRDefault="00AD6785" w:rsidP="00E84BC5">
      <w:pPr>
        <w:spacing w:after="0" w:line="240" w:lineRule="auto"/>
      </w:pPr>
      <w:r>
        <w:continuationSeparator/>
      </w:r>
    </w:p>
  </w:footnote>
  <w:footnote w:id="1">
    <w:p w:rsidR="00E84BC5" w:rsidRPr="000D5F9E" w:rsidRDefault="00E84BC5" w:rsidP="00E84BC5">
      <w:pPr>
        <w:jc w:val="both"/>
        <w:rPr>
          <w:rFonts w:ascii="Times" w:hAnsi="Times"/>
          <w:sz w:val="16"/>
          <w:szCs w:val="16"/>
        </w:rPr>
      </w:pPr>
      <w:r>
        <w:rPr>
          <w:rStyle w:val="Refdenotaalpie"/>
        </w:rPr>
        <w:footnoteRef/>
      </w:r>
      <w:r>
        <w:t xml:space="preserve"> </w:t>
      </w:r>
      <w:r w:rsidRPr="000D5F9E">
        <w:rPr>
          <w:rFonts w:ascii="Arial" w:hAnsi="Arial"/>
          <w:b/>
          <w:bCs/>
          <w:color w:val="222222"/>
          <w:sz w:val="16"/>
          <w:szCs w:val="16"/>
          <w:shd w:val="clear" w:color="auto" w:fill="FFFFFF"/>
        </w:rPr>
        <w:t>Fernando Díaz Colorado: </w:t>
      </w:r>
      <w:r w:rsidRPr="000D5F9E">
        <w:rPr>
          <w:rFonts w:ascii="Arial" w:hAnsi="Arial"/>
          <w:color w:val="222222"/>
          <w:sz w:val="16"/>
          <w:szCs w:val="16"/>
          <w:shd w:val="clear" w:color="auto" w:fill="FFFFFF"/>
        </w:rPr>
        <w:t>Psicólogo de la Universidad Católica de Colombia. Especialista en Administración Pública. Especialista en Derecho Penal y Ciencias Forenses. Magister en Filosofía Latinoamericana.</w:t>
      </w:r>
      <w:r w:rsidR="0096722E">
        <w:rPr>
          <w:rFonts w:ascii="Arial" w:hAnsi="Arial"/>
          <w:color w:val="222222"/>
          <w:sz w:val="16"/>
          <w:szCs w:val="16"/>
          <w:shd w:val="clear" w:color="auto" w:fill="FFFFFF"/>
        </w:rPr>
        <w:t xml:space="preserve"> Master en Psicoterapia en base</w:t>
      </w:r>
    </w:p>
    <w:p w:rsidR="00E84BC5" w:rsidRPr="00B356FF" w:rsidRDefault="00E84BC5" w:rsidP="00E84BC5">
      <w:pPr>
        <w:pStyle w:val="Textonotapie"/>
        <w:rPr>
          <w:sz w:val="16"/>
          <w:szCs w:val="16"/>
          <w:lang w:val="es-MX"/>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81684"/>
    <w:multiLevelType w:val="hybridMultilevel"/>
    <w:tmpl w:val="79E26AC0"/>
    <w:lvl w:ilvl="0" w:tplc="685E6DF2">
      <w:start w:val="1"/>
      <w:numFmt w:val="bullet"/>
      <w:lvlText w:val="-"/>
      <w:lvlJc w:val="left"/>
      <w:pPr>
        <w:ind w:left="1080" w:hanging="360"/>
      </w:pPr>
      <w:rPr>
        <w:rFonts w:ascii="Arial" w:eastAsiaTheme="minorHAnsi" w:hAnsi="Aria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21EB7913"/>
    <w:multiLevelType w:val="hybridMultilevel"/>
    <w:tmpl w:val="717AEA7A"/>
    <w:lvl w:ilvl="0" w:tplc="72000DD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6825C0F"/>
    <w:multiLevelType w:val="hybridMultilevel"/>
    <w:tmpl w:val="FDAC5248"/>
    <w:lvl w:ilvl="0" w:tplc="0C7A254A">
      <w:start w:val="1"/>
      <w:numFmt w:val="bullet"/>
      <w:lvlText w:val="•"/>
      <w:lvlJc w:val="left"/>
      <w:pPr>
        <w:tabs>
          <w:tab w:val="num" w:pos="720"/>
        </w:tabs>
        <w:ind w:left="720" w:hanging="360"/>
      </w:pPr>
      <w:rPr>
        <w:rFonts w:ascii="Arial" w:hAnsi="Arial" w:hint="default"/>
      </w:rPr>
    </w:lvl>
    <w:lvl w:ilvl="1" w:tplc="02700456" w:tentative="1">
      <w:start w:val="1"/>
      <w:numFmt w:val="bullet"/>
      <w:lvlText w:val="•"/>
      <w:lvlJc w:val="left"/>
      <w:pPr>
        <w:tabs>
          <w:tab w:val="num" w:pos="1440"/>
        </w:tabs>
        <w:ind w:left="1440" w:hanging="360"/>
      </w:pPr>
      <w:rPr>
        <w:rFonts w:ascii="Arial" w:hAnsi="Arial" w:hint="default"/>
      </w:rPr>
    </w:lvl>
    <w:lvl w:ilvl="2" w:tplc="D9787224" w:tentative="1">
      <w:start w:val="1"/>
      <w:numFmt w:val="bullet"/>
      <w:lvlText w:val="•"/>
      <w:lvlJc w:val="left"/>
      <w:pPr>
        <w:tabs>
          <w:tab w:val="num" w:pos="2160"/>
        </w:tabs>
        <w:ind w:left="2160" w:hanging="360"/>
      </w:pPr>
      <w:rPr>
        <w:rFonts w:ascii="Arial" w:hAnsi="Arial" w:hint="default"/>
      </w:rPr>
    </w:lvl>
    <w:lvl w:ilvl="3" w:tplc="5CD010DE" w:tentative="1">
      <w:start w:val="1"/>
      <w:numFmt w:val="bullet"/>
      <w:lvlText w:val="•"/>
      <w:lvlJc w:val="left"/>
      <w:pPr>
        <w:tabs>
          <w:tab w:val="num" w:pos="2880"/>
        </w:tabs>
        <w:ind w:left="2880" w:hanging="360"/>
      </w:pPr>
      <w:rPr>
        <w:rFonts w:ascii="Arial" w:hAnsi="Arial" w:hint="default"/>
      </w:rPr>
    </w:lvl>
    <w:lvl w:ilvl="4" w:tplc="53508316" w:tentative="1">
      <w:start w:val="1"/>
      <w:numFmt w:val="bullet"/>
      <w:lvlText w:val="•"/>
      <w:lvlJc w:val="left"/>
      <w:pPr>
        <w:tabs>
          <w:tab w:val="num" w:pos="3600"/>
        </w:tabs>
        <w:ind w:left="3600" w:hanging="360"/>
      </w:pPr>
      <w:rPr>
        <w:rFonts w:ascii="Arial" w:hAnsi="Arial" w:hint="default"/>
      </w:rPr>
    </w:lvl>
    <w:lvl w:ilvl="5" w:tplc="7918EF24" w:tentative="1">
      <w:start w:val="1"/>
      <w:numFmt w:val="bullet"/>
      <w:lvlText w:val="•"/>
      <w:lvlJc w:val="left"/>
      <w:pPr>
        <w:tabs>
          <w:tab w:val="num" w:pos="4320"/>
        </w:tabs>
        <w:ind w:left="4320" w:hanging="360"/>
      </w:pPr>
      <w:rPr>
        <w:rFonts w:ascii="Arial" w:hAnsi="Arial" w:hint="default"/>
      </w:rPr>
    </w:lvl>
    <w:lvl w:ilvl="6" w:tplc="E9842E9E" w:tentative="1">
      <w:start w:val="1"/>
      <w:numFmt w:val="bullet"/>
      <w:lvlText w:val="•"/>
      <w:lvlJc w:val="left"/>
      <w:pPr>
        <w:tabs>
          <w:tab w:val="num" w:pos="5040"/>
        </w:tabs>
        <w:ind w:left="5040" w:hanging="360"/>
      </w:pPr>
      <w:rPr>
        <w:rFonts w:ascii="Arial" w:hAnsi="Arial" w:hint="default"/>
      </w:rPr>
    </w:lvl>
    <w:lvl w:ilvl="7" w:tplc="E14475C4" w:tentative="1">
      <w:start w:val="1"/>
      <w:numFmt w:val="bullet"/>
      <w:lvlText w:val="•"/>
      <w:lvlJc w:val="left"/>
      <w:pPr>
        <w:tabs>
          <w:tab w:val="num" w:pos="5760"/>
        </w:tabs>
        <w:ind w:left="5760" w:hanging="360"/>
      </w:pPr>
      <w:rPr>
        <w:rFonts w:ascii="Arial" w:hAnsi="Arial" w:hint="default"/>
      </w:rPr>
    </w:lvl>
    <w:lvl w:ilvl="8" w:tplc="3EAA68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FDA2EF1"/>
    <w:multiLevelType w:val="hybridMultilevel"/>
    <w:tmpl w:val="2670F7A6"/>
    <w:lvl w:ilvl="0" w:tplc="3E3ACB7E">
      <w:start w:val="1"/>
      <w:numFmt w:val="bullet"/>
      <w:lvlText w:val="•"/>
      <w:lvlJc w:val="left"/>
      <w:pPr>
        <w:tabs>
          <w:tab w:val="num" w:pos="720"/>
        </w:tabs>
        <w:ind w:left="720" w:hanging="360"/>
      </w:pPr>
      <w:rPr>
        <w:rFonts w:ascii="Arial" w:hAnsi="Arial" w:hint="default"/>
      </w:rPr>
    </w:lvl>
    <w:lvl w:ilvl="1" w:tplc="2B769892" w:tentative="1">
      <w:start w:val="1"/>
      <w:numFmt w:val="bullet"/>
      <w:lvlText w:val="•"/>
      <w:lvlJc w:val="left"/>
      <w:pPr>
        <w:tabs>
          <w:tab w:val="num" w:pos="1440"/>
        </w:tabs>
        <w:ind w:left="1440" w:hanging="360"/>
      </w:pPr>
      <w:rPr>
        <w:rFonts w:ascii="Arial" w:hAnsi="Arial" w:hint="default"/>
      </w:rPr>
    </w:lvl>
    <w:lvl w:ilvl="2" w:tplc="95F426AA" w:tentative="1">
      <w:start w:val="1"/>
      <w:numFmt w:val="bullet"/>
      <w:lvlText w:val="•"/>
      <w:lvlJc w:val="left"/>
      <w:pPr>
        <w:tabs>
          <w:tab w:val="num" w:pos="2160"/>
        </w:tabs>
        <w:ind w:left="2160" w:hanging="360"/>
      </w:pPr>
      <w:rPr>
        <w:rFonts w:ascii="Arial" w:hAnsi="Arial" w:hint="default"/>
      </w:rPr>
    </w:lvl>
    <w:lvl w:ilvl="3" w:tplc="AFC8274A" w:tentative="1">
      <w:start w:val="1"/>
      <w:numFmt w:val="bullet"/>
      <w:lvlText w:val="•"/>
      <w:lvlJc w:val="left"/>
      <w:pPr>
        <w:tabs>
          <w:tab w:val="num" w:pos="2880"/>
        </w:tabs>
        <w:ind w:left="2880" w:hanging="360"/>
      </w:pPr>
      <w:rPr>
        <w:rFonts w:ascii="Arial" w:hAnsi="Arial" w:hint="default"/>
      </w:rPr>
    </w:lvl>
    <w:lvl w:ilvl="4" w:tplc="B8B69716" w:tentative="1">
      <w:start w:val="1"/>
      <w:numFmt w:val="bullet"/>
      <w:lvlText w:val="•"/>
      <w:lvlJc w:val="left"/>
      <w:pPr>
        <w:tabs>
          <w:tab w:val="num" w:pos="3600"/>
        </w:tabs>
        <w:ind w:left="3600" w:hanging="360"/>
      </w:pPr>
      <w:rPr>
        <w:rFonts w:ascii="Arial" w:hAnsi="Arial" w:hint="default"/>
      </w:rPr>
    </w:lvl>
    <w:lvl w:ilvl="5" w:tplc="8C122578" w:tentative="1">
      <w:start w:val="1"/>
      <w:numFmt w:val="bullet"/>
      <w:lvlText w:val="•"/>
      <w:lvlJc w:val="left"/>
      <w:pPr>
        <w:tabs>
          <w:tab w:val="num" w:pos="4320"/>
        </w:tabs>
        <w:ind w:left="4320" w:hanging="360"/>
      </w:pPr>
      <w:rPr>
        <w:rFonts w:ascii="Arial" w:hAnsi="Arial" w:hint="default"/>
      </w:rPr>
    </w:lvl>
    <w:lvl w:ilvl="6" w:tplc="AE2ECCF8" w:tentative="1">
      <w:start w:val="1"/>
      <w:numFmt w:val="bullet"/>
      <w:lvlText w:val="•"/>
      <w:lvlJc w:val="left"/>
      <w:pPr>
        <w:tabs>
          <w:tab w:val="num" w:pos="5040"/>
        </w:tabs>
        <w:ind w:left="5040" w:hanging="360"/>
      </w:pPr>
      <w:rPr>
        <w:rFonts w:ascii="Arial" w:hAnsi="Arial" w:hint="default"/>
      </w:rPr>
    </w:lvl>
    <w:lvl w:ilvl="7" w:tplc="EDDCBD08" w:tentative="1">
      <w:start w:val="1"/>
      <w:numFmt w:val="bullet"/>
      <w:lvlText w:val="•"/>
      <w:lvlJc w:val="left"/>
      <w:pPr>
        <w:tabs>
          <w:tab w:val="num" w:pos="5760"/>
        </w:tabs>
        <w:ind w:left="5760" w:hanging="360"/>
      </w:pPr>
      <w:rPr>
        <w:rFonts w:ascii="Arial" w:hAnsi="Arial" w:hint="default"/>
      </w:rPr>
    </w:lvl>
    <w:lvl w:ilvl="8" w:tplc="64A6D1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6377F4"/>
    <w:multiLevelType w:val="hybridMultilevel"/>
    <w:tmpl w:val="236A14B2"/>
    <w:lvl w:ilvl="0" w:tplc="6216599A">
      <w:start w:val="1"/>
      <w:numFmt w:val="bullet"/>
      <w:lvlText w:val="•"/>
      <w:lvlJc w:val="left"/>
      <w:pPr>
        <w:tabs>
          <w:tab w:val="num" w:pos="720"/>
        </w:tabs>
        <w:ind w:left="720" w:hanging="360"/>
      </w:pPr>
      <w:rPr>
        <w:rFonts w:ascii="Arial" w:hAnsi="Arial" w:hint="default"/>
      </w:rPr>
    </w:lvl>
    <w:lvl w:ilvl="1" w:tplc="E1EA7EA8" w:tentative="1">
      <w:start w:val="1"/>
      <w:numFmt w:val="bullet"/>
      <w:lvlText w:val="•"/>
      <w:lvlJc w:val="left"/>
      <w:pPr>
        <w:tabs>
          <w:tab w:val="num" w:pos="1440"/>
        </w:tabs>
        <w:ind w:left="1440" w:hanging="360"/>
      </w:pPr>
      <w:rPr>
        <w:rFonts w:ascii="Arial" w:hAnsi="Arial" w:hint="default"/>
      </w:rPr>
    </w:lvl>
    <w:lvl w:ilvl="2" w:tplc="7106788E" w:tentative="1">
      <w:start w:val="1"/>
      <w:numFmt w:val="bullet"/>
      <w:lvlText w:val="•"/>
      <w:lvlJc w:val="left"/>
      <w:pPr>
        <w:tabs>
          <w:tab w:val="num" w:pos="2160"/>
        </w:tabs>
        <w:ind w:left="2160" w:hanging="360"/>
      </w:pPr>
      <w:rPr>
        <w:rFonts w:ascii="Arial" w:hAnsi="Arial" w:hint="default"/>
      </w:rPr>
    </w:lvl>
    <w:lvl w:ilvl="3" w:tplc="4CF83B16" w:tentative="1">
      <w:start w:val="1"/>
      <w:numFmt w:val="bullet"/>
      <w:lvlText w:val="•"/>
      <w:lvlJc w:val="left"/>
      <w:pPr>
        <w:tabs>
          <w:tab w:val="num" w:pos="2880"/>
        </w:tabs>
        <w:ind w:left="2880" w:hanging="360"/>
      </w:pPr>
      <w:rPr>
        <w:rFonts w:ascii="Arial" w:hAnsi="Arial" w:hint="default"/>
      </w:rPr>
    </w:lvl>
    <w:lvl w:ilvl="4" w:tplc="0882CEEE" w:tentative="1">
      <w:start w:val="1"/>
      <w:numFmt w:val="bullet"/>
      <w:lvlText w:val="•"/>
      <w:lvlJc w:val="left"/>
      <w:pPr>
        <w:tabs>
          <w:tab w:val="num" w:pos="3600"/>
        </w:tabs>
        <w:ind w:left="3600" w:hanging="360"/>
      </w:pPr>
      <w:rPr>
        <w:rFonts w:ascii="Arial" w:hAnsi="Arial" w:hint="default"/>
      </w:rPr>
    </w:lvl>
    <w:lvl w:ilvl="5" w:tplc="313C2174" w:tentative="1">
      <w:start w:val="1"/>
      <w:numFmt w:val="bullet"/>
      <w:lvlText w:val="•"/>
      <w:lvlJc w:val="left"/>
      <w:pPr>
        <w:tabs>
          <w:tab w:val="num" w:pos="4320"/>
        </w:tabs>
        <w:ind w:left="4320" w:hanging="360"/>
      </w:pPr>
      <w:rPr>
        <w:rFonts w:ascii="Arial" w:hAnsi="Arial" w:hint="default"/>
      </w:rPr>
    </w:lvl>
    <w:lvl w:ilvl="6" w:tplc="E5F2F3E0" w:tentative="1">
      <w:start w:val="1"/>
      <w:numFmt w:val="bullet"/>
      <w:lvlText w:val="•"/>
      <w:lvlJc w:val="left"/>
      <w:pPr>
        <w:tabs>
          <w:tab w:val="num" w:pos="5040"/>
        </w:tabs>
        <w:ind w:left="5040" w:hanging="360"/>
      </w:pPr>
      <w:rPr>
        <w:rFonts w:ascii="Arial" w:hAnsi="Arial" w:hint="default"/>
      </w:rPr>
    </w:lvl>
    <w:lvl w:ilvl="7" w:tplc="A378A292" w:tentative="1">
      <w:start w:val="1"/>
      <w:numFmt w:val="bullet"/>
      <w:lvlText w:val="•"/>
      <w:lvlJc w:val="left"/>
      <w:pPr>
        <w:tabs>
          <w:tab w:val="num" w:pos="5760"/>
        </w:tabs>
        <w:ind w:left="5760" w:hanging="360"/>
      </w:pPr>
      <w:rPr>
        <w:rFonts w:ascii="Arial" w:hAnsi="Arial" w:hint="default"/>
      </w:rPr>
    </w:lvl>
    <w:lvl w:ilvl="8" w:tplc="32B2306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1A0"/>
    <w:rsid w:val="0001314C"/>
    <w:rsid w:val="00030E83"/>
    <w:rsid w:val="0015318B"/>
    <w:rsid w:val="00172895"/>
    <w:rsid w:val="002023B5"/>
    <w:rsid w:val="0022116A"/>
    <w:rsid w:val="00322753"/>
    <w:rsid w:val="00357846"/>
    <w:rsid w:val="00367752"/>
    <w:rsid w:val="00437E91"/>
    <w:rsid w:val="0048064A"/>
    <w:rsid w:val="00484CF0"/>
    <w:rsid w:val="004C2A13"/>
    <w:rsid w:val="005E6C0D"/>
    <w:rsid w:val="006D2866"/>
    <w:rsid w:val="00713AEF"/>
    <w:rsid w:val="00780963"/>
    <w:rsid w:val="008D11A0"/>
    <w:rsid w:val="0096722E"/>
    <w:rsid w:val="009D77B0"/>
    <w:rsid w:val="00A67B5C"/>
    <w:rsid w:val="00A91AFF"/>
    <w:rsid w:val="00AD6785"/>
    <w:rsid w:val="00BE0DC8"/>
    <w:rsid w:val="00C40CF6"/>
    <w:rsid w:val="00C801BC"/>
    <w:rsid w:val="00CB3D25"/>
    <w:rsid w:val="00D525CE"/>
    <w:rsid w:val="00DC66AA"/>
    <w:rsid w:val="00E436D8"/>
    <w:rsid w:val="00E47777"/>
    <w:rsid w:val="00E84B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0658C-0244-4F89-9A66-D9EAA59A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1A0"/>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84CF0"/>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pie">
    <w:name w:val="footnote text"/>
    <w:basedOn w:val="Normal"/>
    <w:link w:val="TextonotapieCar"/>
    <w:uiPriority w:val="99"/>
    <w:rsid w:val="00E84BC5"/>
    <w:pPr>
      <w:spacing w:after="0" w:line="240" w:lineRule="auto"/>
    </w:pPr>
    <w:rPr>
      <w:rFonts w:ascii="Calibri" w:eastAsia="Calibri" w:hAnsi="Calibri" w:cs="SimSun"/>
      <w:sz w:val="20"/>
      <w:szCs w:val="20"/>
      <w:lang w:val="en-US"/>
    </w:rPr>
  </w:style>
  <w:style w:type="character" w:customStyle="1" w:styleId="TextonotapieCar">
    <w:name w:val="Texto nota pie Car"/>
    <w:basedOn w:val="Fuentedeprrafopredeter"/>
    <w:link w:val="Textonotapie"/>
    <w:uiPriority w:val="99"/>
    <w:rsid w:val="00E84BC5"/>
    <w:rPr>
      <w:rFonts w:ascii="Calibri" w:eastAsia="Calibri" w:hAnsi="Calibri" w:cs="SimSun"/>
      <w:sz w:val="20"/>
      <w:szCs w:val="20"/>
      <w:lang w:val="en-US"/>
    </w:rPr>
  </w:style>
  <w:style w:type="character" w:styleId="Refdenotaalpie">
    <w:name w:val="footnote reference"/>
    <w:basedOn w:val="Fuentedeprrafopredeter"/>
    <w:uiPriority w:val="99"/>
    <w:rsid w:val="00E84BC5"/>
    <w:rPr>
      <w:vertAlign w:val="superscript"/>
    </w:rPr>
  </w:style>
  <w:style w:type="paragraph" w:styleId="Prrafodelista">
    <w:name w:val="List Paragraph"/>
    <w:basedOn w:val="Normal"/>
    <w:uiPriority w:val="34"/>
    <w:qFormat/>
    <w:rsid w:val="00E84B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1157">
      <w:bodyDiv w:val="1"/>
      <w:marLeft w:val="0"/>
      <w:marRight w:val="0"/>
      <w:marTop w:val="0"/>
      <w:marBottom w:val="0"/>
      <w:divBdr>
        <w:top w:val="none" w:sz="0" w:space="0" w:color="auto"/>
        <w:left w:val="none" w:sz="0" w:space="0" w:color="auto"/>
        <w:bottom w:val="none" w:sz="0" w:space="0" w:color="auto"/>
        <w:right w:val="none" w:sz="0" w:space="0" w:color="auto"/>
      </w:divBdr>
      <w:divsChild>
        <w:div w:id="1536848005">
          <w:marLeft w:val="360"/>
          <w:marRight w:val="0"/>
          <w:marTop w:val="200"/>
          <w:marBottom w:val="0"/>
          <w:divBdr>
            <w:top w:val="none" w:sz="0" w:space="0" w:color="auto"/>
            <w:left w:val="none" w:sz="0" w:space="0" w:color="auto"/>
            <w:bottom w:val="none" w:sz="0" w:space="0" w:color="auto"/>
            <w:right w:val="none" w:sz="0" w:space="0" w:color="auto"/>
          </w:divBdr>
        </w:div>
        <w:div w:id="740102743">
          <w:marLeft w:val="360"/>
          <w:marRight w:val="0"/>
          <w:marTop w:val="200"/>
          <w:marBottom w:val="0"/>
          <w:divBdr>
            <w:top w:val="none" w:sz="0" w:space="0" w:color="auto"/>
            <w:left w:val="none" w:sz="0" w:space="0" w:color="auto"/>
            <w:bottom w:val="none" w:sz="0" w:space="0" w:color="auto"/>
            <w:right w:val="none" w:sz="0" w:space="0" w:color="auto"/>
          </w:divBdr>
        </w:div>
      </w:divsChild>
    </w:div>
    <w:div w:id="1023478458">
      <w:bodyDiv w:val="1"/>
      <w:marLeft w:val="0"/>
      <w:marRight w:val="0"/>
      <w:marTop w:val="0"/>
      <w:marBottom w:val="0"/>
      <w:divBdr>
        <w:top w:val="none" w:sz="0" w:space="0" w:color="auto"/>
        <w:left w:val="none" w:sz="0" w:space="0" w:color="auto"/>
        <w:bottom w:val="none" w:sz="0" w:space="0" w:color="auto"/>
        <w:right w:val="none" w:sz="0" w:space="0" w:color="auto"/>
      </w:divBdr>
    </w:div>
    <w:div w:id="1357081654">
      <w:bodyDiv w:val="1"/>
      <w:marLeft w:val="0"/>
      <w:marRight w:val="0"/>
      <w:marTop w:val="0"/>
      <w:marBottom w:val="0"/>
      <w:divBdr>
        <w:top w:val="none" w:sz="0" w:space="0" w:color="auto"/>
        <w:left w:val="none" w:sz="0" w:space="0" w:color="auto"/>
        <w:bottom w:val="none" w:sz="0" w:space="0" w:color="auto"/>
        <w:right w:val="none" w:sz="0" w:space="0" w:color="auto"/>
      </w:divBdr>
    </w:div>
    <w:div w:id="1899047800">
      <w:bodyDiv w:val="1"/>
      <w:marLeft w:val="0"/>
      <w:marRight w:val="0"/>
      <w:marTop w:val="0"/>
      <w:marBottom w:val="0"/>
      <w:divBdr>
        <w:top w:val="none" w:sz="0" w:space="0" w:color="auto"/>
        <w:left w:val="none" w:sz="0" w:space="0" w:color="auto"/>
        <w:bottom w:val="none" w:sz="0" w:space="0" w:color="auto"/>
        <w:right w:val="none" w:sz="0" w:space="0" w:color="auto"/>
      </w:divBdr>
      <w:divsChild>
        <w:div w:id="1792438421">
          <w:marLeft w:val="360"/>
          <w:marRight w:val="0"/>
          <w:marTop w:val="200"/>
          <w:marBottom w:val="0"/>
          <w:divBdr>
            <w:top w:val="none" w:sz="0" w:space="0" w:color="auto"/>
            <w:left w:val="none" w:sz="0" w:space="0" w:color="auto"/>
            <w:bottom w:val="none" w:sz="0" w:space="0" w:color="auto"/>
            <w:right w:val="none" w:sz="0" w:space="0" w:color="auto"/>
          </w:divBdr>
        </w:div>
        <w:div w:id="152569527">
          <w:marLeft w:val="360"/>
          <w:marRight w:val="0"/>
          <w:marTop w:val="200"/>
          <w:marBottom w:val="0"/>
          <w:divBdr>
            <w:top w:val="none" w:sz="0" w:space="0" w:color="auto"/>
            <w:left w:val="none" w:sz="0" w:space="0" w:color="auto"/>
            <w:bottom w:val="none" w:sz="0" w:space="0" w:color="auto"/>
            <w:right w:val="none" w:sz="0" w:space="0" w:color="auto"/>
          </w:divBdr>
        </w:div>
        <w:div w:id="1442141262">
          <w:marLeft w:val="360"/>
          <w:marRight w:val="0"/>
          <w:marTop w:val="200"/>
          <w:marBottom w:val="0"/>
          <w:divBdr>
            <w:top w:val="none" w:sz="0" w:space="0" w:color="auto"/>
            <w:left w:val="none" w:sz="0" w:space="0" w:color="auto"/>
            <w:bottom w:val="none" w:sz="0" w:space="0" w:color="auto"/>
            <w:right w:val="none" w:sz="0" w:space="0" w:color="auto"/>
          </w:divBdr>
        </w:div>
        <w:div w:id="486573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6671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MICHO</dc:creator>
  <cp:keywords/>
  <dc:description/>
  <cp:lastModifiedBy>MICHO</cp:lastModifiedBy>
  <cp:revision>2</cp:revision>
  <dcterms:created xsi:type="dcterms:W3CDTF">2026-02-12T19:20:00Z</dcterms:created>
  <dcterms:modified xsi:type="dcterms:W3CDTF">2026-02-12T19:20:00Z</dcterms:modified>
</cp:coreProperties>
</file>