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Investigac</w:t>
      </w:r>
      <w:r>
        <w:rPr>
          <w:rFonts w:ascii="Arial" w:cs="Arial" w:hAnsi="Arial"/>
          <w:sz w:val="24"/>
        </w:rPr>
        <w:t>ión de los alumnos de la clase 2</w:t>
      </w:r>
    </w:p>
    <w:tbl>
      <w:tblPr>
        <w:tblStyle w:val="style154"/>
        <w:tblW w:w="9000" w:type="dxa"/>
        <w:tblLook w:val="04A0" w:firstRow="1" w:lastRow="0" w:firstColumn="1" w:lastColumn="0" w:noHBand="0" w:noVBand="1"/>
      </w:tblPr>
      <w:tblGrid>
        <w:gridCol w:w="596"/>
        <w:gridCol w:w="4222"/>
        <w:gridCol w:w="4182"/>
      </w:tblGrid>
      <w:tr>
        <w:trPr>
          <w:trHeight w:val="384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No.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Nombre y apellido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Pregunta 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Tay</w:t>
            </w:r>
            <w:r>
              <w:rPr>
                <w:rFonts w:cs="Arial" w:hAnsi="Arial"/>
                <w:sz w:val="24"/>
                <w:lang w:val="en-US"/>
              </w:rPr>
              <w:t>ene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Que refiere la Ley No. 3 de 1958 del Ejercito sobre los institutos del Derecho que se han tratado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Yosef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Que refiere la Ley No. 65 de 1988 Ley General de la vivienda sobre los institutos del Derecho que se han tratado y compárela con la Ley 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3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Roselyn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Que refiere la Ley No. 59 de 1987 Código Civil sobre los institutos del Derecho que se han tratado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4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Dianelis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Que refiere la Decreto-Ley No. 79 de 1984 sobre los institutos del Derecho que 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5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Kayra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Que refiere el Decreto-Ley No. 125 de 1991 sobre los institutos del Derecho que 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6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Sherly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Que refiere el Decreto-Ley No. 233 de 2003 sobre los institutos del Derecho que 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7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Fabian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Que refiere la Ley No. 50 de 1984 Ley de las notarías sobre los institutos del Derecho que 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8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Indira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Que refiere la resolución No. 101 de 1985 Reglamento de la Ley de las notarías sobre los institutos del Derecho que 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9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Yilena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  <w:r>
              <w:rPr>
                <w:rFonts w:ascii="Arial" w:cs="Arial" w:hAnsi="Arial"/>
                <w:sz w:val="24"/>
              </w:rPr>
              <w:t xml:space="preserve">Que refiere </w:t>
            </w:r>
            <w:r>
              <w:rPr>
                <w:rFonts w:ascii="Arial" w:cs="Arial" w:hAnsi="Arial"/>
                <w:sz w:val="24"/>
              </w:rPr>
              <w:t>la Ley No. 36 de 1982</w:t>
            </w:r>
            <w:r>
              <w:rPr>
                <w:rFonts w:ascii="Arial" w:cs="Arial" w:hAnsi="Arial"/>
                <w:sz w:val="24"/>
              </w:rPr>
              <w:t xml:space="preserve"> sobre los institutos del Derecho que 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10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María k</w:t>
            </w:r>
            <w:r>
              <w:rPr>
                <w:rFonts w:cs="Arial" w:hAnsi="Arial"/>
                <w:sz w:val="24"/>
                <w:lang w:val="en-US"/>
              </w:rPr>
              <w:t>arla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  <w:r>
              <w:rPr>
                <w:rFonts w:ascii="Arial" w:cs="Arial" w:hAnsi="Arial"/>
                <w:sz w:val="24"/>
              </w:rPr>
              <w:t xml:space="preserve">Que </w:t>
            </w:r>
            <w:r>
              <w:rPr>
                <w:rFonts w:ascii="Arial" w:cs="Arial" w:hAnsi="Arial"/>
                <w:sz w:val="24"/>
              </w:rPr>
              <w:t>refiere la Ley No. 95 de 2002</w:t>
            </w:r>
            <w:r>
              <w:rPr>
                <w:rFonts w:ascii="Arial" w:cs="Arial" w:hAnsi="Arial"/>
                <w:sz w:val="24"/>
              </w:rPr>
              <w:t xml:space="preserve"> sobre los institutos del Derecho que </w:t>
            </w:r>
            <w:r>
              <w:rPr>
                <w:rFonts w:ascii="Arial" w:cs="Arial" w:hAnsi="Arial"/>
                <w:sz w:val="24"/>
              </w:rPr>
              <w:t>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11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Marlon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  <w:r>
              <w:rPr>
                <w:rFonts w:ascii="Arial" w:cs="Arial" w:hAnsi="Arial"/>
                <w:sz w:val="24"/>
              </w:rPr>
              <w:t xml:space="preserve">Que refiere el </w:t>
            </w:r>
            <w:r>
              <w:rPr>
                <w:rFonts w:ascii="Arial" w:cs="Arial" w:hAnsi="Arial"/>
                <w:sz w:val="24"/>
              </w:rPr>
              <w:t>Decreto-Ley No. 65 de 1983</w:t>
            </w:r>
            <w:r>
              <w:rPr>
                <w:rFonts w:ascii="Arial" w:cs="Arial" w:hAnsi="Arial"/>
                <w:sz w:val="24"/>
              </w:rPr>
              <w:t xml:space="preserve"> sobre los institutos del Derecho que 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12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 xml:space="preserve">Midialis 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  <w:r>
              <w:rPr>
                <w:rFonts w:ascii="Arial" w:cs="Arial" w:hAnsi="Arial"/>
                <w:sz w:val="24"/>
              </w:rPr>
              <w:t xml:space="preserve">Que refiere el </w:t>
            </w:r>
            <w:r>
              <w:rPr>
                <w:rFonts w:ascii="Arial" w:cs="Arial" w:hAnsi="Arial"/>
                <w:sz w:val="24"/>
              </w:rPr>
              <w:t>Decreto No. 159 de 1990</w:t>
            </w:r>
            <w:r>
              <w:rPr>
                <w:rFonts w:ascii="Arial" w:cs="Arial" w:hAnsi="Arial"/>
                <w:sz w:val="24"/>
              </w:rPr>
              <w:t xml:space="preserve"> sobre los institutos del Derecho que 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13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cs="Arial" w:hAnsi="Arial"/>
                <w:sz w:val="24"/>
                <w:lang w:val="en-US"/>
              </w:rPr>
              <w:t>Isabel</w:t>
            </w: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  <w:r>
              <w:rPr>
                <w:rFonts w:ascii="Arial" w:cs="Arial" w:hAnsi="Arial"/>
                <w:sz w:val="24"/>
              </w:rPr>
              <w:t xml:space="preserve">Que </w:t>
            </w:r>
            <w:r>
              <w:rPr>
                <w:rFonts w:ascii="Arial" w:cs="Arial" w:hAnsi="Arial"/>
                <w:sz w:val="24"/>
              </w:rPr>
              <w:t>refiere la Ley No. 77 de 1995</w:t>
            </w:r>
            <w:r>
              <w:rPr>
                <w:rFonts w:ascii="Arial" w:cs="Arial" w:hAnsi="Arial"/>
                <w:sz w:val="24"/>
              </w:rPr>
              <w:t xml:space="preserve"> </w:t>
            </w:r>
            <w:r>
              <w:rPr>
                <w:rFonts w:ascii="Arial" w:cs="Arial" w:hAnsi="Arial"/>
                <w:sz w:val="24"/>
              </w:rPr>
              <w:t xml:space="preserve">Ley de inversión extranjera </w:t>
            </w:r>
            <w:r>
              <w:rPr>
                <w:rFonts w:ascii="Arial" w:cs="Arial" w:hAnsi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14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15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16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17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18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19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20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21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22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590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23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  <w:tc>
          <w:tcPr>
            <w:tcW w:w="4185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  <w:bookmarkStart w:id="0" w:name="_GoBack"/>
      <w:bookmarkEnd w:id="0"/>
    </w:tbl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 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MX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450</Words>
  <Pages>2</Pages>
  <Characters>1888</Characters>
  <Application>WPS Office</Application>
  <DocSecurity>0</DocSecurity>
  <Paragraphs>98</Paragraphs>
  <ScaleCrop>false</ScaleCrop>
  <LinksUpToDate>false</LinksUpToDate>
  <CharactersWithSpaces>2292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2026-02-24T17:53:41Z</dcterms:created>
  <dc:creator>Andres Perez</dc:creator>
  <lastModifiedBy>23026RN54G</lastModifiedBy>
  <dcterms:modified xsi:type="dcterms:W3CDTF">2026-02-24T17:53:41Z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