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EA" w:rsidRDefault="00DE2963">
      <w:r w:rsidRPr="00AC7927">
        <w:rPr>
          <w:b/>
        </w:rPr>
        <w:t xml:space="preserve">ORIENTACION SOBRE </w:t>
      </w:r>
      <w:r w:rsidR="005C237B" w:rsidRPr="00AC7927">
        <w:rPr>
          <w:b/>
        </w:rPr>
        <w:t>EJERCICIO PRACTICO DE EFECTIVO EN CAJA Y BANCO</w:t>
      </w:r>
      <w:r w:rsidR="005C237B">
        <w:t>.</w:t>
      </w:r>
    </w:p>
    <w:p w:rsidR="00102D0C" w:rsidRDefault="005C237B" w:rsidP="005C237B">
      <w:r>
        <w:t>Se d</w:t>
      </w:r>
      <w:r w:rsidR="00C83DD5" w:rsidRPr="005C237B">
        <w:t xml:space="preserve">ividirá el grupo en </w:t>
      </w:r>
      <w:r>
        <w:t>2</w:t>
      </w:r>
      <w:r w:rsidR="00C83DD5" w:rsidRPr="005C237B">
        <w:t xml:space="preserve"> subgrupos (conteo del 1 al </w:t>
      </w:r>
      <w:r>
        <w:t>2</w:t>
      </w:r>
      <w:r w:rsidR="00C83DD5" w:rsidRPr="005C237B">
        <w:t xml:space="preserve">), se realiza un sorteo, un miembro de cada equipo escoge un papel, en el que aparece </w:t>
      </w:r>
      <w:r>
        <w:t xml:space="preserve">que lo que se va a desarrollar (los números 1 se desarrollaran como técnico en gestión económica y los números 2 como custodio de la caja), </w:t>
      </w:r>
      <w:r w:rsidR="00C83DD5">
        <w:t>se</w:t>
      </w:r>
      <w:r w:rsidR="00AC7927">
        <w:t xml:space="preserve"> la actividad que se realizara es </w:t>
      </w:r>
      <w:r w:rsidR="00C83DD5">
        <w:t>un a</w:t>
      </w:r>
      <w:r w:rsidR="00AC7927">
        <w:t>rqueo a la caja de una empresa.</w:t>
      </w:r>
    </w:p>
    <w:p w:rsidR="005C237B" w:rsidRPr="00AC7927" w:rsidRDefault="005C237B" w:rsidP="005C237B">
      <w:pPr>
        <w:rPr>
          <w:b/>
        </w:rPr>
      </w:pPr>
      <w:r w:rsidRPr="00AC7927">
        <w:rPr>
          <w:b/>
        </w:rPr>
        <w:t>Técnicos en gestión económica:</w:t>
      </w:r>
    </w:p>
    <w:p w:rsidR="005C237B" w:rsidRDefault="005C237B" w:rsidP="005C237B">
      <w:pPr>
        <w:pStyle w:val="Prrafodelista"/>
        <w:numPr>
          <w:ilvl w:val="0"/>
          <w:numId w:val="2"/>
        </w:numPr>
      </w:pPr>
      <w:r>
        <w:t xml:space="preserve">Realizar el arqueo al custodio de la caja con los modelos correspondientes según la resolución </w:t>
      </w:r>
      <w:r w:rsidR="002B2595">
        <w:t xml:space="preserve">12/2007 del MFP </w:t>
      </w:r>
      <w:r w:rsidR="00AC7927">
        <w:t xml:space="preserve">(donde debe estar en el encabezado nombre de alguna empresa de la Provincia Artemisa, deben estar los consecutivos de cada modelo arqueado, lo modelos no puede tener tachadura) </w:t>
      </w:r>
      <w:r w:rsidR="002B2595">
        <w:t>y la Resolución 268/2018 MFP, sobre el procedimiento de control interno no. 4 “elementos de control interno en los subsistemas contables” todo lo relacionado con el subsistema de caja y banco,</w:t>
      </w:r>
      <w:r w:rsidR="00AC7927">
        <w:t>(</w:t>
      </w:r>
      <w:r w:rsidR="00F9029A">
        <w:t xml:space="preserve"> el cajero debe tener  la documentación según lo que establece </w:t>
      </w:r>
      <w:r w:rsidR="00AC7927">
        <w:t>los artículos de dicha resolución</w:t>
      </w:r>
      <w:r w:rsidR="002B2595">
        <w:t xml:space="preserve"> donde debe existir un faltante o un sobrante en la caja. </w:t>
      </w:r>
    </w:p>
    <w:p w:rsidR="002B2595" w:rsidRDefault="002B2595" w:rsidP="002B2595">
      <w:pPr>
        <w:pStyle w:val="Prrafodelista"/>
        <w:numPr>
          <w:ilvl w:val="0"/>
          <w:numId w:val="2"/>
        </w:numPr>
      </w:pPr>
      <w:r>
        <w:t>Aplicar la resolución 20 /2009 MFP. (sobrante y faltantes)</w:t>
      </w:r>
      <w:r w:rsidR="00F9029A">
        <w:t xml:space="preserve"> y realizar expediente por faltante o sobrante. </w:t>
      </w:r>
    </w:p>
    <w:p w:rsidR="00AC7927" w:rsidRDefault="002B2595" w:rsidP="00AC7927">
      <w:pPr>
        <w:pStyle w:val="Prrafodelista"/>
        <w:numPr>
          <w:ilvl w:val="0"/>
          <w:numId w:val="2"/>
        </w:numPr>
      </w:pPr>
      <w:r>
        <w:t>Aplicar la responsabilidad material al cajero al existir un faltante en la caja.</w:t>
      </w:r>
    </w:p>
    <w:p w:rsidR="002B2595" w:rsidRPr="00AC7927" w:rsidRDefault="002B2595" w:rsidP="002B2595">
      <w:pPr>
        <w:rPr>
          <w:b/>
        </w:rPr>
      </w:pPr>
      <w:r w:rsidRPr="00AC7927">
        <w:rPr>
          <w:b/>
        </w:rPr>
        <w:t xml:space="preserve">Custodio de la caja </w:t>
      </w:r>
    </w:p>
    <w:p w:rsidR="00F9029A" w:rsidRDefault="00F9029A" w:rsidP="00C83DD5">
      <w:pPr>
        <w:pStyle w:val="Prrafodelista"/>
        <w:numPr>
          <w:ilvl w:val="0"/>
          <w:numId w:val="3"/>
        </w:numPr>
      </w:pPr>
      <w:r>
        <w:t xml:space="preserve">Debe tener la documentación por escrito según la resolución 268/2018 del MFP </w:t>
      </w:r>
    </w:p>
    <w:p w:rsidR="00C83DD5" w:rsidRPr="00F9029A" w:rsidRDefault="00F9029A" w:rsidP="00C83DD5">
      <w:pPr>
        <w:pStyle w:val="Prrafodelista"/>
        <w:numPr>
          <w:ilvl w:val="0"/>
          <w:numId w:val="3"/>
        </w:numPr>
      </w:pPr>
      <w:r>
        <w:t>Realizar los m</w:t>
      </w:r>
      <w:r w:rsidR="00C83DD5">
        <w:t>odelos que justifica el dinero en efectivo que está en caja tales como (</w:t>
      </w:r>
      <w:r w:rsidR="00C83DD5" w:rsidRPr="00C83DD5">
        <w:rPr>
          <w:b/>
          <w:bCs/>
          <w:color w:val="000000"/>
          <w:sz w:val="20"/>
          <w:szCs w:val="20"/>
          <w:lang w:val="es-MX"/>
        </w:rPr>
        <w:t xml:space="preserve">anticipo y liquidación de gastos de viaje, </w:t>
      </w:r>
      <w:r w:rsidR="00C83DD5" w:rsidRPr="00C83DD5">
        <w:rPr>
          <w:b/>
        </w:rPr>
        <w:t>recibo</w:t>
      </w:r>
      <w:r w:rsidR="00C83DD5" w:rsidRPr="00C83DD5">
        <w:rPr>
          <w:b/>
          <w:color w:val="000000"/>
          <w:lang w:val="es-MX"/>
        </w:rPr>
        <w:t xml:space="preserve"> de efectivo, vale para pagos menores, reembolso de fondo,) </w:t>
      </w:r>
      <w:r w:rsidR="00C83DD5">
        <w:rPr>
          <w:b/>
          <w:color w:val="000000"/>
          <w:lang w:val="es-MX"/>
        </w:rPr>
        <w:t>y la cantidad de 5 modelos de fechas anterior al arqueo a la caja</w:t>
      </w:r>
      <w:r>
        <w:rPr>
          <w:b/>
          <w:color w:val="000000"/>
          <w:lang w:val="es-MX"/>
        </w:rPr>
        <w:t xml:space="preserve"> y el </w:t>
      </w:r>
      <w:r w:rsidRPr="00C83DD5">
        <w:rPr>
          <w:sz w:val="26"/>
          <w:szCs w:val="26"/>
        </w:rPr>
        <w:t>Control de Anticipos a Justificar</w:t>
      </w:r>
      <w:r>
        <w:rPr>
          <w:sz w:val="26"/>
          <w:szCs w:val="26"/>
        </w:rPr>
        <w:t xml:space="preserve"> 1 modelo. (no puede haber tachadura, no le puede faltar ningún detalle en los modelos)</w:t>
      </w:r>
    </w:p>
    <w:p w:rsidR="00F9029A" w:rsidRPr="00737CE4" w:rsidRDefault="00F9029A" w:rsidP="00C83DD5">
      <w:pPr>
        <w:pStyle w:val="Prrafodelista"/>
        <w:numPr>
          <w:ilvl w:val="0"/>
          <w:numId w:val="3"/>
        </w:numPr>
      </w:pPr>
      <w:r>
        <w:rPr>
          <w:sz w:val="26"/>
          <w:szCs w:val="26"/>
        </w:rPr>
        <w:t>Realizar una conciliación bancaria con el ban</w:t>
      </w:r>
      <w:r w:rsidR="00737CE4">
        <w:rPr>
          <w:sz w:val="26"/>
          <w:szCs w:val="26"/>
        </w:rPr>
        <w:t xml:space="preserve">co sobre ese dinero depositado y reembolsado. </w:t>
      </w:r>
    </w:p>
    <w:p w:rsidR="00737CE4" w:rsidRPr="00C83DD5" w:rsidRDefault="00737CE4" w:rsidP="00737CE4">
      <w:r>
        <w:t>La exposición es en dúo de cómo se realizó</w:t>
      </w:r>
      <w:bookmarkStart w:id="0" w:name="_GoBack"/>
      <w:bookmarkEnd w:id="0"/>
      <w:r>
        <w:t xml:space="preserve"> el arqueado al efectivo y la documentación en caja.</w:t>
      </w:r>
    </w:p>
    <w:p w:rsidR="005C237B" w:rsidRDefault="005C237B"/>
    <w:sectPr w:rsidR="005C2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655"/>
    <w:multiLevelType w:val="hybridMultilevel"/>
    <w:tmpl w:val="7338C0D0"/>
    <w:lvl w:ilvl="0" w:tplc="D69EF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171EC"/>
    <w:multiLevelType w:val="hybridMultilevel"/>
    <w:tmpl w:val="5E7C236E"/>
    <w:lvl w:ilvl="0" w:tplc="8EF0FD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1C23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005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E615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04E6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929C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862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BE16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A22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27267"/>
    <w:multiLevelType w:val="hybridMultilevel"/>
    <w:tmpl w:val="5EE4A8E0"/>
    <w:lvl w:ilvl="0" w:tplc="92429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63"/>
    <w:rsid w:val="00102D0C"/>
    <w:rsid w:val="002B2595"/>
    <w:rsid w:val="005C237B"/>
    <w:rsid w:val="00687EEA"/>
    <w:rsid w:val="00737CE4"/>
    <w:rsid w:val="00AC7927"/>
    <w:rsid w:val="00C83DD5"/>
    <w:rsid w:val="00DE2963"/>
    <w:rsid w:val="00F9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6037"/>
  <w15:chartTrackingRefBased/>
  <w15:docId w15:val="{50C9AC79-CB65-426B-9629-8C354280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2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9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5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</dc:creator>
  <cp:keywords/>
  <dc:description/>
  <cp:lastModifiedBy>DAYANA</cp:lastModifiedBy>
  <cp:revision>8</cp:revision>
  <dcterms:created xsi:type="dcterms:W3CDTF">2026-02-22T12:17:00Z</dcterms:created>
  <dcterms:modified xsi:type="dcterms:W3CDTF">2026-02-26T14:25:00Z</dcterms:modified>
</cp:coreProperties>
</file>