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2573C2">
      <w:pPr>
        <w:spacing w:line="360" w:lineRule="auto"/>
        <w:jc w:val="both"/>
        <w:rPr>
          <w:rFonts w:ascii="Arial" w:hAnsi="Arial" w:cs="Arial"/>
          <w:b/>
          <w:sz w:val="24"/>
          <w:szCs w:val="24"/>
          <w:u w:val="single"/>
        </w:rPr>
      </w:pPr>
      <w:bookmarkStart w:id="0" w:name="_GoBack"/>
      <w:bookmarkEnd w:id="0"/>
    </w:p>
    <w:p w14:paraId="1A85177A">
      <w:pPr>
        <w:spacing w:line="360" w:lineRule="auto"/>
        <w:jc w:val="both"/>
        <w:rPr>
          <w:rFonts w:ascii="Arial" w:hAnsi="Arial" w:cs="Arial"/>
          <w:sz w:val="24"/>
          <w:szCs w:val="24"/>
        </w:rPr>
      </w:pPr>
      <w:r>
        <w:rPr>
          <w:rFonts w:ascii="Arial" w:hAnsi="Arial" w:cs="Arial"/>
          <w:b/>
          <w:sz w:val="24"/>
          <w:szCs w:val="24"/>
          <w:u w:val="single"/>
        </w:rPr>
        <w:t>Tema 5:</w:t>
      </w:r>
      <w:r>
        <w:rPr>
          <w:rFonts w:ascii="Arial" w:hAnsi="Arial" w:cs="Arial"/>
          <w:sz w:val="24"/>
          <w:szCs w:val="24"/>
        </w:rPr>
        <w:t xml:space="preserve"> Gestión Colectiva del Derecho de Autor y los Derechos Conexos </w:t>
      </w:r>
    </w:p>
    <w:p w14:paraId="61F0DB28">
      <w:pPr>
        <w:spacing w:line="360" w:lineRule="auto"/>
        <w:jc w:val="both"/>
        <w:rPr>
          <w:rFonts w:ascii="Arial" w:hAnsi="Arial" w:cs="Arial"/>
          <w:sz w:val="24"/>
          <w:szCs w:val="24"/>
        </w:rPr>
      </w:pPr>
      <w:r>
        <w:rPr>
          <w:rFonts w:ascii="Arial" w:hAnsi="Arial" w:cs="Arial"/>
          <w:i/>
          <w:sz w:val="24"/>
          <w:szCs w:val="24"/>
        </w:rPr>
        <w:t>Objetivo:</w:t>
      </w:r>
      <w:r>
        <w:rPr>
          <w:rFonts w:ascii="Arial" w:hAnsi="Arial" w:cs="Arial"/>
          <w:sz w:val="24"/>
          <w:szCs w:val="24"/>
        </w:rPr>
        <w:t xml:space="preserve"> Analizar la importancia de la gestión colectiva del derecho de autor y los derechos conexos, precisando el papel de las entidades cubanas en esta sede.</w:t>
      </w:r>
    </w:p>
    <w:p w14:paraId="46903A5A">
      <w:pPr>
        <w:spacing w:line="360" w:lineRule="auto"/>
        <w:jc w:val="both"/>
        <w:rPr>
          <w:rFonts w:ascii="Arial" w:hAnsi="Arial" w:cs="Arial"/>
          <w:sz w:val="24"/>
          <w:szCs w:val="24"/>
        </w:rPr>
      </w:pPr>
    </w:p>
    <w:p w14:paraId="10B2663C">
      <w:pPr>
        <w:spacing w:line="360" w:lineRule="auto"/>
        <w:jc w:val="both"/>
        <w:rPr>
          <w:rFonts w:ascii="Arial" w:hAnsi="Arial" w:cs="Arial"/>
          <w:sz w:val="24"/>
          <w:szCs w:val="24"/>
        </w:rPr>
      </w:pPr>
      <w:r>
        <w:rPr>
          <w:rFonts w:ascii="Arial" w:hAnsi="Arial" w:cs="Arial"/>
          <w:sz w:val="24"/>
          <w:szCs w:val="24"/>
        </w:rPr>
        <w:t xml:space="preserve"> ¿Qué es y por qué existe la Gestión Colectiva? </w:t>
      </w:r>
    </w:p>
    <w:p w14:paraId="6353A177">
      <w:pPr>
        <w:spacing w:line="360" w:lineRule="auto"/>
        <w:jc w:val="both"/>
        <w:rPr>
          <w:rFonts w:ascii="Arial" w:hAnsi="Arial" w:cs="Arial"/>
          <w:sz w:val="24"/>
          <w:szCs w:val="24"/>
        </w:rPr>
      </w:pPr>
      <w:r>
        <w:rPr>
          <w:rFonts w:ascii="Arial" w:hAnsi="Arial" w:cs="Arial"/>
          <w:sz w:val="24"/>
          <w:szCs w:val="24"/>
        </w:rPr>
        <w:t>Hemos visto todos los derechos que tienen autores, artistas y productores. Ahora, la pregunta práctica:</w:t>
      </w:r>
    </w:p>
    <w:p w14:paraId="04CB1E84">
      <w:pPr>
        <w:spacing w:line="360" w:lineRule="auto"/>
        <w:jc w:val="both"/>
        <w:rPr>
          <w:rFonts w:ascii="Arial" w:hAnsi="Arial" w:cs="Arial"/>
          <w:sz w:val="24"/>
          <w:szCs w:val="24"/>
        </w:rPr>
      </w:pPr>
      <w:r>
        <w:rPr>
          <w:rFonts w:ascii="Arial" w:hAnsi="Arial" w:cs="Arial"/>
          <w:sz w:val="24"/>
          <w:szCs w:val="24"/>
        </w:rPr>
        <w:t>¿Cómo puede un músico cubano saber si su canción está sonando ahora mismo en una radio de Alemania o en un café en Santiago de Cuba? ¿Y cómo haría para ir a esa radio o a ese café a cobrar sus 5 centavos de derecho de autor?</w:t>
      </w:r>
    </w:p>
    <w:p w14:paraId="1C4B589B">
      <w:pPr>
        <w:spacing w:line="360" w:lineRule="auto"/>
        <w:jc w:val="both"/>
        <w:rPr>
          <w:rFonts w:ascii="Arial" w:hAnsi="Arial" w:cs="Arial"/>
          <w:sz w:val="24"/>
          <w:szCs w:val="24"/>
        </w:rPr>
      </w:pPr>
      <w:r>
        <w:rPr>
          <w:rFonts w:ascii="Arial" w:hAnsi="Arial" w:cs="Arial"/>
          <w:sz w:val="24"/>
          <w:szCs w:val="24"/>
        </w:rPr>
        <w:t>R/ Es imposible.</w:t>
      </w:r>
    </w:p>
    <w:p w14:paraId="6AFC5F51">
      <w:pPr>
        <w:spacing w:line="360" w:lineRule="auto"/>
        <w:jc w:val="both"/>
        <w:rPr>
          <w:rFonts w:ascii="Arial" w:hAnsi="Arial" w:cs="Arial"/>
          <w:sz w:val="24"/>
          <w:szCs w:val="24"/>
        </w:rPr>
      </w:pPr>
      <w:r>
        <w:rPr>
          <w:rFonts w:ascii="Arial" w:hAnsi="Arial" w:cs="Arial"/>
          <w:sz w:val="24"/>
          <w:szCs w:val="24"/>
        </w:rPr>
        <w:t>El ejercicio individual de ciertos derechos (especialmente los de comunicación pública, radiodifusión y remuneración equitativa) es inviable.</w:t>
      </w:r>
    </w:p>
    <w:p w14:paraId="25104BF9">
      <w:pPr>
        <w:spacing w:line="360" w:lineRule="auto"/>
        <w:jc w:val="both"/>
        <w:rPr>
          <w:rFonts w:ascii="Arial" w:hAnsi="Arial" w:cs="Arial"/>
          <w:sz w:val="24"/>
          <w:szCs w:val="24"/>
        </w:rPr>
      </w:pPr>
      <w:r>
        <w:rPr>
          <w:rFonts w:ascii="Arial" w:hAnsi="Arial" w:cs="Arial"/>
          <w:sz w:val="24"/>
          <w:szCs w:val="24"/>
        </w:rPr>
        <w:t>Importancia (La Solución): La gestión colectiva.</w:t>
      </w:r>
    </w:p>
    <w:p w14:paraId="732BEFEF">
      <w:pPr>
        <w:spacing w:line="360" w:lineRule="auto"/>
        <w:jc w:val="both"/>
        <w:rPr>
          <w:rFonts w:ascii="Arial" w:hAnsi="Arial" w:cs="Arial"/>
          <w:sz w:val="24"/>
          <w:szCs w:val="24"/>
        </w:rPr>
      </w:pPr>
      <w:r>
        <w:rPr>
          <w:rFonts w:ascii="Arial" w:hAnsi="Arial" w:cs="Arial"/>
          <w:sz w:val="24"/>
          <w:szCs w:val="24"/>
        </w:rPr>
        <w:t>Los titulares (autores, artistas) se agrupan en Entidades de Gestión Colectiva (EGC). Estas entidades:</w:t>
      </w:r>
    </w:p>
    <w:p w14:paraId="5BAF802F">
      <w:pPr>
        <w:spacing w:line="360" w:lineRule="auto"/>
        <w:jc w:val="both"/>
        <w:rPr>
          <w:rFonts w:ascii="Arial" w:hAnsi="Arial" w:cs="Arial"/>
          <w:sz w:val="24"/>
          <w:szCs w:val="24"/>
        </w:rPr>
      </w:pPr>
      <w:r>
        <w:rPr>
          <w:rFonts w:ascii="Arial" w:hAnsi="Arial" w:cs="Arial"/>
          <w:sz w:val="24"/>
          <w:szCs w:val="24"/>
        </w:rPr>
        <w:t xml:space="preserve"> * Representan a sus miembros (actuación por representación).</w:t>
      </w:r>
    </w:p>
    <w:p w14:paraId="2BF6DEC9">
      <w:pPr>
        <w:spacing w:line="360" w:lineRule="auto"/>
        <w:jc w:val="both"/>
        <w:rPr>
          <w:rFonts w:ascii="Arial" w:hAnsi="Arial" w:cs="Arial"/>
          <w:sz w:val="24"/>
          <w:szCs w:val="24"/>
        </w:rPr>
      </w:pPr>
      <w:r>
        <w:rPr>
          <w:rFonts w:ascii="Arial" w:hAnsi="Arial" w:cs="Arial"/>
          <w:sz w:val="24"/>
          <w:szCs w:val="24"/>
        </w:rPr>
        <w:t xml:space="preserve"> * Negocian y licencian en bloque sus repertorios a los usuarios (radios, TV, bares, discotecas, plataformas digitales).</w:t>
      </w:r>
    </w:p>
    <w:p w14:paraId="16AFB189">
      <w:pPr>
        <w:spacing w:line="360" w:lineRule="auto"/>
        <w:jc w:val="both"/>
        <w:rPr>
          <w:rFonts w:ascii="Arial" w:hAnsi="Arial" w:cs="Arial"/>
          <w:sz w:val="24"/>
          <w:szCs w:val="24"/>
        </w:rPr>
      </w:pPr>
      <w:r>
        <w:rPr>
          <w:rFonts w:ascii="Arial" w:hAnsi="Arial" w:cs="Arial"/>
          <w:sz w:val="24"/>
          <w:szCs w:val="24"/>
        </w:rPr>
        <w:t xml:space="preserve"> * Recaudan el dinero de esas licencias.</w:t>
      </w:r>
    </w:p>
    <w:p w14:paraId="0FE27692">
      <w:pPr>
        <w:spacing w:line="360" w:lineRule="auto"/>
        <w:jc w:val="both"/>
        <w:rPr>
          <w:rFonts w:ascii="Arial" w:hAnsi="Arial" w:cs="Arial"/>
          <w:sz w:val="24"/>
          <w:szCs w:val="24"/>
        </w:rPr>
      </w:pPr>
      <w:r>
        <w:rPr>
          <w:rFonts w:ascii="Arial" w:hAnsi="Arial" w:cs="Arial"/>
          <w:sz w:val="24"/>
          <w:szCs w:val="24"/>
        </w:rPr>
        <w:t xml:space="preserve"> * Distribuyen las regalías a los titulares de forma equitativa, según el uso real de sus obras/prestaciones.</w:t>
      </w:r>
    </w:p>
    <w:p w14:paraId="2CE1F75B">
      <w:pPr>
        <w:spacing w:line="360" w:lineRule="auto"/>
        <w:jc w:val="both"/>
        <w:rPr>
          <w:rFonts w:ascii="Arial" w:hAnsi="Arial" w:cs="Arial"/>
          <w:sz w:val="24"/>
          <w:szCs w:val="24"/>
        </w:rPr>
      </w:pPr>
      <w:r>
        <w:rPr>
          <w:rFonts w:ascii="Arial" w:hAnsi="Arial" w:cs="Arial"/>
          <w:sz w:val="24"/>
          <w:szCs w:val="24"/>
        </w:rPr>
        <w:t>Principios de Funcionamiento:</w:t>
      </w:r>
    </w:p>
    <w:p w14:paraId="6C826FD4">
      <w:pPr>
        <w:spacing w:line="360" w:lineRule="auto"/>
        <w:jc w:val="both"/>
        <w:rPr>
          <w:rFonts w:ascii="Arial" w:hAnsi="Arial" w:cs="Arial"/>
          <w:sz w:val="24"/>
          <w:szCs w:val="24"/>
        </w:rPr>
      </w:pPr>
      <w:r>
        <w:rPr>
          <w:rFonts w:ascii="Arial" w:hAnsi="Arial" w:cs="Arial"/>
          <w:sz w:val="24"/>
          <w:szCs w:val="24"/>
        </w:rPr>
        <w:t>Las EGC (a nivel internacional y según la Ley 154/22) deben operar bajo principios de:</w:t>
      </w:r>
    </w:p>
    <w:p w14:paraId="027AB58E">
      <w:pPr>
        <w:spacing w:line="360" w:lineRule="auto"/>
        <w:jc w:val="both"/>
        <w:rPr>
          <w:rFonts w:ascii="Arial" w:hAnsi="Arial" w:cs="Arial"/>
          <w:sz w:val="24"/>
          <w:szCs w:val="24"/>
        </w:rPr>
      </w:pPr>
      <w:r>
        <w:rPr>
          <w:rFonts w:ascii="Arial" w:hAnsi="Arial" w:cs="Arial"/>
          <w:sz w:val="24"/>
          <w:szCs w:val="24"/>
        </w:rPr>
        <w:t xml:space="preserve"> * Transparencia (los socios saben cuánto se recauda y cómo se gasta).</w:t>
      </w:r>
    </w:p>
    <w:p w14:paraId="515A0667">
      <w:pPr>
        <w:spacing w:line="360" w:lineRule="auto"/>
        <w:jc w:val="both"/>
        <w:rPr>
          <w:rFonts w:ascii="Arial" w:hAnsi="Arial" w:cs="Arial"/>
          <w:sz w:val="24"/>
          <w:szCs w:val="24"/>
        </w:rPr>
      </w:pPr>
      <w:r>
        <w:rPr>
          <w:rFonts w:ascii="Arial" w:hAnsi="Arial" w:cs="Arial"/>
          <w:sz w:val="24"/>
          <w:szCs w:val="24"/>
        </w:rPr>
        <w:t xml:space="preserve"> * No discriminación (trato igualitario a todos los miembros).</w:t>
      </w:r>
    </w:p>
    <w:p w14:paraId="5A2BC064">
      <w:pPr>
        <w:spacing w:line="360" w:lineRule="auto"/>
        <w:jc w:val="both"/>
        <w:rPr>
          <w:rFonts w:ascii="Arial" w:hAnsi="Arial" w:cs="Arial"/>
          <w:sz w:val="24"/>
          <w:szCs w:val="24"/>
        </w:rPr>
      </w:pPr>
      <w:r>
        <w:rPr>
          <w:rFonts w:ascii="Arial" w:hAnsi="Arial" w:cs="Arial"/>
          <w:sz w:val="24"/>
          <w:szCs w:val="24"/>
        </w:rPr>
        <w:t xml:space="preserve"> * Eficiencia (bajos costos administrativos).</w:t>
      </w:r>
    </w:p>
    <w:p w14:paraId="39495450">
      <w:pPr>
        <w:spacing w:line="360" w:lineRule="auto"/>
        <w:jc w:val="both"/>
        <w:rPr>
          <w:rFonts w:ascii="Arial" w:hAnsi="Arial" w:cs="Arial"/>
          <w:sz w:val="24"/>
          <w:szCs w:val="24"/>
        </w:rPr>
      </w:pPr>
      <w:r>
        <w:rPr>
          <w:rFonts w:ascii="Arial" w:hAnsi="Arial" w:cs="Arial"/>
          <w:sz w:val="24"/>
          <w:szCs w:val="24"/>
        </w:rPr>
        <w:t xml:space="preserve"> * No lucro (no son empresas para generar ganancia, sino para administrar derechos. Esto es clave en Cuba).</w:t>
      </w:r>
    </w:p>
    <w:p w14:paraId="0ED349FF">
      <w:pPr>
        <w:spacing w:line="360" w:lineRule="auto"/>
        <w:jc w:val="both"/>
        <w:rPr>
          <w:rFonts w:ascii="Arial" w:hAnsi="Arial" w:cs="Arial"/>
          <w:sz w:val="24"/>
          <w:szCs w:val="24"/>
        </w:rPr>
      </w:pPr>
      <w:r>
        <w:rPr>
          <w:rFonts w:ascii="Arial" w:hAnsi="Arial" w:cs="Arial"/>
          <w:sz w:val="24"/>
          <w:szCs w:val="24"/>
        </w:rPr>
        <w:t xml:space="preserve">2. La Gestión Colectiva en la Ley 154/2022 </w:t>
      </w:r>
    </w:p>
    <w:p w14:paraId="29ED892C">
      <w:pPr>
        <w:spacing w:line="360" w:lineRule="auto"/>
        <w:jc w:val="both"/>
        <w:rPr>
          <w:rFonts w:ascii="Arial" w:hAnsi="Arial" w:cs="Arial"/>
          <w:sz w:val="24"/>
          <w:szCs w:val="24"/>
        </w:rPr>
      </w:pPr>
      <w:r>
        <w:rPr>
          <w:rFonts w:ascii="Arial" w:hAnsi="Arial" w:cs="Arial"/>
          <w:sz w:val="24"/>
          <w:szCs w:val="24"/>
        </w:rPr>
        <w:t>El Capítulo VII de la Ley 154/22 regula esto, complementado por la Resolución 65/2022 (Reglamento de las Organizaciones de Gestión Colectiva).</w:t>
      </w:r>
    </w:p>
    <w:p w14:paraId="1A8C5FCD">
      <w:pPr>
        <w:spacing w:line="360" w:lineRule="auto"/>
        <w:jc w:val="both"/>
        <w:rPr>
          <w:rFonts w:ascii="Arial" w:hAnsi="Arial" w:cs="Arial"/>
          <w:sz w:val="24"/>
          <w:szCs w:val="24"/>
        </w:rPr>
      </w:pPr>
      <w:r>
        <w:rPr>
          <w:rFonts w:ascii="Arial" w:hAnsi="Arial" w:cs="Arial"/>
          <w:sz w:val="24"/>
          <w:szCs w:val="24"/>
        </w:rPr>
        <w:t>Puntos Clave del Modelo Cubano:</w:t>
      </w:r>
    </w:p>
    <w:p w14:paraId="192B81D8">
      <w:pPr>
        <w:spacing w:line="360" w:lineRule="auto"/>
        <w:jc w:val="both"/>
        <w:rPr>
          <w:rFonts w:ascii="Arial" w:hAnsi="Arial" w:cs="Arial"/>
          <w:sz w:val="24"/>
          <w:szCs w:val="24"/>
        </w:rPr>
      </w:pPr>
      <w:r>
        <w:rPr>
          <w:rFonts w:ascii="Arial" w:hAnsi="Arial" w:cs="Arial"/>
          <w:sz w:val="24"/>
          <w:szCs w:val="24"/>
        </w:rPr>
        <w:t xml:space="preserve"> * Naturaleza Jurídica (Art. 90): Son "organizaciones estatales". Esto es una particularidad del modelo cubano.</w:t>
      </w:r>
    </w:p>
    <w:p w14:paraId="08D6C870">
      <w:pPr>
        <w:spacing w:line="360" w:lineRule="auto"/>
        <w:jc w:val="both"/>
        <w:rPr>
          <w:rFonts w:ascii="Arial" w:hAnsi="Arial" w:cs="Arial"/>
          <w:sz w:val="24"/>
          <w:szCs w:val="24"/>
        </w:rPr>
      </w:pPr>
      <w:r>
        <w:rPr>
          <w:rFonts w:ascii="Arial" w:hAnsi="Arial" w:cs="Arial"/>
          <w:sz w:val="24"/>
          <w:szCs w:val="24"/>
        </w:rPr>
        <w:t xml:space="preserve"> * Propósito: Se crean al efecto de la gestión, son sin fines de lucro y tienen personalidad jurídica y patrimonio propios.</w:t>
      </w:r>
    </w:p>
    <w:p w14:paraId="3C2CD486">
      <w:pPr>
        <w:spacing w:line="360" w:lineRule="auto"/>
        <w:jc w:val="both"/>
        <w:rPr>
          <w:rFonts w:ascii="Arial" w:hAnsi="Arial" w:cs="Arial"/>
          <w:sz w:val="24"/>
          <w:szCs w:val="24"/>
        </w:rPr>
      </w:pPr>
      <w:r>
        <w:rPr>
          <w:rFonts w:ascii="Arial" w:hAnsi="Arial" w:cs="Arial"/>
          <w:sz w:val="24"/>
          <w:szCs w:val="24"/>
        </w:rPr>
        <w:t xml:space="preserve"> * Autoridad (Art. 91): El Ministerio de Cultura (MINCULT) es quien constituye estas organizaciones y regula su funcionamiento.</w:t>
      </w:r>
    </w:p>
    <w:p w14:paraId="03894A3A">
      <w:pPr>
        <w:spacing w:line="360" w:lineRule="auto"/>
        <w:jc w:val="both"/>
        <w:rPr>
          <w:rFonts w:ascii="Arial" w:hAnsi="Arial" w:cs="Arial"/>
          <w:sz w:val="24"/>
          <w:szCs w:val="24"/>
        </w:rPr>
      </w:pPr>
      <w:r>
        <w:rPr>
          <w:rFonts w:ascii="Arial" w:hAnsi="Arial" w:cs="Arial"/>
          <w:sz w:val="24"/>
          <w:szCs w:val="24"/>
        </w:rPr>
        <w:t xml:space="preserve"> * Legitimación (Art. 92): La ley les da la legitimidad para actuar en nombre de sus miembros. Se presume que están facultadas para ejercer los derechos que gestionan.</w:t>
      </w:r>
    </w:p>
    <w:p w14:paraId="037C9956">
      <w:pPr>
        <w:spacing w:line="360" w:lineRule="auto"/>
        <w:jc w:val="both"/>
        <w:rPr>
          <w:rFonts w:ascii="Arial" w:hAnsi="Arial" w:cs="Arial"/>
          <w:sz w:val="24"/>
          <w:szCs w:val="24"/>
        </w:rPr>
      </w:pPr>
      <w:r>
        <w:rPr>
          <w:rFonts w:ascii="Arial" w:hAnsi="Arial" w:cs="Arial"/>
          <w:sz w:val="24"/>
          <w:szCs w:val="24"/>
        </w:rPr>
        <w:t>3. Entidades de Gestión en Cuba e Internacionales (15 minutos)</w:t>
      </w:r>
    </w:p>
    <w:p w14:paraId="01261DE2">
      <w:pPr>
        <w:spacing w:line="360" w:lineRule="auto"/>
        <w:jc w:val="both"/>
        <w:rPr>
          <w:rFonts w:ascii="Arial" w:hAnsi="Arial" w:cs="Arial"/>
          <w:sz w:val="24"/>
          <w:szCs w:val="24"/>
        </w:rPr>
      </w:pPr>
      <w:r>
        <w:rPr>
          <w:rFonts w:ascii="Arial" w:hAnsi="Arial" w:cs="Arial"/>
          <w:sz w:val="24"/>
          <w:szCs w:val="24"/>
        </w:rPr>
        <w:t>Las EGC cubanas son el brazo ejecutor de estos derechos:</w:t>
      </w:r>
    </w:p>
    <w:p w14:paraId="4057563B">
      <w:pPr>
        <w:spacing w:line="360" w:lineRule="auto"/>
        <w:jc w:val="both"/>
        <w:rPr>
          <w:rFonts w:ascii="Arial" w:hAnsi="Arial" w:cs="Arial"/>
          <w:sz w:val="24"/>
          <w:szCs w:val="24"/>
        </w:rPr>
      </w:pPr>
      <w:r>
        <w:rPr>
          <w:rFonts w:ascii="Arial" w:hAnsi="Arial" w:cs="Arial"/>
          <w:sz w:val="24"/>
          <w:szCs w:val="24"/>
        </w:rPr>
        <w:t xml:space="preserve"> * ACDAM (Agencia Cubana de Derecho de Autor Musical): Gestiona los derechos de autores y compositores de música.</w:t>
      </w:r>
    </w:p>
    <w:p w14:paraId="18F6F27A">
      <w:pPr>
        <w:spacing w:line="360" w:lineRule="auto"/>
        <w:jc w:val="both"/>
        <w:rPr>
          <w:rFonts w:ascii="Arial" w:hAnsi="Arial" w:cs="Arial"/>
          <w:sz w:val="24"/>
          <w:szCs w:val="24"/>
        </w:rPr>
      </w:pPr>
      <w:r>
        <w:rPr>
          <w:rFonts w:ascii="Arial" w:hAnsi="Arial" w:cs="Arial"/>
          <w:sz w:val="24"/>
          <w:szCs w:val="24"/>
        </w:rPr>
        <w:t>ACDAVI audiovisual * ADGIS (Agencia de Derecho de Autor de Artes Visuales): Gestiona los derechos de artistas plásticos (pintores, fotógrafos, escultores).</w:t>
      </w:r>
    </w:p>
    <w:p w14:paraId="3AC3D135">
      <w:pPr>
        <w:spacing w:line="360" w:lineRule="auto"/>
        <w:jc w:val="both"/>
        <w:rPr>
          <w:rFonts w:ascii="Arial" w:hAnsi="Arial" w:cs="Arial"/>
          <w:sz w:val="24"/>
          <w:szCs w:val="24"/>
        </w:rPr>
      </w:pPr>
      <w:r>
        <w:rPr>
          <w:rFonts w:ascii="Arial" w:hAnsi="Arial" w:cs="Arial"/>
          <w:sz w:val="24"/>
          <w:szCs w:val="24"/>
        </w:rPr>
        <w:t xml:space="preserve"> * ALSOL (Agencia de Autores de Obras Literarias, Científicas y Técnicas): Gestiona derechos de escritores, académicos, etc.</w:t>
      </w:r>
    </w:p>
    <w:p w14:paraId="5A0F76A0">
      <w:pPr>
        <w:spacing w:line="360" w:lineRule="auto"/>
        <w:jc w:val="both"/>
        <w:rPr>
          <w:rFonts w:ascii="Arial" w:hAnsi="Arial" w:cs="Arial"/>
          <w:sz w:val="24"/>
          <w:szCs w:val="24"/>
        </w:rPr>
      </w:pPr>
      <w:r>
        <w:rPr>
          <w:rFonts w:ascii="Arial" w:hAnsi="Arial" w:cs="Arial"/>
          <w:sz w:val="24"/>
          <w:szCs w:val="24"/>
        </w:rPr>
        <w:t xml:space="preserve"> * Nota: La Ley 154/22 y su reglamento (Res. 65/22) fortalecen el marco para la gestión de los derechos conexos, que históricamente ha sido más compleja.</w:t>
      </w:r>
    </w:p>
    <w:p w14:paraId="0B9598E1">
      <w:pPr>
        <w:spacing w:line="360" w:lineRule="auto"/>
        <w:jc w:val="both"/>
        <w:rPr>
          <w:rFonts w:ascii="Arial" w:hAnsi="Arial" w:cs="Arial"/>
          <w:sz w:val="24"/>
          <w:szCs w:val="24"/>
        </w:rPr>
      </w:pPr>
      <w:r>
        <w:rPr>
          <w:rFonts w:ascii="Arial" w:hAnsi="Arial" w:cs="Arial"/>
          <w:sz w:val="24"/>
          <w:szCs w:val="24"/>
        </w:rPr>
        <w:t>A Nivel Internacional:</w:t>
      </w:r>
    </w:p>
    <w:p w14:paraId="782F23CB">
      <w:pPr>
        <w:spacing w:line="360" w:lineRule="auto"/>
        <w:jc w:val="both"/>
        <w:rPr>
          <w:rFonts w:ascii="Arial" w:hAnsi="Arial" w:cs="Arial"/>
          <w:sz w:val="24"/>
          <w:szCs w:val="24"/>
        </w:rPr>
      </w:pPr>
      <w:r>
        <w:rPr>
          <w:rFonts w:ascii="Arial" w:hAnsi="Arial" w:cs="Arial"/>
          <w:sz w:val="24"/>
          <w:szCs w:val="24"/>
        </w:rPr>
        <w:t>Nuestras entidades no trabajan solas. Tienen contratos de representación recíproca con entidades similares en otros países, asegurando que:</w:t>
      </w:r>
    </w:p>
    <w:p w14:paraId="647E0F0D">
      <w:pPr>
        <w:spacing w:line="360" w:lineRule="auto"/>
        <w:jc w:val="both"/>
        <w:rPr>
          <w:rFonts w:ascii="Arial" w:hAnsi="Arial" w:cs="Arial"/>
          <w:sz w:val="24"/>
          <w:szCs w:val="24"/>
        </w:rPr>
      </w:pPr>
      <w:r>
        <w:rPr>
          <w:rFonts w:ascii="Arial" w:hAnsi="Arial" w:cs="Arial"/>
          <w:sz w:val="24"/>
          <w:szCs w:val="24"/>
        </w:rPr>
        <w:t xml:space="preserve"> * El derecho de un cubano se cobre en el extranjero (Ej. ACDAM tiene convenio con SACEM en Francia. Si una canción cubana suena en París, SACEM cobra y envía el dinero a ACDAM).</w:t>
      </w:r>
    </w:p>
    <w:p w14:paraId="40B2FC4A">
      <w:pPr>
        <w:spacing w:line="360" w:lineRule="auto"/>
        <w:jc w:val="both"/>
        <w:rPr>
          <w:rFonts w:ascii="Arial" w:hAnsi="Arial" w:cs="Arial"/>
          <w:sz w:val="24"/>
          <w:szCs w:val="24"/>
        </w:rPr>
      </w:pPr>
      <w:r>
        <w:rPr>
          <w:rFonts w:ascii="Arial" w:hAnsi="Arial" w:cs="Arial"/>
          <w:sz w:val="24"/>
          <w:szCs w:val="24"/>
        </w:rPr>
        <w:t xml:space="preserve"> * El derecho de un extranjero se cobre en Cuba (Si una canción francesa suena en La Habana, ACDAM recauda y envía el dinero a SACEM).</w:t>
      </w:r>
    </w:p>
    <w:p w14:paraId="00B05296">
      <w:pPr>
        <w:spacing w:line="360" w:lineRule="auto"/>
        <w:jc w:val="both"/>
        <w:rPr>
          <w:rFonts w:ascii="Arial" w:hAnsi="Arial" w:cs="Arial"/>
          <w:sz w:val="24"/>
          <w:szCs w:val="24"/>
        </w:rPr>
      </w:pPr>
      <w:r>
        <w:rPr>
          <w:rFonts w:ascii="Arial" w:hAnsi="Arial" w:cs="Arial"/>
          <w:sz w:val="24"/>
          <w:szCs w:val="24"/>
        </w:rPr>
        <w:t>Principales Entidades Internacionales (Federaciones):</w:t>
      </w:r>
    </w:p>
    <w:p w14:paraId="64263292">
      <w:pPr>
        <w:spacing w:line="360" w:lineRule="auto"/>
        <w:jc w:val="both"/>
        <w:rPr>
          <w:rFonts w:ascii="Arial" w:hAnsi="Arial" w:cs="Arial"/>
          <w:sz w:val="24"/>
          <w:szCs w:val="24"/>
        </w:rPr>
      </w:pPr>
      <w:r>
        <w:rPr>
          <w:rFonts w:ascii="Arial" w:hAnsi="Arial" w:cs="Arial"/>
          <w:sz w:val="24"/>
          <w:szCs w:val="24"/>
        </w:rPr>
        <w:t xml:space="preserve"> * CISAC (Confederación Internacional de Sociedades de Autores y Compositores): Agrupa a las EGC de autores (como ACDAM).</w:t>
      </w:r>
    </w:p>
    <w:p w14:paraId="2B72E8C2">
      <w:pPr>
        <w:spacing w:line="360" w:lineRule="auto"/>
        <w:jc w:val="both"/>
        <w:rPr>
          <w:rFonts w:ascii="Arial" w:hAnsi="Arial" w:cs="Arial"/>
          <w:sz w:val="24"/>
          <w:szCs w:val="24"/>
        </w:rPr>
      </w:pPr>
      <w:r>
        <w:rPr>
          <w:rFonts w:ascii="Arial" w:hAnsi="Arial" w:cs="Arial"/>
          <w:sz w:val="24"/>
          <w:szCs w:val="24"/>
        </w:rPr>
        <w:t xml:space="preserve"> * IFPI (Federación Internacional de la Industria Fonográfica): Representa a los productores de fonogramas.</w:t>
      </w:r>
    </w:p>
    <w:p w14:paraId="640834A5">
      <w:pPr>
        <w:spacing w:line="360" w:lineRule="auto"/>
        <w:jc w:val="both"/>
        <w:rPr>
          <w:rFonts w:ascii="Arial" w:hAnsi="Arial" w:cs="Arial"/>
          <w:sz w:val="24"/>
          <w:szCs w:val="24"/>
        </w:rPr>
      </w:pPr>
      <w:r>
        <w:rPr>
          <w:rFonts w:ascii="Arial" w:hAnsi="Arial" w:cs="Arial"/>
          <w:sz w:val="24"/>
          <w:szCs w:val="24"/>
        </w:rPr>
        <w:t xml:space="preserve"> * SCAPR / AEPO-ARTIS: Agrupan a las sociedades de gestión de artistas intérpretes.</w:t>
      </w:r>
    </w:p>
    <w:p w14:paraId="71C5D2A8">
      <w:pPr>
        <w:spacing w:line="360" w:lineRule="auto"/>
        <w:jc w:val="both"/>
        <w:rPr>
          <w:rFonts w:ascii="Arial" w:hAnsi="Arial" w:cs="Arial"/>
          <w:sz w:val="24"/>
          <w:szCs w:val="24"/>
        </w:rPr>
      </w:pPr>
      <w:r>
        <w:rPr>
          <w:rFonts w:ascii="Arial" w:hAnsi="Arial" w:cs="Arial"/>
          <w:sz w:val="24"/>
          <w:szCs w:val="24"/>
        </w:rPr>
        <w:t xml:space="preserve">Conclusiones y Cierre </w:t>
      </w:r>
    </w:p>
    <w:p w14:paraId="67E5734C">
      <w:pPr>
        <w:spacing w:line="360" w:lineRule="auto"/>
        <w:jc w:val="both"/>
        <w:rPr>
          <w:rFonts w:ascii="Arial" w:hAnsi="Arial" w:cs="Arial"/>
          <w:sz w:val="24"/>
          <w:szCs w:val="24"/>
        </w:rPr>
      </w:pPr>
      <w:r>
        <w:rPr>
          <w:rFonts w:ascii="Arial" w:hAnsi="Arial" w:cs="Arial"/>
          <w:sz w:val="24"/>
          <w:szCs w:val="24"/>
        </w:rPr>
        <w:t>Ideas Clave de Hoy:</w:t>
      </w:r>
    </w:p>
    <w:p w14:paraId="45B285B9">
      <w:pPr>
        <w:spacing w:line="360" w:lineRule="auto"/>
        <w:jc w:val="both"/>
        <w:rPr>
          <w:rFonts w:ascii="Arial" w:hAnsi="Arial" w:cs="Arial"/>
          <w:sz w:val="24"/>
          <w:szCs w:val="24"/>
        </w:rPr>
      </w:pPr>
      <w:r>
        <w:rPr>
          <w:rFonts w:ascii="Arial" w:hAnsi="Arial" w:cs="Arial"/>
          <w:sz w:val="24"/>
          <w:szCs w:val="24"/>
        </w:rPr>
        <w:t xml:space="preserve"> * Los Derechos Conexos (Artistas, Productores, Radiodifusoras) ya no son "vecinos" lejanos en Cuba; la Ley 154/22 los reconoce plenamente como derechos intelectuales con entidad propia.</w:t>
      </w:r>
    </w:p>
    <w:p w14:paraId="506988CB">
      <w:pPr>
        <w:spacing w:line="360" w:lineRule="auto"/>
        <w:jc w:val="both"/>
        <w:rPr>
          <w:rFonts w:ascii="Arial" w:hAnsi="Arial" w:cs="Arial"/>
          <w:sz w:val="24"/>
          <w:szCs w:val="24"/>
        </w:rPr>
      </w:pPr>
      <w:r>
        <w:rPr>
          <w:rFonts w:ascii="Arial" w:hAnsi="Arial" w:cs="Arial"/>
          <w:sz w:val="24"/>
          <w:szCs w:val="24"/>
        </w:rPr>
        <w:t xml:space="preserve"> * La Gestión Colectiva no es una opción, es la única vía práctica y eficiente para que los creadores e intérpretes puedan vivir de su trabajo, especialmente frente a usos masivos.</w:t>
      </w:r>
    </w:p>
    <w:p w14:paraId="26585548">
      <w:pPr>
        <w:spacing w:line="360" w:lineRule="auto"/>
        <w:jc w:val="both"/>
        <w:rPr>
          <w:rFonts w:ascii="Arial" w:hAnsi="Arial" w:cs="Arial"/>
          <w:sz w:val="24"/>
          <w:szCs w:val="24"/>
        </w:rPr>
      </w:pPr>
      <w:r>
        <w:rPr>
          <w:rFonts w:ascii="Arial" w:hAnsi="Arial" w:cs="Arial"/>
          <w:sz w:val="24"/>
          <w:szCs w:val="24"/>
        </w:rPr>
        <w:t xml:space="preserve"> * El modelo cubano (Ley 154/22 y Res. 65/22) opta por un sistema de organizaciones estatales, sin fines de lucro, y reguladas por el MINCULT para garantizar esta gestión.</w:t>
      </w:r>
    </w:p>
    <w:p w14:paraId="1F787864">
      <w:pPr>
        <w:spacing w:line="360" w:lineRule="auto"/>
        <w:jc w:val="both"/>
        <w:rPr>
          <w:rFonts w:ascii="Arial" w:hAnsi="Arial" w:cs="Arial"/>
          <w:sz w:val="24"/>
          <w:szCs w:val="24"/>
        </w:rPr>
      </w:pPr>
      <w:r>
        <w:rPr>
          <w:rFonts w:ascii="Arial" w:hAnsi="Arial" w:cs="Arial"/>
          <w:sz w:val="24"/>
          <w:szCs w:val="24"/>
          <w:lang w:val="es-US"/>
        </w:rPr>
        <w:t>&gt;"Una plataforma extranjera de streaming está transmitiendo en vivo un concierto de un grupo cubano (AIE) grabado hace 20 años (Fonograma) por la Televisión Cubana (Organismo de Radiodifusión), sin autorización de nadie. ¿Quién tiene que demandar y por qué?"</w:t>
      </w:r>
    </w:p>
    <w:p w14:paraId="7A48E880">
      <w:pPr>
        <w:spacing w:line="360" w:lineRule="auto"/>
        <w:jc w:val="both"/>
        <w:rPr>
          <w:rFonts w:ascii="Arial" w:hAnsi="Arial" w:cs="Arial"/>
          <w:sz w:val="24"/>
          <w:szCs w:val="24"/>
        </w:rPr>
      </w:pPr>
    </w:p>
    <w:sectPr>
      <w:pgSz w:w="12240" w:h="15840"/>
      <w:pgMar w:top="720" w:right="720" w:bottom="720" w:left="72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030"/>
    <w:rsid w:val="00563BF1"/>
    <w:rsid w:val="005D67A2"/>
    <w:rsid w:val="006B70AA"/>
    <w:rsid w:val="00855F08"/>
    <w:rsid w:val="008A436C"/>
    <w:rsid w:val="008C4087"/>
    <w:rsid w:val="0094671F"/>
    <w:rsid w:val="00B10CCA"/>
    <w:rsid w:val="00D33030"/>
    <w:rsid w:val="492339F1"/>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s-ES" w:eastAsia="es-E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Title"/>
    <w:basedOn w:val="1"/>
    <w:next w:val="1"/>
    <w:link w:val="5"/>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customStyle="1" w:styleId="5">
    <w:name w:val="Título Car"/>
    <w:basedOn w:val="2"/>
    <w:link w:val="4"/>
    <w:uiPriority w:val="10"/>
    <w:rPr>
      <w:rFonts w:asciiTheme="majorHAnsi" w:hAnsiTheme="majorHAnsi" w:eastAsiaTheme="majorEastAsia" w:cstheme="majorBidi"/>
      <w:color w:val="17365D" w:themeColor="text2" w:themeShade="BF"/>
      <w:spacing w:val="5"/>
      <w:kern w:val="28"/>
      <w:sz w:val="52"/>
      <w:szCs w:val="5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735</Words>
  <Characters>4044</Characters>
  <Lines>33</Lines>
  <Paragraphs>9</Paragraphs>
  <TotalTime>57</TotalTime>
  <ScaleCrop>false</ScaleCrop>
  <LinksUpToDate>false</LinksUpToDate>
  <CharactersWithSpaces>4770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2025-11-25T01:14:00Z</dcterms:created>
  <dc:creator>Rachel</dc:creator>
  <cp:lastModifiedBy>Yuliesky Amador Echevarria</cp:lastModifiedBy>
  <dcterms:modified xsi:type="dcterms:W3CDTF">2026-03-03T15:01:09Z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3082-12.2.0.23196</vt:lpwstr>
  </property>
  <property fmtid="{D5CDD505-2E9C-101B-9397-08002B2CF9AE}" pid="3" name="ICV">
    <vt:lpwstr>27A309147BF84FBEBF96520E6D4E7717_13</vt:lpwstr>
  </property>
</Properties>
</file>