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A66" w:rsidRPr="00DE7A66" w:rsidRDefault="00DE7A66">
      <w:pPr>
        <w:rPr>
          <w:b/>
        </w:rPr>
      </w:pPr>
      <w:r w:rsidRPr="00DE7A66">
        <w:rPr>
          <w:rFonts w:eastAsia="Arial"/>
          <w:b/>
        </w:rPr>
        <w:t>Tema II. Instituciones financieras no bancarias</w:t>
      </w:r>
    </w:p>
    <w:p w:rsidR="00DE7A66" w:rsidRPr="00B62E25" w:rsidRDefault="00DE7A66" w:rsidP="00DE7A66">
      <w:r w:rsidRPr="00DE7A66">
        <w:t>INSTITUCIONES</w:t>
      </w:r>
      <w:r w:rsidRPr="00B62E25">
        <w:t xml:space="preserve"> FINANCIERAS NO BANCARIAS.</w:t>
      </w:r>
    </w:p>
    <w:p w:rsidR="00DE7A66" w:rsidRPr="00DE7A66" w:rsidRDefault="00DE7A66" w:rsidP="00DE7A66">
      <w:pPr>
        <w:rPr>
          <w:b/>
        </w:rPr>
      </w:pPr>
      <w:r w:rsidRPr="00DE7A66">
        <w:rPr>
          <w:b/>
        </w:rPr>
        <w:t>El Riesgo</w:t>
      </w:r>
    </w:p>
    <w:p w:rsidR="00DE7A66" w:rsidRPr="00B62E25" w:rsidRDefault="00DE7A66" w:rsidP="00DE7A66">
      <w:r w:rsidRPr="00DE7A66">
        <w:rPr>
          <w:b/>
          <w:i/>
        </w:rPr>
        <w:t>Riesgo</w:t>
      </w:r>
      <w:r w:rsidRPr="00B62E25">
        <w:t xml:space="preserve"> a la posibilidad de que por azar ocurra un hecho que produzca una necesidad patrimonial. Se dice que se soporta un riesgo cuando se sufren las consecuencias de la ocurrencia de un hecho previsto como posible</w:t>
      </w:r>
    </w:p>
    <w:p w:rsidR="00DE7A66" w:rsidRPr="00B62E25" w:rsidRDefault="00DE7A66" w:rsidP="00DE7A66">
      <w:r w:rsidRPr="00B62E25">
        <w:t>Caracteres:</w:t>
      </w:r>
    </w:p>
    <w:p w:rsidR="00DE7A66" w:rsidRPr="00B62E25" w:rsidRDefault="00DE7A66" w:rsidP="00DE7A66">
      <w:r w:rsidRPr="00B62E25">
        <w:t>La teoría del riesgo los considera como:</w:t>
      </w:r>
    </w:p>
    <w:p w:rsidR="00DE7A66" w:rsidRPr="00DE7A66" w:rsidRDefault="00DE7A66" w:rsidP="00DE7A66">
      <w:pPr>
        <w:pStyle w:val="Prrafodelista"/>
        <w:numPr>
          <w:ilvl w:val="0"/>
          <w:numId w:val="9"/>
        </w:numPr>
        <w:rPr>
          <w:b/>
        </w:rPr>
      </w:pPr>
      <w:r w:rsidRPr="00DE7A66">
        <w:rPr>
          <w:b/>
        </w:rPr>
        <w:t>incierto o posible</w:t>
      </w:r>
    </w:p>
    <w:p w:rsidR="00DE7A66" w:rsidRPr="00B62E25" w:rsidRDefault="00DE7A66" w:rsidP="00DE7A66">
      <w:r w:rsidRPr="00B62E25">
        <w:t>Para hablar de riesgo en seguro tiene que existir la posibilidad de que ocurra un hecho dañoso o se produzca una necesidad patrimonial.</w:t>
      </w:r>
    </w:p>
    <w:p w:rsidR="00DE7A66" w:rsidRPr="00B62E25" w:rsidRDefault="00DE7A66" w:rsidP="00DE7A66">
      <w:r w:rsidRPr="00B62E25">
        <w:t xml:space="preserve">La incertidumbre, elemento esencial en el seguro, puede tener diversos grados cualesquiera de los cuales debe darse para la asegurabilidad de un riesgo: son ellos el </w:t>
      </w:r>
      <w:r w:rsidRPr="00B62E25">
        <w:rPr>
          <w:i/>
        </w:rPr>
        <w:t>sí</w:t>
      </w:r>
      <w:r w:rsidRPr="00B62E25">
        <w:t xml:space="preserve">, el </w:t>
      </w:r>
      <w:r w:rsidRPr="00B62E25">
        <w:rPr>
          <w:i/>
        </w:rPr>
        <w:t>cuándo</w:t>
      </w:r>
      <w:r w:rsidRPr="00B62E25">
        <w:t xml:space="preserve"> y el </w:t>
      </w:r>
      <w:r w:rsidRPr="00B62E25">
        <w:rPr>
          <w:i/>
        </w:rPr>
        <w:t>cómo</w:t>
      </w:r>
      <w:r w:rsidRPr="00B62E25">
        <w:t>.</w:t>
      </w:r>
    </w:p>
    <w:p w:rsidR="00DE7A66" w:rsidRPr="00DE7A66" w:rsidRDefault="00DE7A66" w:rsidP="00DE7A66">
      <w:pPr>
        <w:pStyle w:val="Prrafodelista"/>
        <w:numPr>
          <w:ilvl w:val="0"/>
          <w:numId w:val="9"/>
        </w:numPr>
        <w:rPr>
          <w:b/>
        </w:rPr>
      </w:pPr>
      <w:r w:rsidRPr="00DE7A66">
        <w:rPr>
          <w:b/>
        </w:rPr>
        <w:t>Fortuito</w:t>
      </w:r>
    </w:p>
    <w:p w:rsidR="00DE7A66" w:rsidRPr="00B62E25" w:rsidRDefault="00DE7A66" w:rsidP="00DE7A66">
      <w:r w:rsidRPr="00B62E25">
        <w:t>Se considera fortuito todo lo que es independiente de la voluntad de la persona amenazada por el hecho previsto como posible.</w:t>
      </w:r>
    </w:p>
    <w:p w:rsidR="00DE7A66" w:rsidRPr="00DE7A66" w:rsidRDefault="00DE7A66" w:rsidP="00DE7A66">
      <w:pPr>
        <w:pStyle w:val="Prrafodelista"/>
        <w:numPr>
          <w:ilvl w:val="0"/>
          <w:numId w:val="9"/>
        </w:numPr>
        <w:rPr>
          <w:b/>
        </w:rPr>
      </w:pPr>
      <w:r w:rsidRPr="00DE7A66">
        <w:rPr>
          <w:b/>
        </w:rPr>
        <w:t>Concreto</w:t>
      </w:r>
    </w:p>
    <w:p w:rsidR="00DE7A66" w:rsidRPr="00B62E25" w:rsidRDefault="00DE7A66" w:rsidP="00DE7A66">
      <w:r w:rsidRPr="00B62E25">
        <w:t>Una aseguradora tiene que analizar el riesgo que va a asumir desde dos puntos de vista: cuantitativo y cualitativo.</w:t>
      </w:r>
    </w:p>
    <w:p w:rsidR="00DE7A66" w:rsidRPr="00DE7A66" w:rsidRDefault="00DE7A66" w:rsidP="00DE7A66">
      <w:pPr>
        <w:pStyle w:val="Prrafodelista"/>
        <w:numPr>
          <w:ilvl w:val="0"/>
          <w:numId w:val="9"/>
        </w:numPr>
        <w:rPr>
          <w:b/>
        </w:rPr>
      </w:pPr>
      <w:r w:rsidRPr="00DE7A66">
        <w:rPr>
          <w:b/>
        </w:rPr>
        <w:t>Lícito</w:t>
      </w:r>
    </w:p>
    <w:p w:rsidR="00DE7A66" w:rsidRDefault="00DE7A66" w:rsidP="00DE7A66">
      <w:r w:rsidRPr="00B62E25">
        <w:t>Para que un contrato pueda proteger contra un riesgo este tiene que ser lícito, no puede ir contra las reglas morales, políticas o jurídicas del país de que se trate, ni en perjuicio de terceros.</w:t>
      </w:r>
    </w:p>
    <w:p w:rsidR="00DE7A66" w:rsidRDefault="00DE7A66" w:rsidP="00DE7A66"/>
    <w:p w:rsidR="00DE7A66" w:rsidRPr="00B62E25" w:rsidRDefault="00DE7A66" w:rsidP="00DE7A66"/>
    <w:p w:rsidR="00DE7A66" w:rsidRPr="00B62E25" w:rsidRDefault="00DE7A66" w:rsidP="00DE7A66">
      <w:pPr>
        <w:pStyle w:val="Prrafodelista"/>
        <w:numPr>
          <w:ilvl w:val="0"/>
          <w:numId w:val="9"/>
        </w:numPr>
      </w:pPr>
      <w:r w:rsidRPr="00DE7A66">
        <w:rPr>
          <w:b/>
        </w:rPr>
        <w:lastRenderedPageBreak/>
        <w:t>Con contenido económico</w:t>
      </w:r>
    </w:p>
    <w:p w:rsidR="00DE7A66" w:rsidRPr="00B62E25" w:rsidRDefault="00DE7A66" w:rsidP="00DE7A66">
      <w:r w:rsidRPr="00B62E25">
        <w:t>La ocurrencia de un siniestro tiene que producir una necesidad económica que se satisfaga con la correspondiente indemnización.</w:t>
      </w:r>
    </w:p>
    <w:p w:rsidR="00DE7A66" w:rsidRPr="00DE7A66" w:rsidRDefault="00DE7A66" w:rsidP="00DE7A66">
      <w:pPr>
        <w:rPr>
          <w:b/>
          <w:highlight w:val="yellow"/>
        </w:rPr>
      </w:pPr>
      <w:r w:rsidRPr="00DE7A66">
        <w:rPr>
          <w:b/>
        </w:rPr>
        <w:t>Clases</w:t>
      </w:r>
    </w:p>
    <w:p w:rsidR="00DE7A66" w:rsidRPr="00B62E25" w:rsidRDefault="00DE7A66" w:rsidP="00DE7A66">
      <w:r w:rsidRPr="00B62E25">
        <w:t>En ocasiones se clasifican los riesgos según el punto de vista con que se les aborde.</w:t>
      </w:r>
    </w:p>
    <w:p w:rsidR="00DE7A66" w:rsidRPr="00B62E25" w:rsidRDefault="00DE7A66" w:rsidP="00DE7A66">
      <w:r w:rsidRPr="00B62E25">
        <w:t>Por lo general, en nuestro medio, las denominaciones más usuales son:</w:t>
      </w:r>
    </w:p>
    <w:p w:rsidR="00DE7A66" w:rsidRPr="00B62E25" w:rsidRDefault="00DE7A66" w:rsidP="00DE7A66">
      <w:pPr>
        <w:pStyle w:val="Prrafodelista"/>
        <w:numPr>
          <w:ilvl w:val="0"/>
          <w:numId w:val="9"/>
        </w:numPr>
      </w:pPr>
      <w:r w:rsidRPr="00DE7A66">
        <w:rPr>
          <w:b/>
        </w:rPr>
        <w:t>Riesgo asegurable:</w:t>
      </w:r>
      <w:r w:rsidRPr="00B62E25">
        <w:t xml:space="preserve"> El que por su naturaleza es susceptible de ser asegurado; </w:t>
      </w:r>
    </w:p>
    <w:p w:rsidR="00DE7A66" w:rsidRPr="00B62E25" w:rsidRDefault="00DE7A66" w:rsidP="00DE7A66">
      <w:pPr>
        <w:pStyle w:val="Prrafodelista"/>
        <w:numPr>
          <w:ilvl w:val="0"/>
          <w:numId w:val="9"/>
        </w:numPr>
      </w:pPr>
      <w:r w:rsidRPr="00DE7A66">
        <w:rPr>
          <w:b/>
        </w:rPr>
        <w:t>Riesgo patrimonial:</w:t>
      </w:r>
      <w:r>
        <w:t xml:space="preserve"> Es </w:t>
      </w:r>
      <w:r w:rsidRPr="00B62E25">
        <w:t>aquel que implica una disminución o pérdida del patrimonio del asegurado como consecuencia de un siniestro que pueda afectarlo;</w:t>
      </w:r>
    </w:p>
    <w:p w:rsidR="00DE7A66" w:rsidRPr="00B62E25" w:rsidRDefault="00DE7A66" w:rsidP="00DE7A66">
      <w:pPr>
        <w:pStyle w:val="Prrafodelista"/>
        <w:numPr>
          <w:ilvl w:val="0"/>
          <w:numId w:val="9"/>
        </w:numPr>
      </w:pPr>
      <w:r w:rsidRPr="00DE7A66">
        <w:rPr>
          <w:b/>
        </w:rPr>
        <w:t>Riesgo atómico:</w:t>
      </w:r>
      <w:r w:rsidRPr="00B62E25">
        <w:t xml:space="preserve"> Es el que proviene de la posibilidad de una explosión o radicación nuclear. Dada su gravedad no es normalmente aceptado por aseguradores individuales;</w:t>
      </w:r>
    </w:p>
    <w:p w:rsidR="00DE7A66" w:rsidRPr="00B62E25" w:rsidRDefault="00DE7A66" w:rsidP="00DE7A66">
      <w:pPr>
        <w:pStyle w:val="Prrafodelista"/>
        <w:numPr>
          <w:ilvl w:val="0"/>
          <w:numId w:val="9"/>
        </w:numPr>
      </w:pPr>
      <w:r w:rsidRPr="00DE7A66">
        <w:rPr>
          <w:b/>
        </w:rPr>
        <w:t>Riesgo en curso:</w:t>
      </w:r>
      <w:r w:rsidRPr="00B62E25">
        <w:t xml:space="preserve"> Es el que existe durante el período de vigencia de una póliza;</w:t>
      </w:r>
    </w:p>
    <w:p w:rsidR="00DE7A66" w:rsidRPr="00B62E25" w:rsidRDefault="00DE7A66" w:rsidP="00DE7A66">
      <w:pPr>
        <w:pStyle w:val="Prrafodelista"/>
        <w:numPr>
          <w:ilvl w:val="0"/>
          <w:numId w:val="9"/>
        </w:numPr>
      </w:pPr>
      <w:r w:rsidRPr="00DE7A66">
        <w:rPr>
          <w:b/>
        </w:rPr>
        <w:t>Riesgo moral:</w:t>
      </w:r>
      <w:r w:rsidRPr="00B62E25">
        <w:t xml:space="preserve"> Es el que se deriva de la actitud o comportamiento de una persona;</w:t>
      </w:r>
    </w:p>
    <w:p w:rsidR="00DE7A66" w:rsidRPr="00B62E25" w:rsidRDefault="00DE7A66" w:rsidP="00DE7A66">
      <w:pPr>
        <w:pStyle w:val="Prrafodelista"/>
        <w:numPr>
          <w:ilvl w:val="0"/>
          <w:numId w:val="9"/>
        </w:numPr>
      </w:pPr>
      <w:r w:rsidRPr="00DE7A66">
        <w:rPr>
          <w:b/>
        </w:rPr>
        <w:t>Riesgo profesional</w:t>
      </w:r>
      <w:r w:rsidRPr="00B62E25">
        <w:t>: Es el que se origina en el ejercicio de una profesión o actividades y puede afectar directa y corporalmente al trabajador que las realiza.</w:t>
      </w:r>
    </w:p>
    <w:p w:rsidR="00DE7A66" w:rsidRPr="00B62E25" w:rsidRDefault="00DE7A66" w:rsidP="00DE7A66">
      <w:pPr>
        <w:pStyle w:val="Prrafodelista"/>
        <w:numPr>
          <w:ilvl w:val="0"/>
          <w:numId w:val="9"/>
        </w:numPr>
      </w:pPr>
      <w:r w:rsidRPr="00DE7A66">
        <w:rPr>
          <w:b/>
        </w:rPr>
        <w:t>Riesgo puro</w:t>
      </w:r>
      <w:r w:rsidRPr="00B62E25">
        <w:t>: Es el que corresponde estrictamente a la posibilidad de que el hecho ocurra.</w:t>
      </w:r>
    </w:p>
    <w:p w:rsidR="00DE7A66" w:rsidRPr="00DE7A66" w:rsidRDefault="00DE7A66" w:rsidP="00DE7A66">
      <w:pPr>
        <w:rPr>
          <w:b/>
        </w:rPr>
      </w:pPr>
      <w:r w:rsidRPr="00DE7A66">
        <w:rPr>
          <w:b/>
        </w:rPr>
        <w:t>Tratamiento del riesgo:</w:t>
      </w:r>
    </w:p>
    <w:p w:rsidR="00DE7A66" w:rsidRPr="00B62E25" w:rsidRDefault="00DE7A66" w:rsidP="00DE7A66">
      <w:r w:rsidRPr="00B62E25">
        <w:t>Para cubrir un riesgo el asegurador debe poner en práctica una serie de técnicas que le permitan valorarlo y determinar hasta qué límites puede asumirlo.</w:t>
      </w:r>
    </w:p>
    <w:p w:rsidR="00DE7A66" w:rsidRPr="00B62E25" w:rsidRDefault="00DE7A66" w:rsidP="00DE7A66">
      <w:r w:rsidRPr="00B62E25">
        <w:t>Las referidas técnicas son:</w:t>
      </w:r>
    </w:p>
    <w:p w:rsidR="00DE7A66" w:rsidRPr="00B62E25" w:rsidRDefault="00DE7A66" w:rsidP="00DE7A66">
      <w:pPr>
        <w:pStyle w:val="Prrafodelista"/>
        <w:numPr>
          <w:ilvl w:val="0"/>
          <w:numId w:val="10"/>
        </w:numPr>
      </w:pPr>
      <w:r w:rsidRPr="00B62E25">
        <w:t>selección</w:t>
      </w:r>
    </w:p>
    <w:p w:rsidR="00DE7A66" w:rsidRPr="00B62E25" w:rsidRDefault="00DE7A66" w:rsidP="00DE7A66">
      <w:pPr>
        <w:pStyle w:val="Prrafodelista"/>
        <w:numPr>
          <w:ilvl w:val="0"/>
          <w:numId w:val="10"/>
        </w:numPr>
      </w:pPr>
      <w:r w:rsidRPr="00B62E25">
        <w:t>análisis</w:t>
      </w:r>
    </w:p>
    <w:p w:rsidR="00DE7A66" w:rsidRPr="00B62E25" w:rsidRDefault="00DE7A66" w:rsidP="00DE7A66">
      <w:pPr>
        <w:pStyle w:val="Prrafodelista"/>
        <w:numPr>
          <w:ilvl w:val="0"/>
          <w:numId w:val="10"/>
        </w:numPr>
      </w:pPr>
      <w:r w:rsidRPr="00B62E25">
        <w:t>evaluación</w:t>
      </w:r>
    </w:p>
    <w:p w:rsidR="00DE7A66" w:rsidRPr="00B62E25" w:rsidRDefault="00DE7A66" w:rsidP="00DE7A66">
      <w:pPr>
        <w:pStyle w:val="Prrafodelista"/>
        <w:numPr>
          <w:ilvl w:val="0"/>
          <w:numId w:val="10"/>
        </w:numPr>
      </w:pPr>
      <w:r w:rsidRPr="00B62E25">
        <w:t xml:space="preserve">compensación </w:t>
      </w:r>
    </w:p>
    <w:p w:rsidR="00DE7A66" w:rsidRPr="00B62E25" w:rsidRDefault="00DE7A66" w:rsidP="00DE7A66">
      <w:pPr>
        <w:pStyle w:val="Prrafodelista"/>
        <w:numPr>
          <w:ilvl w:val="0"/>
          <w:numId w:val="10"/>
        </w:numPr>
      </w:pPr>
      <w:r w:rsidRPr="00B62E25">
        <w:lastRenderedPageBreak/>
        <w:t>distribución del riesgo.</w:t>
      </w:r>
    </w:p>
    <w:p w:rsidR="00DE7A66" w:rsidRPr="00B62E25" w:rsidRDefault="00DE7A66" w:rsidP="00DE7A66">
      <w:pPr>
        <w:rPr>
          <w:b/>
        </w:rPr>
      </w:pPr>
      <w:r w:rsidRPr="00B62E25">
        <w:rPr>
          <w:b/>
        </w:rPr>
        <w:t>El Seguro. Concepto</w:t>
      </w:r>
    </w:p>
    <w:p w:rsidR="00DE7A66" w:rsidRPr="00B62E25" w:rsidRDefault="00DE7A66" w:rsidP="00DE7A66">
      <w:r w:rsidRPr="00B62E25">
        <w:t>Definición del Seguro lo fundamental es el principio de la solidaridad humana al considerar que la institución garantiza un sustitutivo al afectado por un riesgo, mediante el reparto del daño entre una elevada cantidad de personas amenazadas por el mismo peligro.</w:t>
      </w:r>
    </w:p>
    <w:p w:rsidR="00DE7A66" w:rsidRPr="00DE7A66" w:rsidRDefault="00DE7A66" w:rsidP="00DE7A66">
      <w:pPr>
        <w:rPr>
          <w:b/>
        </w:rPr>
      </w:pPr>
      <w:r w:rsidRPr="00DE7A66">
        <w:rPr>
          <w:b/>
        </w:rPr>
        <w:t>Caracteres esenciales</w:t>
      </w:r>
    </w:p>
    <w:p w:rsidR="00DE7A66" w:rsidRPr="00B62E25" w:rsidRDefault="00DE7A66" w:rsidP="00DE7A66">
      <w:r w:rsidRPr="00B62E25">
        <w:t>La definición anterior se destaca caracteres esenciales que pasare</w:t>
      </w:r>
      <w:r>
        <w:t>mos a explicarte a continuación:</w:t>
      </w:r>
    </w:p>
    <w:p w:rsidR="00DE7A66" w:rsidRPr="00B62E25" w:rsidRDefault="00DE7A66" w:rsidP="00DE7A66">
      <w:pPr>
        <w:pStyle w:val="Prrafodelista"/>
        <w:numPr>
          <w:ilvl w:val="0"/>
          <w:numId w:val="11"/>
        </w:numPr>
      </w:pPr>
      <w:r w:rsidRPr="00B62E25">
        <w:t>El seguro es una actividad económico-financiera dedicada a prestar servicios y no una actividad industrial al no transformar materias primas en artículos de uso o consumo con el empleo de instrumentos de trabajo y maquinarias.</w:t>
      </w:r>
    </w:p>
    <w:p w:rsidR="00DE7A66" w:rsidRPr="00B62E25" w:rsidRDefault="00DE7A66" w:rsidP="00DE7A66">
      <w:pPr>
        <w:pStyle w:val="Prrafodelista"/>
        <w:numPr>
          <w:ilvl w:val="0"/>
          <w:numId w:val="11"/>
        </w:numPr>
      </w:pPr>
      <w:r w:rsidRPr="00B62E25">
        <w:t>Se dice que el seguro es una actividad de servicios porque constituy</w:t>
      </w:r>
      <w:r>
        <w:t xml:space="preserve">e una prestación eminentemente </w:t>
      </w:r>
      <w:r w:rsidRPr="00B62E25">
        <w:t>dirigida a las personas, que elimina en quien la recibe la necesidad de atender o desarrollar una actividad particular en la búsqueda de un fin, a través del trabajo de las empresas que prestan el referido servicio.</w:t>
      </w:r>
    </w:p>
    <w:p w:rsidR="00DE7A66" w:rsidRPr="00B62E25" w:rsidRDefault="00DE7A66" w:rsidP="00DE7A66">
      <w:pPr>
        <w:pStyle w:val="Prrafodelista"/>
        <w:numPr>
          <w:ilvl w:val="0"/>
          <w:numId w:val="11"/>
        </w:numPr>
      </w:pPr>
      <w:r w:rsidRPr="00B62E25">
        <w:t>La actividad aseguradora tiene un marcado acento financiero y económico, no sólo porque se base en cobro de primas y pago de indemnizaciones, sino también y principalmente porque desempeña la importante tarea financie</w:t>
      </w:r>
      <w:r w:rsidRPr="00B62E25">
        <w:softHyphen/>
        <w:t>ra de lograr una redistribución de los capitales aportados por un elevado número de unidades patrimoniales entre las que resulten afectadas por las pérdidas (siniestros) que se pro</w:t>
      </w:r>
      <w:r w:rsidRPr="00B62E25">
        <w:softHyphen/>
        <w:t>duzcan en cualquiera de ellas.</w:t>
      </w:r>
    </w:p>
    <w:p w:rsidR="00DE7A66" w:rsidRPr="00B62E25" w:rsidRDefault="00DE7A66" w:rsidP="00DE7A66">
      <w:pPr>
        <w:pStyle w:val="Prrafodelista"/>
        <w:numPr>
          <w:ilvl w:val="0"/>
          <w:numId w:val="11"/>
        </w:numPr>
      </w:pPr>
      <w:r w:rsidRPr="00B62E25">
        <w:t>Además, otro aspecto esencial del seguro es que permite transformar el riesgo de tener una pérdida de patrimonio incalculable en caso de producirse un siniestro, por un gasto periódico panificable.</w:t>
      </w:r>
    </w:p>
    <w:p w:rsidR="00DE7A66" w:rsidRPr="00B62E25" w:rsidRDefault="00DE7A66" w:rsidP="00DE7A66">
      <w:pPr>
        <w:rPr>
          <w:b/>
        </w:rPr>
      </w:pPr>
      <w:r w:rsidRPr="00B62E25">
        <w:rPr>
          <w:b/>
        </w:rPr>
        <w:t xml:space="preserve">Indiscutiblemente el seguro tiene otras características </w:t>
      </w:r>
      <w:proofErr w:type="gramStart"/>
      <w:r w:rsidRPr="00B62E25">
        <w:rPr>
          <w:b/>
        </w:rPr>
        <w:t>que</w:t>
      </w:r>
      <w:proofErr w:type="gramEnd"/>
      <w:r w:rsidRPr="00B62E25">
        <w:rPr>
          <w:b/>
        </w:rPr>
        <w:t xml:space="preserve"> si bien no son esenciales, no deben dejar de señalarse. Son ellas:</w:t>
      </w:r>
    </w:p>
    <w:p w:rsidR="00DE7A66" w:rsidRPr="00B62E25" w:rsidRDefault="00DE7A66" w:rsidP="00BC4090">
      <w:pPr>
        <w:pStyle w:val="Prrafodelista"/>
        <w:numPr>
          <w:ilvl w:val="0"/>
          <w:numId w:val="12"/>
        </w:numPr>
      </w:pPr>
      <w:r w:rsidRPr="00B62E25">
        <w:t>Promotor del ahorro.</w:t>
      </w:r>
    </w:p>
    <w:p w:rsidR="00DE7A66" w:rsidRPr="00BC4090" w:rsidRDefault="00DE7A66" w:rsidP="00BC4090">
      <w:pPr>
        <w:pStyle w:val="Prrafodelista"/>
        <w:numPr>
          <w:ilvl w:val="0"/>
          <w:numId w:val="12"/>
        </w:numPr>
      </w:pPr>
      <w:r w:rsidRPr="00B62E25">
        <w:t>Asistencia:</w:t>
      </w:r>
      <w:r w:rsidR="00BC4090">
        <w:t xml:space="preserve"> </w:t>
      </w:r>
      <w:r w:rsidRPr="00BC4090">
        <w:t>Técnica</w:t>
      </w:r>
      <w:r w:rsidR="00BC4090" w:rsidRPr="00BC4090">
        <w:t xml:space="preserve">; Médica y </w:t>
      </w:r>
      <w:r w:rsidRPr="00BC4090">
        <w:t>J</w:t>
      </w:r>
      <w:r w:rsidR="00BC4090">
        <w:t>urídica.</w:t>
      </w:r>
    </w:p>
    <w:p w:rsidR="00DE7A66" w:rsidRPr="00B62E25" w:rsidRDefault="00DE7A66" w:rsidP="00D51B53">
      <w:pPr>
        <w:rPr>
          <w:b/>
        </w:rPr>
      </w:pPr>
      <w:bookmarkStart w:id="0" w:name="_Toc283870"/>
      <w:r w:rsidRPr="00B62E25">
        <w:rPr>
          <w:b/>
        </w:rPr>
        <w:lastRenderedPageBreak/>
        <w:t>LA INVERSIÓN DEL PROCESO PRODUCTIVO</w:t>
      </w:r>
      <w:bookmarkEnd w:id="0"/>
    </w:p>
    <w:p w:rsidR="00DE7A66" w:rsidRPr="00B62E25" w:rsidRDefault="00DE7A66" w:rsidP="00D51B53">
      <w:r w:rsidRPr="00B62E25">
        <w:t>El proceso productivo del Seguro tiene características peculiares para su registro. El pago anticipado de la prima o tarifa de la cobertura tiene un reflejo necesario en el registro contable de las operaciones de las entidades de seguros. Al resultado de este pago anticipado de la prima se le suele denominar en la terminología aseguradora “inversión del proceso productivo”.</w:t>
      </w:r>
    </w:p>
    <w:p w:rsidR="00DE7A66" w:rsidRPr="00B62E25" w:rsidRDefault="00DE7A66" w:rsidP="00D51B53">
      <w:r w:rsidRPr="00B62E25">
        <w:t>En cualquier entidad, el ciclo se inicia con gastos asociados a la producción de los bienes objeto de la actividad, cuyo costo se recupera a travé</w:t>
      </w:r>
      <w:r w:rsidR="00D51B53">
        <w:t xml:space="preserve">s del proceso de venta y cobro </w:t>
      </w:r>
      <w:r w:rsidRPr="00B62E25">
        <w:t>a los clientes. En este caso la empresa trata de fijar un precio del producto que comercializará en función de los costos en que incurrió. Así, a medida que vaya cobrando, recupera los gastos y genera un nivel de utilidad.</w:t>
      </w:r>
    </w:p>
    <w:p w:rsidR="00DE7A66" w:rsidRPr="00B62E25" w:rsidRDefault="00DE7A66" w:rsidP="00D51B53">
      <w:pPr>
        <w:rPr>
          <w:b/>
        </w:rPr>
      </w:pPr>
      <w:r w:rsidRPr="00B62E25">
        <w:rPr>
          <w:b/>
        </w:rPr>
        <w:t>Las características esenciales de las entidades de seguros son las siguientes:</w:t>
      </w:r>
    </w:p>
    <w:p w:rsidR="00DE7A66" w:rsidRPr="00B62E25" w:rsidRDefault="00DE7A66" w:rsidP="00D51B53">
      <w:pPr>
        <w:pStyle w:val="Prrafodelista"/>
        <w:numPr>
          <w:ilvl w:val="0"/>
          <w:numId w:val="13"/>
        </w:numPr>
      </w:pPr>
      <w:r w:rsidRPr="00B62E25">
        <w:t xml:space="preserve">Exclusividad de actuación. </w:t>
      </w:r>
    </w:p>
    <w:p w:rsidR="00DE7A66" w:rsidRPr="00B62E25" w:rsidRDefault="00DE7A66" w:rsidP="00D51B53">
      <w:pPr>
        <w:pStyle w:val="Prrafodelista"/>
        <w:numPr>
          <w:ilvl w:val="0"/>
          <w:numId w:val="13"/>
        </w:numPr>
      </w:pPr>
      <w:r w:rsidRPr="00B62E25">
        <w:t>Sujeción a normas de vigilancia oficial.</w:t>
      </w:r>
    </w:p>
    <w:p w:rsidR="00DE7A66" w:rsidRPr="00B62E25" w:rsidRDefault="00DE7A66" w:rsidP="00D51B53">
      <w:pPr>
        <w:pStyle w:val="Prrafodelista"/>
        <w:numPr>
          <w:ilvl w:val="0"/>
          <w:numId w:val="13"/>
        </w:numPr>
      </w:pPr>
      <w:r w:rsidRPr="00B62E25">
        <w:t>Operaciones en masa.</w:t>
      </w:r>
    </w:p>
    <w:p w:rsidR="00DE7A66" w:rsidRPr="00B62E25" w:rsidRDefault="00DE7A66" w:rsidP="00D51B53">
      <w:pPr>
        <w:pStyle w:val="Prrafodelista"/>
        <w:numPr>
          <w:ilvl w:val="0"/>
          <w:numId w:val="13"/>
        </w:numPr>
      </w:pPr>
      <w:r w:rsidRPr="00B62E25">
        <w:t>Exigencia de capital social inicial.</w:t>
      </w:r>
    </w:p>
    <w:p w:rsidR="00DE7A66" w:rsidRPr="00B62E25" w:rsidRDefault="00DE7A66" w:rsidP="00D51B53">
      <w:pPr>
        <w:pStyle w:val="Prrafodelista"/>
        <w:numPr>
          <w:ilvl w:val="0"/>
          <w:numId w:val="13"/>
        </w:numPr>
      </w:pPr>
      <w:r w:rsidRPr="00B62E25">
        <w:t>Garantía financiera.</w:t>
      </w:r>
    </w:p>
    <w:p w:rsidR="00D51B53" w:rsidRDefault="00DE7A66" w:rsidP="00D51B53">
      <w:pPr>
        <w:rPr>
          <w:b/>
        </w:rPr>
      </w:pPr>
      <w:r w:rsidRPr="00D51B53">
        <w:rPr>
          <w:b/>
        </w:rPr>
        <w:t>Las Técnicas del Seguro</w:t>
      </w:r>
      <w:r w:rsidR="00D51B53">
        <w:rPr>
          <w:b/>
        </w:rPr>
        <w:t xml:space="preserve">. </w:t>
      </w:r>
    </w:p>
    <w:p w:rsidR="00DE7A66" w:rsidRPr="00D51B53" w:rsidRDefault="00DE7A66" w:rsidP="00D51B53">
      <w:pPr>
        <w:rPr>
          <w:b/>
        </w:rPr>
      </w:pPr>
      <w:r w:rsidRPr="00D51B53">
        <w:rPr>
          <w:b/>
        </w:rPr>
        <w:t>Clasificación de los seguros en Cuba</w:t>
      </w:r>
      <w:r w:rsidR="00D51B53">
        <w:rPr>
          <w:b/>
        </w:rPr>
        <w:t>:</w:t>
      </w:r>
    </w:p>
    <w:p w:rsidR="00DE7A66" w:rsidRPr="00B62E25" w:rsidRDefault="00DE7A66" w:rsidP="00D51B53">
      <w:pPr>
        <w:pStyle w:val="Prrafodelista"/>
        <w:numPr>
          <w:ilvl w:val="0"/>
          <w:numId w:val="14"/>
        </w:numPr>
      </w:pPr>
      <w:r w:rsidRPr="00B62E25">
        <w:t>Seguros de bienes</w:t>
      </w:r>
    </w:p>
    <w:p w:rsidR="00DE7A66" w:rsidRPr="00B62E25" w:rsidRDefault="00DE7A66" w:rsidP="00D51B53">
      <w:pPr>
        <w:pStyle w:val="Prrafodelista"/>
        <w:numPr>
          <w:ilvl w:val="0"/>
          <w:numId w:val="14"/>
        </w:numPr>
      </w:pPr>
      <w:r w:rsidRPr="00B62E25">
        <w:t>Seguro de Incendio</w:t>
      </w:r>
    </w:p>
    <w:p w:rsidR="00DE7A66" w:rsidRPr="00B62E25" w:rsidRDefault="00DE7A66" w:rsidP="00D51B53">
      <w:pPr>
        <w:pStyle w:val="Prrafodelista"/>
        <w:numPr>
          <w:ilvl w:val="0"/>
          <w:numId w:val="14"/>
        </w:numPr>
      </w:pPr>
      <w:r w:rsidRPr="00B62E25">
        <w:t>Seguros de Vehículos Automotores</w:t>
      </w:r>
    </w:p>
    <w:p w:rsidR="00DE7A66" w:rsidRPr="00B62E25" w:rsidRDefault="00DE7A66" w:rsidP="00D51B53">
      <w:r w:rsidRPr="00B62E25">
        <w:t xml:space="preserve">Es aquel que tiene por objeto la prestación de indemnizaciones derivadas de accidentes producidos a consecuencia de la circulación de vehículos. Por lo general este seguro cubre riesgos combinados pues una sola póliza puede proteger riesgos de </w:t>
      </w:r>
      <w:r w:rsidR="00D51B53">
        <w:t>distinta naturaleza</w:t>
      </w:r>
      <w:r w:rsidRPr="00B62E25">
        <w:t>:</w:t>
      </w:r>
    </w:p>
    <w:p w:rsidR="00DE7A66" w:rsidRPr="00B62E25" w:rsidRDefault="00DE7A66" w:rsidP="00D51B53">
      <w:pPr>
        <w:pStyle w:val="Prrafodelista"/>
        <w:numPr>
          <w:ilvl w:val="0"/>
          <w:numId w:val="15"/>
        </w:numPr>
      </w:pPr>
      <w:r w:rsidRPr="00B62E25">
        <w:lastRenderedPageBreak/>
        <w:t>Incendio, rayo y transporte: en este último se cubren los daños que pueda sufrir el vehículo en o sobre el cual el vehículo objeto de seguro está siendo transportado en tierra, cabotaje, vía fluvial o aérea.</w:t>
      </w:r>
    </w:p>
    <w:p w:rsidR="00DE7A66" w:rsidRPr="00B62E25" w:rsidRDefault="00DE7A66" w:rsidP="00D51B53">
      <w:pPr>
        <w:pStyle w:val="Prrafodelista"/>
        <w:numPr>
          <w:ilvl w:val="0"/>
          <w:numId w:val="15"/>
        </w:numPr>
      </w:pPr>
      <w:r w:rsidRPr="00B62E25">
        <w:t>Robo y hurto: Cubre los daños o pérdidas totales o parciales por la acción de estos.</w:t>
      </w:r>
    </w:p>
    <w:p w:rsidR="00DE7A66" w:rsidRPr="00B62E25" w:rsidRDefault="00DE7A66" w:rsidP="00D51B53">
      <w:pPr>
        <w:pStyle w:val="Prrafodelista"/>
        <w:numPr>
          <w:ilvl w:val="0"/>
          <w:numId w:val="15"/>
        </w:numPr>
      </w:pPr>
      <w:r w:rsidRPr="00B62E25">
        <w:t>Choque y vuelco: Cubre los daños derivados de la acción directa del encuentro o colisión con cualquier vehículo, persona, animal u objeto o el vuelco de dicho vehículo.</w:t>
      </w:r>
    </w:p>
    <w:p w:rsidR="00DE7A66" w:rsidRPr="00B62E25" w:rsidRDefault="00DE7A66" w:rsidP="00D51B53">
      <w:pPr>
        <w:pStyle w:val="Prrafodelista"/>
        <w:numPr>
          <w:ilvl w:val="0"/>
          <w:numId w:val="15"/>
        </w:numPr>
      </w:pPr>
      <w:r w:rsidRPr="00B62E25">
        <w:t>Cubierta comprensiva: Daños ocasionados como consecuencia de riesgos climatológicos, desplomes de edificios y otros.</w:t>
      </w:r>
    </w:p>
    <w:p w:rsidR="00DE7A66" w:rsidRPr="00B62E25" w:rsidRDefault="00DE7A66" w:rsidP="00D51B53">
      <w:pPr>
        <w:pStyle w:val="Prrafodelista"/>
        <w:numPr>
          <w:ilvl w:val="0"/>
          <w:numId w:val="15"/>
        </w:numPr>
      </w:pPr>
      <w:r w:rsidRPr="00B62E25">
        <w:t>Responsabilidad Civil: Que se divide en los daños a la propiedad ajena y las lesiones corporales o muertes a personas.</w:t>
      </w:r>
    </w:p>
    <w:p w:rsidR="00DE7A66" w:rsidRPr="00D51B53" w:rsidRDefault="00DE7A66" w:rsidP="00D51B53">
      <w:pPr>
        <w:rPr>
          <w:b/>
        </w:rPr>
      </w:pPr>
      <w:r w:rsidRPr="00D51B53">
        <w:rPr>
          <w:b/>
        </w:rPr>
        <w:t>EMPRESAS ARRENDADORAS</w:t>
      </w:r>
    </w:p>
    <w:p w:rsidR="00DE7A66" w:rsidRPr="00B62E25" w:rsidRDefault="00DE7A66" w:rsidP="00D51B53">
      <w:r w:rsidRPr="00B62E25">
        <w:t>Por tanto</w:t>
      </w:r>
      <w:r w:rsidR="00D51B53">
        <w:t>,</w:t>
      </w:r>
      <w:r w:rsidRPr="00B62E25">
        <w:t xml:space="preserve"> una fórmula para el logro del objetivo analizado es el arrendamiento </w:t>
      </w:r>
      <w:r w:rsidR="00D51B53" w:rsidRPr="00B62E25">
        <w:t>o “</w:t>
      </w:r>
      <w:r w:rsidRPr="00B62E25">
        <w:t>leasing” como producto financiero.</w:t>
      </w:r>
    </w:p>
    <w:p w:rsidR="00DE7A66" w:rsidRPr="00B62E25" w:rsidRDefault="00DE7A66" w:rsidP="00D51B53">
      <w:r w:rsidRPr="00B62E25">
        <w:t>En términos generales, se entiende por “</w:t>
      </w:r>
      <w:r w:rsidR="00D51B53" w:rsidRPr="00B62E25">
        <w:t>leasing” al</w:t>
      </w:r>
      <w:r w:rsidRPr="00B62E25">
        <w:t xml:space="preserve"> acto por el que una empresa (Arrendadora o Empresa de Leasing), concede a otra (Arrendataria o Empresa - Cliente), el uso de un determinado bien en un período de tiempo, según el caso, sin participar en la explotación y gestión del mismo, a cambio de ciertas prestaciones que se señalan en un contrato peculiar y específico.</w:t>
      </w:r>
    </w:p>
    <w:p w:rsidR="00DE7A66" w:rsidRPr="00B62E25" w:rsidRDefault="00DE7A66" w:rsidP="00D51B53">
      <w:r w:rsidRPr="00B62E25">
        <w:t xml:space="preserve">El contrato de arrendamiento financiero constituye un instrumento jurídico que permite trasladar cargas financieras inmediatas de la adquisición del bien o bienes que el usuario precisa, a un tercero, </w:t>
      </w:r>
      <w:smartTag w:uri="urn:schemas-microsoft-com:office:smarttags" w:element="PersonName">
        <w:smartTagPr>
          <w:attr w:name="ProductID" w:val="la Instituci￳n Especializada"/>
        </w:smartTagPr>
        <w:r w:rsidRPr="00B62E25">
          <w:t>la Institución Especializada</w:t>
        </w:r>
      </w:smartTag>
      <w:r w:rsidRPr="00B62E25">
        <w:t xml:space="preserve"> o Bancaria de Leasing, cuya actividad económica u objeto exclusivo consiste precisamente en la organización y realización de operaciones de estas características. Es la conclusión de una serie de pre - contratos preparatorios, lo que significa mucho tiempo, siendo una de las características la rapidez.</w:t>
      </w:r>
    </w:p>
    <w:p w:rsidR="00DE7A66" w:rsidRPr="00B62E25" w:rsidRDefault="00DE7A66" w:rsidP="00D51B53">
      <w:pPr>
        <w:rPr>
          <w:bCs/>
        </w:rPr>
      </w:pPr>
      <w:smartTag w:uri="urn:schemas-microsoft-com:office:smarttags" w:element="PersonName">
        <w:smartTagPr>
          <w:attr w:name="ProductID" w:val="La Empresa"/>
        </w:smartTagPr>
        <w:r w:rsidRPr="00B62E25">
          <w:t>La Empresa</w:t>
        </w:r>
      </w:smartTag>
      <w:r w:rsidRPr="00B62E25">
        <w:t xml:space="preserve"> de Leasing puede coincidir con el proveedor o fabricante, es decir, el propio </w:t>
      </w:r>
      <w:r w:rsidR="00D51B53">
        <w:t xml:space="preserve">fabricante crea un servicio de </w:t>
      </w:r>
      <w:r w:rsidRPr="00B62E25">
        <w:t xml:space="preserve">leasing (ejemplo </w:t>
      </w:r>
      <w:smartTag w:uri="urn:schemas-microsoft-com:office:smarttags" w:element="PersonName">
        <w:smartTagPr>
          <w:attr w:name="ProductID" w:val="la IBM"/>
        </w:smartTagPr>
        <w:r w:rsidRPr="00B62E25">
          <w:t>la IBM</w:t>
        </w:r>
      </w:smartTag>
      <w:r w:rsidRPr="00B62E25">
        <w:t xml:space="preserve">). Otras veces </w:t>
      </w:r>
      <w:smartTag w:uri="urn:schemas-microsoft-com:office:smarttags" w:element="PersonName">
        <w:smartTagPr>
          <w:attr w:name="ProductID" w:val="la Arrendadora"/>
        </w:smartTagPr>
        <w:r w:rsidRPr="00B62E25">
          <w:t>la Arrendadora</w:t>
        </w:r>
      </w:smartTag>
      <w:r w:rsidRPr="00B62E25">
        <w:t xml:space="preserve">, es creada por un Banco o grupo de Bancos, o por una Institución </w:t>
      </w:r>
      <w:r w:rsidRPr="00B62E25">
        <w:lastRenderedPageBreak/>
        <w:t>Financiera, y actúa como un servicio ofertado más; en otros casos aparece como una entidad especializada, sin ninguna vinculación directa con otra empresa o grupo de empresas. Para el caso que estudiamos, el leasing puede constituir un producto financiero dentro de la gama de ofertas posibles de un Banco, actuando como Empresa Arrendadora.</w:t>
      </w:r>
    </w:p>
    <w:p w:rsidR="00DE7A66" w:rsidRDefault="00DE7A66" w:rsidP="00DE7A66">
      <w:r w:rsidRPr="00DE7A66">
        <w:t>Diferen</w:t>
      </w:r>
      <w:r w:rsidR="00D51B53">
        <w:t>cias entre Leasing Operativo y Leasing</w:t>
      </w:r>
      <w:r w:rsidRPr="00DE7A66">
        <w:t xml:space="preserve"> Financiero:</w:t>
      </w:r>
    </w:p>
    <w:tbl>
      <w:tblPr>
        <w:tblStyle w:val="Tabladelista3"/>
        <w:tblW w:w="9499" w:type="dxa"/>
        <w:tblLayout w:type="fixed"/>
        <w:tblLook w:val="0000" w:firstRow="0" w:lastRow="0" w:firstColumn="0" w:lastColumn="0" w:noHBand="0" w:noVBand="0"/>
      </w:tblPr>
      <w:tblGrid>
        <w:gridCol w:w="2417"/>
        <w:gridCol w:w="3801"/>
        <w:gridCol w:w="3281"/>
      </w:tblGrid>
      <w:tr w:rsidR="00DE7A66" w:rsidRPr="00DE7A66" w:rsidTr="00D51B53">
        <w:trPr>
          <w:cnfStyle w:val="000000100000" w:firstRow="0" w:lastRow="0" w:firstColumn="0" w:lastColumn="0" w:oddVBand="0" w:evenVBand="0" w:oddHBand="1" w:evenHBand="0" w:firstRowFirstColumn="0" w:firstRowLastColumn="0" w:lastRowFirstColumn="0" w:lastRowLastColumn="0"/>
          <w:trHeight w:val="185"/>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spacing w:after="0" w:line="240" w:lineRule="auto"/>
              <w:rPr>
                <w:rFonts w:eastAsia="Times New Roman" w:cs="Arial"/>
                <w:b/>
                <w:bCs/>
                <w:sz w:val="16"/>
                <w:szCs w:val="16"/>
                <w:lang w:val="es-ES_tradnl" w:eastAsia="es-ES"/>
              </w:rPr>
            </w:pPr>
            <w:r w:rsidRPr="00DE7A66">
              <w:rPr>
                <w:rFonts w:eastAsia="Times New Roman" w:cs="Arial"/>
                <w:b/>
                <w:bCs/>
                <w:sz w:val="16"/>
                <w:szCs w:val="16"/>
                <w:lang w:val="es-ES_tradnl" w:eastAsia="es-ES"/>
              </w:rPr>
              <w:t>Factor distintivo</w:t>
            </w:r>
          </w:p>
        </w:tc>
        <w:tc>
          <w:tcPr>
            <w:tcW w:w="3801" w:type="dxa"/>
          </w:tcPr>
          <w:p w:rsidR="00DE7A66" w:rsidRPr="00DE7A66" w:rsidRDefault="00DE7A66" w:rsidP="00DE7A6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val="es-ES_tradnl" w:eastAsia="es-ES"/>
              </w:rPr>
            </w:pPr>
            <w:r w:rsidRPr="00DE7A66">
              <w:rPr>
                <w:rFonts w:eastAsia="Times New Roman" w:cs="Arial"/>
                <w:b/>
                <w:bCs/>
                <w:sz w:val="16"/>
                <w:szCs w:val="16"/>
                <w:lang w:val="es-ES_tradnl" w:eastAsia="es-ES"/>
              </w:rPr>
              <w:t xml:space="preserve">Arrendamiento Operativo                     </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b/>
                <w:bCs/>
                <w:sz w:val="16"/>
                <w:szCs w:val="16"/>
                <w:lang w:val="es-ES_tradnl" w:eastAsia="es-ES"/>
              </w:rPr>
            </w:pPr>
            <w:r w:rsidRPr="00DE7A66">
              <w:rPr>
                <w:rFonts w:eastAsia="Times New Roman" w:cs="Arial"/>
                <w:b/>
                <w:bCs/>
                <w:sz w:val="16"/>
                <w:szCs w:val="16"/>
                <w:lang w:val="es-ES_tradnl" w:eastAsia="es-ES"/>
              </w:rPr>
              <w:t>Arrendamiento Financiero</w:t>
            </w:r>
          </w:p>
        </w:tc>
      </w:tr>
      <w:tr w:rsidR="00DE7A66" w:rsidRPr="00DE7A66" w:rsidTr="00D51B53">
        <w:trPr>
          <w:trHeight w:val="540"/>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Quien lo practica (Emp.</w:t>
            </w:r>
            <w:r w:rsidR="00D51B53">
              <w:rPr>
                <w:rFonts w:eastAsia="Times New Roman" w:cs="Arial"/>
                <w:sz w:val="16"/>
                <w:szCs w:val="16"/>
                <w:lang w:val="es-ES_tradnl" w:eastAsia="es-ES"/>
              </w:rPr>
              <w:t xml:space="preserve"> </w:t>
            </w:r>
            <w:r w:rsidRPr="00DE7A66">
              <w:rPr>
                <w:rFonts w:eastAsia="Times New Roman" w:cs="Arial"/>
                <w:sz w:val="16"/>
                <w:szCs w:val="16"/>
                <w:lang w:val="es-ES_tradnl" w:eastAsia="es-ES"/>
              </w:rPr>
              <w:t>Arrendadora)</w:t>
            </w:r>
          </w:p>
        </w:tc>
        <w:tc>
          <w:tcPr>
            <w:tcW w:w="3801" w:type="dxa"/>
          </w:tcPr>
          <w:p w:rsidR="00DE7A66" w:rsidRPr="00DE7A66" w:rsidRDefault="00DE7A66" w:rsidP="00DE7A6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Fabricante, distribuidor o importador de bienes de equipos.</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Instituciones Financieras</w:t>
            </w:r>
          </w:p>
        </w:tc>
      </w:tr>
      <w:tr w:rsidR="00DE7A66" w:rsidRPr="00DE7A66" w:rsidTr="00D51B53">
        <w:trPr>
          <w:cnfStyle w:val="000000100000" w:firstRow="0" w:lastRow="0" w:firstColumn="0" w:lastColumn="0" w:oddVBand="0" w:evenVBand="0" w:oddHBand="1" w:evenHBand="0" w:firstRowFirstColumn="0" w:firstRowLastColumn="0" w:lastRowFirstColumn="0" w:lastRowLastColumn="0"/>
          <w:trHeight w:val="371"/>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Duración del contrato</w:t>
            </w:r>
          </w:p>
        </w:tc>
        <w:tc>
          <w:tcPr>
            <w:tcW w:w="3801" w:type="dxa"/>
          </w:tcPr>
          <w:p w:rsidR="00DE7A66" w:rsidRPr="00DE7A66" w:rsidRDefault="00DE7A66" w:rsidP="00DE7A6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Corto y mediano plazo</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Mediano y largo plazo</w:t>
            </w:r>
          </w:p>
        </w:tc>
      </w:tr>
      <w:tr w:rsidR="00DE7A66" w:rsidRPr="00DE7A66" w:rsidTr="00D51B53">
        <w:trPr>
          <w:trHeight w:val="355"/>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Carácter del contrato</w:t>
            </w:r>
          </w:p>
        </w:tc>
        <w:tc>
          <w:tcPr>
            <w:tcW w:w="3801" w:type="dxa"/>
          </w:tcPr>
          <w:p w:rsidR="00DE7A66" w:rsidRPr="00DE7A66" w:rsidRDefault="00DE7A66" w:rsidP="00DE7A6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Revocable por el arrendatario con previo aviso.</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Irrevocable por ambas partes.</w:t>
            </w:r>
          </w:p>
        </w:tc>
      </w:tr>
      <w:tr w:rsidR="00DE7A66" w:rsidRPr="00DE7A66" w:rsidTr="00D51B53">
        <w:trPr>
          <w:cnfStyle w:val="000000100000" w:firstRow="0" w:lastRow="0" w:firstColumn="0" w:lastColumn="0" w:oddVBand="0" w:evenVBand="0" w:oddHBand="1" w:evenHBand="0" w:firstRowFirstColumn="0" w:firstRowLastColumn="0" w:lastRowFirstColumn="0" w:lastRowLastColumn="0"/>
          <w:trHeight w:val="371"/>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Elección del bien</w:t>
            </w:r>
          </w:p>
        </w:tc>
        <w:tc>
          <w:tcPr>
            <w:tcW w:w="3801" w:type="dxa"/>
          </w:tcPr>
          <w:p w:rsidR="00DE7A66" w:rsidRPr="00DE7A66" w:rsidRDefault="00DE7A66" w:rsidP="00DE7A6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Por el arrendatario, entre los que produce o distribuye el arrendador.</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Por el arrendatario, de cualquier fabricante o proveedor.</w:t>
            </w:r>
          </w:p>
        </w:tc>
      </w:tr>
      <w:tr w:rsidR="00DE7A66" w:rsidRPr="00DE7A66" w:rsidTr="00D51B53">
        <w:trPr>
          <w:trHeight w:val="355"/>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Amortización del bien</w:t>
            </w:r>
          </w:p>
        </w:tc>
        <w:tc>
          <w:tcPr>
            <w:tcW w:w="3801" w:type="dxa"/>
          </w:tcPr>
          <w:p w:rsidR="00DE7A66" w:rsidRPr="00DE7A66" w:rsidRDefault="00DE7A66" w:rsidP="00DE7A6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En varios contratos con distintos arrendatarios.</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En un solo contrato.</w:t>
            </w:r>
          </w:p>
        </w:tc>
      </w:tr>
      <w:tr w:rsidR="00DE7A66" w:rsidRPr="00DE7A66" w:rsidTr="00D51B53">
        <w:trPr>
          <w:cnfStyle w:val="000000100000" w:firstRow="0" w:lastRow="0" w:firstColumn="0" w:lastColumn="0" w:oddVBand="0" w:evenVBand="0" w:oddHBand="1" w:evenHBand="0" w:firstRowFirstColumn="0" w:firstRowLastColumn="0" w:lastRowFirstColumn="0" w:lastRowLastColumn="0"/>
          <w:trHeight w:val="371"/>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Mantenimiento y reparación</w:t>
            </w:r>
          </w:p>
        </w:tc>
        <w:tc>
          <w:tcPr>
            <w:tcW w:w="3801" w:type="dxa"/>
          </w:tcPr>
          <w:p w:rsidR="00DE7A66" w:rsidRPr="00DE7A66" w:rsidRDefault="00DE7A66" w:rsidP="00DE7A6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Por cuenta del arrendador, la empresa de leasing</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Por cuenta del arrendatario, el usuario</w:t>
            </w:r>
          </w:p>
        </w:tc>
      </w:tr>
      <w:tr w:rsidR="00DE7A66" w:rsidRPr="00DE7A66" w:rsidTr="00D51B53">
        <w:trPr>
          <w:trHeight w:val="185"/>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Obsolescencia</w:t>
            </w:r>
          </w:p>
        </w:tc>
        <w:tc>
          <w:tcPr>
            <w:tcW w:w="3801" w:type="dxa"/>
          </w:tcPr>
          <w:p w:rsidR="00DE7A66" w:rsidRPr="00DE7A66" w:rsidRDefault="00DE7A66" w:rsidP="00DE7A6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La soporta el arrendador</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La soporta el arrendatario</w:t>
            </w:r>
          </w:p>
        </w:tc>
      </w:tr>
      <w:tr w:rsidR="00DE7A66" w:rsidRPr="00DE7A66" w:rsidTr="00D51B53">
        <w:trPr>
          <w:cnfStyle w:val="000000100000" w:firstRow="0" w:lastRow="0" w:firstColumn="0" w:lastColumn="0" w:oddVBand="0" w:evenVBand="0" w:oddHBand="1" w:evenHBand="0" w:firstRowFirstColumn="0" w:firstRowLastColumn="0" w:lastRowFirstColumn="0" w:lastRowLastColumn="0"/>
          <w:trHeight w:val="168"/>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Finalidad</w:t>
            </w:r>
          </w:p>
        </w:tc>
        <w:tc>
          <w:tcPr>
            <w:tcW w:w="3801" w:type="dxa"/>
          </w:tcPr>
          <w:p w:rsidR="00DE7A66" w:rsidRPr="00DE7A66" w:rsidRDefault="00DE7A66" w:rsidP="00DE7A6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Ofrecer un servicio</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Ofrecer una vía de financiación</w:t>
            </w:r>
          </w:p>
        </w:tc>
      </w:tr>
      <w:tr w:rsidR="00DE7A66" w:rsidRPr="00DE7A66" w:rsidTr="00D51B53">
        <w:trPr>
          <w:trHeight w:val="371"/>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Riesgos para el arrendador</w:t>
            </w:r>
          </w:p>
        </w:tc>
        <w:tc>
          <w:tcPr>
            <w:tcW w:w="3801" w:type="dxa"/>
          </w:tcPr>
          <w:p w:rsidR="00DE7A66" w:rsidRPr="00DE7A66" w:rsidRDefault="00DE7A66" w:rsidP="00DE7A6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Riesgos técnicos y financieros.</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Riesgos financieros.</w:t>
            </w:r>
          </w:p>
        </w:tc>
      </w:tr>
      <w:tr w:rsidR="00DE7A66" w:rsidRPr="00DE7A66" w:rsidTr="00D51B53">
        <w:trPr>
          <w:cnfStyle w:val="000000100000" w:firstRow="0" w:lastRow="0" w:firstColumn="0" w:lastColumn="0" w:oddVBand="0" w:evenVBand="0" w:oddHBand="1" w:evenHBand="0" w:firstRowFirstColumn="0" w:firstRowLastColumn="0" w:lastRowFirstColumn="0" w:lastRowLastColumn="0"/>
          <w:trHeight w:val="355"/>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Riesgos para el arrendatario</w:t>
            </w:r>
          </w:p>
        </w:tc>
        <w:tc>
          <w:tcPr>
            <w:tcW w:w="3801" w:type="dxa"/>
          </w:tcPr>
          <w:p w:rsidR="00DE7A66" w:rsidRPr="00DE7A66" w:rsidRDefault="00DE7A66" w:rsidP="00DE7A6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Ninguno.</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Riesgos técnicos.</w:t>
            </w:r>
          </w:p>
        </w:tc>
      </w:tr>
      <w:tr w:rsidR="00DE7A66" w:rsidRPr="00DE7A66" w:rsidTr="00D51B53">
        <w:trPr>
          <w:trHeight w:val="371"/>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Duración que interesa del bien.</w:t>
            </w:r>
          </w:p>
        </w:tc>
        <w:tc>
          <w:tcPr>
            <w:tcW w:w="3801" w:type="dxa"/>
          </w:tcPr>
          <w:p w:rsidR="00DE7A66" w:rsidRPr="00DE7A66" w:rsidRDefault="00DE7A66" w:rsidP="00DE7A6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Duración física.</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Duración económica.</w:t>
            </w:r>
          </w:p>
        </w:tc>
      </w:tr>
      <w:tr w:rsidR="00DE7A66" w:rsidRPr="00DE7A66" w:rsidTr="00D51B53">
        <w:trPr>
          <w:cnfStyle w:val="000000100000" w:firstRow="0" w:lastRow="0" w:firstColumn="0" w:lastColumn="0" w:oddVBand="0" w:evenVBand="0" w:oddHBand="1" w:evenHBand="0" w:firstRowFirstColumn="0" w:firstRowLastColumn="0" w:lastRowFirstColumn="0" w:lastRowLastColumn="0"/>
          <w:trHeight w:val="168"/>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 xml:space="preserve">Seguros </w:t>
            </w:r>
          </w:p>
        </w:tc>
        <w:tc>
          <w:tcPr>
            <w:tcW w:w="3801" w:type="dxa"/>
          </w:tcPr>
          <w:p w:rsidR="00DE7A66" w:rsidRPr="00DE7A66" w:rsidRDefault="00DE7A66" w:rsidP="00DE7A6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A cargo del propietario o arrendador.</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A cargo del arrendatario.</w:t>
            </w:r>
          </w:p>
        </w:tc>
      </w:tr>
      <w:tr w:rsidR="00DE7A66" w:rsidRPr="00DE7A66" w:rsidTr="00D51B53">
        <w:trPr>
          <w:trHeight w:val="557"/>
        </w:trPr>
        <w:tc>
          <w:tcPr>
            <w:cnfStyle w:val="000010000000" w:firstRow="0" w:lastRow="0" w:firstColumn="0" w:lastColumn="0" w:oddVBand="1" w:evenVBand="0" w:oddHBand="0" w:evenHBand="0" w:firstRowFirstColumn="0" w:firstRowLastColumn="0" w:lastRowFirstColumn="0" w:lastRowLastColumn="0"/>
            <w:tcW w:w="2417" w:type="dxa"/>
          </w:tcPr>
          <w:p w:rsidR="00DE7A66" w:rsidRPr="00DE7A66" w:rsidRDefault="00DE7A66" w:rsidP="00DE7A66">
            <w:pPr>
              <w:numPr>
                <w:ilvl w:val="0"/>
                <w:numId w:val="8"/>
              </w:num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Opción a compra.</w:t>
            </w:r>
          </w:p>
        </w:tc>
        <w:tc>
          <w:tcPr>
            <w:tcW w:w="3801" w:type="dxa"/>
          </w:tcPr>
          <w:p w:rsidR="00DE7A66" w:rsidRPr="00DE7A66" w:rsidRDefault="00DE7A66" w:rsidP="00DE7A6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es-ES_tradnl" w:eastAsia="es-ES"/>
              </w:rPr>
            </w:pPr>
            <w:r w:rsidRPr="00DE7A66">
              <w:rPr>
                <w:rFonts w:eastAsia="Times New Roman" w:cs="Arial"/>
                <w:sz w:val="16"/>
                <w:szCs w:val="16"/>
                <w:lang w:val="es-ES_tradnl" w:eastAsia="es-ES"/>
              </w:rPr>
              <w:t>El arrendatario no tiene opción a compra.</w:t>
            </w:r>
          </w:p>
        </w:tc>
        <w:tc>
          <w:tcPr>
            <w:cnfStyle w:val="000010000000" w:firstRow="0" w:lastRow="0" w:firstColumn="0" w:lastColumn="0" w:oddVBand="1" w:evenVBand="0" w:oddHBand="0" w:evenHBand="0" w:firstRowFirstColumn="0" w:firstRowLastColumn="0" w:lastRowFirstColumn="0" w:lastRowLastColumn="0"/>
            <w:tcW w:w="3281" w:type="dxa"/>
          </w:tcPr>
          <w:p w:rsidR="00DE7A66" w:rsidRPr="00DE7A66" w:rsidRDefault="00DE7A66" w:rsidP="00DE7A66">
            <w:pPr>
              <w:spacing w:after="0" w:line="240" w:lineRule="auto"/>
              <w:rPr>
                <w:rFonts w:eastAsia="Times New Roman" w:cs="Arial"/>
                <w:sz w:val="16"/>
                <w:szCs w:val="16"/>
                <w:lang w:val="es-ES_tradnl" w:eastAsia="es-ES"/>
              </w:rPr>
            </w:pPr>
            <w:r w:rsidRPr="00DE7A66">
              <w:rPr>
                <w:rFonts w:eastAsia="Times New Roman" w:cs="Arial"/>
                <w:sz w:val="16"/>
                <w:szCs w:val="16"/>
                <w:lang w:val="es-ES_tradnl" w:eastAsia="es-ES"/>
              </w:rPr>
              <w:t>El arrendatario  puede ejercer la opción a compra al finalizar el contrato.</w:t>
            </w:r>
          </w:p>
        </w:tc>
      </w:tr>
    </w:tbl>
    <w:p w:rsidR="00051FEB" w:rsidRDefault="00051FEB" w:rsidP="00DE7A66"/>
    <w:p w:rsidR="00DE7A66" w:rsidRDefault="00DE7A66" w:rsidP="00DE7A66">
      <w:r>
        <w:t>Según el bien, es decir, atendiendo al tipo de activo arrendado, el leasing puede ser clasificado:</w:t>
      </w:r>
    </w:p>
    <w:p w:rsidR="00DE7A66" w:rsidRDefault="00DE7A66" w:rsidP="00D51B53">
      <w:pPr>
        <w:pStyle w:val="Prrafodelista"/>
        <w:numPr>
          <w:ilvl w:val="0"/>
          <w:numId w:val="16"/>
        </w:numPr>
      </w:pPr>
      <w:r>
        <w:t>Inmobiliario o de bienes inmuebles.</w:t>
      </w:r>
    </w:p>
    <w:p w:rsidR="00DE7A66" w:rsidRDefault="00DE7A66" w:rsidP="00D51B53">
      <w:pPr>
        <w:pStyle w:val="Prrafodelista"/>
        <w:numPr>
          <w:ilvl w:val="0"/>
          <w:numId w:val="16"/>
        </w:numPr>
      </w:pPr>
      <w:r>
        <w:t>Mobiliario o de bienes muebles.</w:t>
      </w:r>
    </w:p>
    <w:p w:rsidR="00DE7A66" w:rsidRDefault="00DE7A66" w:rsidP="00DE7A66">
      <w:r>
        <w:t>Por el procedimiento o empleo de la técnica contractual el leasing puede ser:</w:t>
      </w:r>
    </w:p>
    <w:p w:rsidR="00DE7A66" w:rsidRPr="00D51B53" w:rsidRDefault="00DE7A66" w:rsidP="00D51B53">
      <w:pPr>
        <w:pStyle w:val="Prrafodelista"/>
        <w:numPr>
          <w:ilvl w:val="0"/>
          <w:numId w:val="17"/>
        </w:numPr>
        <w:rPr>
          <w:b/>
        </w:rPr>
      </w:pPr>
      <w:r w:rsidRPr="00D51B53">
        <w:rPr>
          <w:b/>
        </w:rPr>
        <w:t>Directo</w:t>
      </w:r>
    </w:p>
    <w:p w:rsidR="00DE7A66" w:rsidRDefault="00DE7A66" w:rsidP="00DE7A66">
      <w:r>
        <w:tab/>
        <w:t>Es el que se efectúa cuando se establecen negociaciones entre el futuro arrendatario y la empresa de leasing previo a indicaciones sobre el bien necesario para fines productivos del usuario.</w:t>
      </w:r>
    </w:p>
    <w:p w:rsidR="00DE7A66" w:rsidRPr="00D51B53" w:rsidRDefault="00DE7A66" w:rsidP="00D51B53">
      <w:pPr>
        <w:pStyle w:val="Prrafodelista"/>
        <w:numPr>
          <w:ilvl w:val="0"/>
          <w:numId w:val="17"/>
        </w:numPr>
        <w:rPr>
          <w:b/>
        </w:rPr>
      </w:pPr>
      <w:r w:rsidRPr="00D51B53">
        <w:rPr>
          <w:b/>
        </w:rPr>
        <w:t>Indirecto</w:t>
      </w:r>
    </w:p>
    <w:p w:rsidR="00DE7A66" w:rsidRDefault="00DE7A66" w:rsidP="00DE7A66">
      <w:r>
        <w:lastRenderedPageBreak/>
        <w:t>En este caso pueden existir dos formas de operar:</w:t>
      </w:r>
    </w:p>
    <w:p w:rsidR="00DE7A66" w:rsidRDefault="00DE7A66" w:rsidP="00DE7A66">
      <w:r>
        <w:t>a) El fabricante o distribuidor de determinados bienes propone a la empresa de leasing la operación con un usuario.</w:t>
      </w:r>
    </w:p>
    <w:p w:rsidR="00DE7A66" w:rsidRDefault="00DE7A66" w:rsidP="00DE7A66">
      <w:r>
        <w:t>b) El usuario, una vez elegido el bien y su proveedor, acude a una empresa de leasing en busca de financiamiento. En este caso, el arrendador actúa solamente como financiador, no participando en la búsqueda del bien para el contrato.</w:t>
      </w:r>
    </w:p>
    <w:p w:rsidR="00DE7A66" w:rsidRPr="00D51B53" w:rsidRDefault="00DE7A66" w:rsidP="00DE7A66">
      <w:pPr>
        <w:rPr>
          <w:b/>
        </w:rPr>
      </w:pPr>
      <w:r w:rsidRPr="00D51B53">
        <w:rPr>
          <w:b/>
        </w:rPr>
        <w:t>FACTORAJE</w:t>
      </w:r>
    </w:p>
    <w:p w:rsidR="00DE7A66" w:rsidRDefault="00DE7A66" w:rsidP="00DE7A66">
      <w:r>
        <w:t>El factoring, conocido como servicio de administración de carteras de clientes, incluye: estudio y clasificación de la clientela; mejora de la calidad de la cartera de clientes; elaboración de la contabilidad de ventas y cobros; e información sobre la situación de los créditos.</w:t>
      </w:r>
    </w:p>
    <w:p w:rsidR="00DE7A66" w:rsidRDefault="00DE7A66" w:rsidP="00DE7A66">
      <w:r>
        <w:t>En cualquier empresa debe existir un dispositivo que decida si se debe atender o no un determinado pedido y otorgar o no un crédito comercial. Para dar respuesta a estas interrogantes se requiere la obtención de información sobre los deudores. Así, la empresa se ve obligada a solicitar dicha información a entidades especializadas, o a buscarla por cuenta propia, y a realizar el estudio y evaluación de los riesgos de clientes. Ambas acciones suponen un costo no despreciable para la entidad.</w:t>
      </w:r>
    </w:p>
    <w:p w:rsidR="00DE7A66" w:rsidRDefault="00DE7A66" w:rsidP="00DE7A66">
      <w:r>
        <w:t>Con el factoring, la empresa puede ceder todas esas tareas al factor. Las empresas de factoring, especializadas en la continua evaluación y valoración de riesgos, cuentan con fuentes de información amplias y una infraestructura adecuada para ajustar con mayor rapidez y fiabilidad sus decisiones. La valoración de riesgos llega al cliente no sólo por la información que pueda ofrecerle el factor, sino también por el volumen y la estructura de las cesiones que admite o no la empresa de factoring. Asimismo, dado el acceso de la empresa a una mayor información y evaluación de riesgos, la cartera de clientes gana en calidad, existiendo la posibilidad de eliminar a los clientes morosos y mal pagadores y dimensionando correctamente el crédito comercial de cada uno de los clientes a los que se les concede aplazamiento de pago.</w:t>
      </w:r>
    </w:p>
    <w:p w:rsidR="00DE7A66" w:rsidRDefault="00DE7A66" w:rsidP="00DE7A66">
      <w:r>
        <w:lastRenderedPageBreak/>
        <w:t>¿Cómo cubrirse de este riesgo?</w:t>
      </w:r>
    </w:p>
    <w:p w:rsidR="00DE7A66" w:rsidRDefault="00DE7A66" w:rsidP="00DE7A66">
      <w:r>
        <w:t xml:space="preserve">R/ La empresa vendedora tiene tres alternativas: el </w:t>
      </w:r>
      <w:proofErr w:type="spellStart"/>
      <w:r>
        <w:t>autoseguro</w:t>
      </w:r>
      <w:proofErr w:type="spellEnd"/>
      <w:r>
        <w:t>, por el cual ella misma se cubre, mediante la constitución de una provisión; la contratación de un seguro de crédito; o el Factoring.</w:t>
      </w:r>
    </w:p>
    <w:p w:rsidR="00DE7A66" w:rsidRDefault="00DE7A66" w:rsidP="00DE7A66">
      <w:r>
        <w:t>Por el contrario, el servicio de cobertura de riesgos mediante Factoring (que puede no ser total, sino hasta un porcentaje previamente pactado del impago) ofrece, además, la gestión total de los cobros, otros servicios financieros y una liquidación inmediata</w:t>
      </w:r>
    </w:p>
    <w:p w:rsidR="00DE7A66" w:rsidRDefault="00DE7A66" w:rsidP="00DE7A66">
      <w:r>
        <w:t>Factoring con recurso: En esta modalidad la entidad de factoring no asume los riesgos de la operación y en caso de impago de los créditos cedidos puede ejecutar la vía de regreso frente al cedente. En el caso de que se produzca demora en el pago de alguna factura o efecto la empresa de factoring tiene la facultad de exigir al vendedor la devolución del pago anticipado si éste ha sido ya efectuado.</w:t>
      </w:r>
    </w:p>
    <w:p w:rsidR="00DE7A66" w:rsidRDefault="00DE7A66" w:rsidP="00DE7A66">
      <w:r>
        <w:t>Factoring sin recurso: Es en la práctica internacional la modalidad más utilizada, y supone la asunción total o parcial de los riesgos por la empresa de factoring. Esto no significa que el crédito se abone totalmente al cedente o que se conceda un anticipo cualquier en firme, sin posibilidad de recuperación en contra del cedente, pues si se produjese un impago por el deudor, total o parcialmente, por causas derivadas de defectos en la calidad o cantidad de las mercancías, la empresa de factoring no soporta el impago. Es preciso puntualizar que el Factor selecciona los documentos en base al riesgo que supone el deudor.</w:t>
      </w:r>
    </w:p>
    <w:p w:rsidR="00DE7A66" w:rsidRPr="00D51B53" w:rsidRDefault="00DE7A66" w:rsidP="00DE7A66">
      <w:pPr>
        <w:rPr>
          <w:b/>
        </w:rPr>
      </w:pPr>
      <w:r w:rsidRPr="00D51B53">
        <w:rPr>
          <w:b/>
        </w:rPr>
        <w:t>Ventajas del Factoring</w:t>
      </w:r>
    </w:p>
    <w:p w:rsidR="00DE7A66" w:rsidRPr="00D51B53" w:rsidRDefault="00DE7A66" w:rsidP="00DE7A66">
      <w:pPr>
        <w:rPr>
          <w:b/>
        </w:rPr>
      </w:pPr>
      <w:r w:rsidRPr="00D51B53">
        <w:rPr>
          <w:b/>
        </w:rPr>
        <w:t>AUMENTA</w:t>
      </w:r>
    </w:p>
    <w:p w:rsidR="00DE7A66" w:rsidRDefault="00DE7A66" w:rsidP="00D51B53">
      <w:pPr>
        <w:pStyle w:val="Prrafodelista"/>
        <w:numPr>
          <w:ilvl w:val="0"/>
          <w:numId w:val="18"/>
        </w:numPr>
      </w:pPr>
      <w:r>
        <w:t>La eficacia de los cobros</w:t>
      </w:r>
    </w:p>
    <w:p w:rsidR="00DE7A66" w:rsidRDefault="00DE7A66" w:rsidP="00D51B53">
      <w:pPr>
        <w:pStyle w:val="Prrafodelista"/>
        <w:numPr>
          <w:ilvl w:val="0"/>
          <w:numId w:val="18"/>
        </w:numPr>
      </w:pPr>
      <w:r>
        <w:t>El flujo de tesorería</w:t>
      </w:r>
    </w:p>
    <w:p w:rsidR="00DE7A66" w:rsidRDefault="00DE7A66" w:rsidP="00D51B53">
      <w:pPr>
        <w:pStyle w:val="Prrafodelista"/>
        <w:numPr>
          <w:ilvl w:val="0"/>
          <w:numId w:val="18"/>
        </w:numPr>
      </w:pPr>
      <w:r>
        <w:t>La información sobre clientes</w:t>
      </w:r>
    </w:p>
    <w:p w:rsidR="00DE7A66" w:rsidRDefault="00DE7A66" w:rsidP="00D51B53">
      <w:pPr>
        <w:pStyle w:val="Prrafodelista"/>
        <w:numPr>
          <w:ilvl w:val="0"/>
          <w:numId w:val="18"/>
        </w:numPr>
      </w:pPr>
      <w:r>
        <w:t>La calidad de la clientela</w:t>
      </w:r>
    </w:p>
    <w:p w:rsidR="00DE7A66" w:rsidRDefault="00DE7A66" w:rsidP="00D51B53">
      <w:pPr>
        <w:pStyle w:val="Prrafodelista"/>
        <w:numPr>
          <w:ilvl w:val="0"/>
          <w:numId w:val="18"/>
        </w:numPr>
      </w:pPr>
      <w:r>
        <w:t>Las posibilidades de mejorar las condiciones de venta</w:t>
      </w:r>
    </w:p>
    <w:p w:rsidR="00DE7A66" w:rsidRDefault="00DE7A66" w:rsidP="00D51B53">
      <w:pPr>
        <w:pStyle w:val="Prrafodelista"/>
        <w:numPr>
          <w:ilvl w:val="0"/>
          <w:numId w:val="18"/>
        </w:numPr>
      </w:pPr>
      <w:r>
        <w:t>La optimización del personal</w:t>
      </w:r>
    </w:p>
    <w:p w:rsidR="00DE7A66" w:rsidRPr="00D51B53" w:rsidRDefault="00DE7A66" w:rsidP="00DE7A66">
      <w:pPr>
        <w:rPr>
          <w:b/>
        </w:rPr>
      </w:pPr>
      <w:r w:rsidRPr="00D51B53">
        <w:rPr>
          <w:b/>
        </w:rPr>
        <w:lastRenderedPageBreak/>
        <w:t>DISMINUYE</w:t>
      </w:r>
    </w:p>
    <w:p w:rsidR="00DE7A66" w:rsidRDefault="00DE7A66" w:rsidP="00D51B53">
      <w:pPr>
        <w:pStyle w:val="Prrafodelista"/>
        <w:numPr>
          <w:ilvl w:val="0"/>
          <w:numId w:val="19"/>
        </w:numPr>
      </w:pPr>
      <w:r>
        <w:t>Los costos administrativos por seguimiento de clientes</w:t>
      </w:r>
    </w:p>
    <w:p w:rsidR="00DE7A66" w:rsidRDefault="00DE7A66" w:rsidP="00D51B53">
      <w:pPr>
        <w:pStyle w:val="Prrafodelista"/>
        <w:numPr>
          <w:ilvl w:val="0"/>
          <w:numId w:val="19"/>
        </w:numPr>
      </w:pPr>
      <w:r>
        <w:t>Los gastos financieros por retrasos en los cobros</w:t>
      </w:r>
    </w:p>
    <w:p w:rsidR="00DE7A66" w:rsidRPr="00D51B53" w:rsidRDefault="00DE7A66" w:rsidP="00DE7A66">
      <w:pPr>
        <w:rPr>
          <w:b/>
        </w:rPr>
      </w:pPr>
      <w:r w:rsidRPr="00D51B53">
        <w:rPr>
          <w:b/>
        </w:rPr>
        <w:t>ELIMINA</w:t>
      </w:r>
    </w:p>
    <w:p w:rsidR="00DE7A66" w:rsidRDefault="00DE7A66" w:rsidP="00D51B53">
      <w:pPr>
        <w:pStyle w:val="Prrafodelista"/>
        <w:numPr>
          <w:ilvl w:val="0"/>
          <w:numId w:val="20"/>
        </w:numPr>
      </w:pPr>
      <w:r>
        <w:t>Los gastos y tiempo en información y estudio de clientes</w:t>
      </w:r>
    </w:p>
    <w:p w:rsidR="00DE7A66" w:rsidRDefault="00DE7A66" w:rsidP="00D51B53">
      <w:pPr>
        <w:pStyle w:val="Prrafodelista"/>
        <w:numPr>
          <w:ilvl w:val="0"/>
          <w:numId w:val="20"/>
        </w:numPr>
      </w:pPr>
      <w:r>
        <w:t>Los gastos en gestión contenciosa</w:t>
      </w:r>
    </w:p>
    <w:p w:rsidR="00DE7A66" w:rsidRDefault="00DE7A66" w:rsidP="00D51B53">
      <w:pPr>
        <w:pStyle w:val="Prrafodelista"/>
        <w:numPr>
          <w:ilvl w:val="0"/>
          <w:numId w:val="20"/>
        </w:numPr>
      </w:pPr>
      <w:r>
        <w:t>Los riesgos de impago</w:t>
      </w:r>
      <w:r w:rsidR="00602787">
        <w:t xml:space="preserve"> por insolvencia </w:t>
      </w:r>
      <w:r>
        <w:t>de los deudores</w:t>
      </w:r>
    </w:p>
    <w:p w:rsidR="00DE7A66" w:rsidRPr="00602787" w:rsidRDefault="00DE7A66" w:rsidP="00DE7A66">
      <w:pPr>
        <w:rPr>
          <w:b/>
        </w:rPr>
      </w:pPr>
      <w:r w:rsidRPr="00602787">
        <w:rPr>
          <w:b/>
        </w:rPr>
        <w:t>INCONVENIENTES DEL FACTORING</w:t>
      </w:r>
    </w:p>
    <w:p w:rsidR="00DE7A66" w:rsidRDefault="00DE7A66" w:rsidP="00602787">
      <w:pPr>
        <w:pStyle w:val="Prrafodelista"/>
        <w:numPr>
          <w:ilvl w:val="0"/>
          <w:numId w:val="17"/>
        </w:numPr>
      </w:pPr>
      <w:r>
        <w:t>Elevado costo</w:t>
      </w:r>
    </w:p>
    <w:p w:rsidR="00DE7A66" w:rsidRDefault="00DE7A66" w:rsidP="00602787">
      <w:pPr>
        <w:pStyle w:val="Prrafodelista"/>
        <w:numPr>
          <w:ilvl w:val="0"/>
          <w:numId w:val="17"/>
        </w:numPr>
      </w:pPr>
      <w:r>
        <w:t>Posible interferencia negativa que pueda derivarse de la intención de cobro del factor a los deudores. Lógicamente, no son clientes suyos y no tienen incentivos directos para darles tratos de favor.</w:t>
      </w:r>
    </w:p>
    <w:p w:rsidR="00DE7A66" w:rsidRDefault="00DE7A66" w:rsidP="00602787">
      <w:pPr>
        <w:pStyle w:val="Prrafodelista"/>
        <w:numPr>
          <w:ilvl w:val="0"/>
          <w:numId w:val="17"/>
        </w:numPr>
      </w:pPr>
      <w:r>
        <w:t>Implantación de una política de riesgos por el factor más estricta que la mantenida por el vendedor, con la posible afectación sobre la clientela y las ventas de este último.</w:t>
      </w:r>
    </w:p>
    <w:p w:rsidR="00DE7A66" w:rsidRDefault="00DE7A66" w:rsidP="00DE7A66">
      <w:r>
        <w:t>Si bien el factoring en el territorio nacional podría ser un instrumento que coadyuve a la mayor eficiencia de las relaciones de cobros y pagos entre las empresas y la eficiencia de su gestión financiera, no menos interesante, por su utilidad, sería el desarrollo del factoring internacional. En momento en que Cuba amplía su apertura comercial a los mercados internacionales, este tipo de operación, dirigida a la gestión de cobro, y en ocasiones la anticipación de parte de la deuda, de documentos de pago de otros países. Muchos de los socios comerciales extranjeros cederían con agrado los créditos otorgados a las empresas cubanas a la sociedad de factoring. Con ello las empresas cubanas podrían obtener mejores condiciones de crédito comercial, con el consiguiente mejoramiento de su actividad productiva y financiera; y los factores cubanos una fuente de rendimientos en divisas, con un costo y riesgo reducido por su conocimiento del mercado doméstico.</w:t>
      </w:r>
    </w:p>
    <w:p w:rsidR="00602787" w:rsidRDefault="00602787" w:rsidP="00DE7A66">
      <w:pPr>
        <w:rPr>
          <w:b/>
        </w:rPr>
      </w:pPr>
    </w:p>
    <w:p w:rsidR="00602787" w:rsidRDefault="00602787" w:rsidP="00DE7A66">
      <w:pPr>
        <w:rPr>
          <w:b/>
        </w:rPr>
      </w:pPr>
    </w:p>
    <w:p w:rsidR="00DE7A66" w:rsidRPr="00602787" w:rsidRDefault="00DE7A66" w:rsidP="00DE7A66">
      <w:pPr>
        <w:rPr>
          <w:b/>
        </w:rPr>
      </w:pPr>
      <w:r w:rsidRPr="00602787">
        <w:rPr>
          <w:b/>
        </w:rPr>
        <w:lastRenderedPageBreak/>
        <w:t>OTRAS INSTITUCIONES FINANCIERAS NO BANCARIAS</w:t>
      </w:r>
    </w:p>
    <w:p w:rsidR="00DE7A66" w:rsidRPr="00602787" w:rsidRDefault="00DE7A66" w:rsidP="00DE7A66">
      <w:pPr>
        <w:rPr>
          <w:b/>
        </w:rPr>
      </w:pPr>
      <w:r w:rsidRPr="00602787">
        <w:rPr>
          <w:b/>
        </w:rPr>
        <w:t xml:space="preserve">Fondos de Inversión </w:t>
      </w:r>
    </w:p>
    <w:p w:rsidR="00DE7A66" w:rsidRDefault="00DE7A66" w:rsidP="00DE7A66">
      <w:r>
        <w:t>Ventajas que ofrecen los fondos</w:t>
      </w:r>
    </w:p>
    <w:p w:rsidR="00DE7A66" w:rsidRDefault="00DE7A66" w:rsidP="00602787">
      <w:pPr>
        <w:pStyle w:val="Prrafodelista"/>
        <w:numPr>
          <w:ilvl w:val="0"/>
          <w:numId w:val="21"/>
        </w:numPr>
      </w:pPr>
      <w:r>
        <w:t>Seguridad máxima tienen una amplia cartera de valores invertidos para disminuir el nivel de riesgos. Pues hay diversificación en las inversiones en diferentes plazos de vencimiento disminuyendo el riesgo de carteras.</w:t>
      </w:r>
    </w:p>
    <w:p w:rsidR="00DE7A66" w:rsidRDefault="00DE7A66" w:rsidP="00602787">
      <w:pPr>
        <w:pStyle w:val="Prrafodelista"/>
        <w:numPr>
          <w:ilvl w:val="0"/>
          <w:numId w:val="21"/>
        </w:numPr>
      </w:pPr>
      <w:r>
        <w:t xml:space="preserve">Rentabilidad elevada esta no es </w:t>
      </w:r>
      <w:proofErr w:type="gramStart"/>
      <w:r>
        <w:t>fija</w:t>
      </w:r>
      <w:proofErr w:type="gramEnd"/>
      <w:r>
        <w:t xml:space="preserve"> sino que depende de los resultados obtenidos (contradictorio, pues pude ser baja en un momento determinado según el mercado).</w:t>
      </w:r>
    </w:p>
    <w:p w:rsidR="00DE7A66" w:rsidRDefault="00DE7A66" w:rsidP="00602787">
      <w:pPr>
        <w:pStyle w:val="Prrafodelista"/>
        <w:numPr>
          <w:ilvl w:val="0"/>
          <w:numId w:val="21"/>
        </w:numPr>
      </w:pPr>
      <w:r>
        <w:t xml:space="preserve">Liquidez, total pues es totalmente disponible los recursos financieros por los inversores de 24 a 72 horas </w:t>
      </w:r>
    </w:p>
    <w:p w:rsidR="00DE7A66" w:rsidRDefault="00DE7A66" w:rsidP="00602787">
      <w:pPr>
        <w:pStyle w:val="Prrafodelista"/>
        <w:numPr>
          <w:ilvl w:val="0"/>
          <w:numId w:val="21"/>
        </w:numPr>
      </w:pPr>
      <w:r>
        <w:t xml:space="preserve">Fiscalidad muy favorable mientras estén invertidos los recursos en el fondo no pagan impuesto. </w:t>
      </w:r>
    </w:p>
    <w:p w:rsidR="00DE7A66" w:rsidRPr="00602787" w:rsidRDefault="00DE7A66" w:rsidP="00DE7A66">
      <w:pPr>
        <w:rPr>
          <w:b/>
        </w:rPr>
      </w:pPr>
      <w:r w:rsidRPr="00602787">
        <w:rPr>
          <w:b/>
        </w:rPr>
        <w:t xml:space="preserve">Fondos de Pensiones: </w:t>
      </w:r>
    </w:p>
    <w:p w:rsidR="00DE7A66" w:rsidRDefault="00DE7A66" w:rsidP="00DE7A66">
      <w:r>
        <w:t>Son instituciones de previsión voluntaria y libre cuyas prestaciones de carácter privado, pueden ser o no complemento del sistema de seguridad social obligatorio, al que en ningún caso sustituye.</w:t>
      </w:r>
    </w:p>
    <w:p w:rsidR="00DE7A66" w:rsidRDefault="00DE7A66" w:rsidP="00DE7A66">
      <w:r w:rsidRPr="00602787">
        <w:rPr>
          <w:b/>
        </w:rPr>
        <w:t>Promotores</w:t>
      </w:r>
      <w:r>
        <w:t xml:space="preserve">: Entidades o colectivos que lo crean y participan en su desenvolvimiento </w:t>
      </w:r>
    </w:p>
    <w:p w:rsidR="00DE7A66" w:rsidRDefault="00DE7A66" w:rsidP="00DE7A66">
      <w:r w:rsidRPr="00602787">
        <w:rPr>
          <w:b/>
        </w:rPr>
        <w:t>Participes</w:t>
      </w:r>
      <w:r>
        <w:t>: Son las personas físicas en cuyo interés se crea el plan y realizan aportaciones.</w:t>
      </w:r>
    </w:p>
    <w:p w:rsidR="00DE7A66" w:rsidRDefault="00DE7A66" w:rsidP="00DE7A66">
      <w:r w:rsidRPr="00602787">
        <w:rPr>
          <w:b/>
        </w:rPr>
        <w:t>Beneficiarios</w:t>
      </w:r>
      <w:r>
        <w:t>: Son las personas físicas con derecho a las aportaciones que puede coincidir o no con quien haga las aportaciones.  Viudedad u orfandad.</w:t>
      </w:r>
    </w:p>
    <w:p w:rsidR="00DE7A66" w:rsidRDefault="00DE7A66" w:rsidP="00DE7A66">
      <w:r>
        <w:t xml:space="preserve">La cobertura que cubre el plan de pensiones son jubilación, invalidez, viudez u orfandad </w:t>
      </w:r>
    </w:p>
    <w:p w:rsidR="00DE7A66" w:rsidRDefault="00DE7A66" w:rsidP="00DE7A66">
      <w:r>
        <w:t xml:space="preserve">Ventajas: </w:t>
      </w:r>
    </w:p>
    <w:p w:rsidR="00DE7A66" w:rsidRDefault="00DE7A66" w:rsidP="00602787">
      <w:pPr>
        <w:pStyle w:val="Prrafodelista"/>
        <w:numPr>
          <w:ilvl w:val="0"/>
          <w:numId w:val="22"/>
        </w:numPr>
      </w:pPr>
      <w:r>
        <w:t>Según el país puede tener exenciones fiscales</w:t>
      </w:r>
    </w:p>
    <w:p w:rsidR="00DE7A66" w:rsidRDefault="00DE7A66" w:rsidP="00602787">
      <w:pPr>
        <w:pStyle w:val="Prrafodelista"/>
        <w:numPr>
          <w:ilvl w:val="0"/>
          <w:numId w:val="22"/>
        </w:numPr>
      </w:pPr>
      <w:r>
        <w:t>Es un complemento de la seguridad social</w:t>
      </w:r>
    </w:p>
    <w:p w:rsidR="00DE7A66" w:rsidRDefault="00DE7A66" w:rsidP="00602787">
      <w:pPr>
        <w:pStyle w:val="Prrafodelista"/>
        <w:numPr>
          <w:ilvl w:val="0"/>
          <w:numId w:val="22"/>
        </w:numPr>
      </w:pPr>
      <w:r>
        <w:lastRenderedPageBreak/>
        <w:t>Ahorro que garantiza la seguridad y rentabilidad (puede estar afectado por el mercado)</w:t>
      </w:r>
    </w:p>
    <w:p w:rsidR="00DE7A66" w:rsidRPr="00602787" w:rsidRDefault="00DE7A66" w:rsidP="00DE7A66">
      <w:pPr>
        <w:rPr>
          <w:b/>
        </w:rPr>
      </w:pPr>
      <w:r w:rsidRPr="00602787">
        <w:rPr>
          <w:b/>
        </w:rPr>
        <w:t>Sociedades y fondos de capital de riesgo:</w:t>
      </w:r>
    </w:p>
    <w:p w:rsidR="00DE7A66" w:rsidRDefault="00DE7A66" w:rsidP="00DE7A66">
      <w:r>
        <w:t>Estas sociedades actúan bien para:</w:t>
      </w:r>
    </w:p>
    <w:p w:rsidR="00DE7A66" w:rsidRDefault="00DE7A66" w:rsidP="00602787">
      <w:pPr>
        <w:pStyle w:val="Prrafodelista"/>
        <w:numPr>
          <w:ilvl w:val="0"/>
          <w:numId w:val="23"/>
        </w:numPr>
      </w:pPr>
      <w:r>
        <w:t>Crear la empresa y ayudar con su capital (capital siembra)</w:t>
      </w:r>
    </w:p>
    <w:p w:rsidR="00DE7A66" w:rsidRDefault="00DE7A66" w:rsidP="00602787">
      <w:pPr>
        <w:pStyle w:val="Prrafodelista"/>
        <w:numPr>
          <w:ilvl w:val="0"/>
          <w:numId w:val="23"/>
        </w:numPr>
      </w:pPr>
      <w:r>
        <w:t xml:space="preserve">La empresa </w:t>
      </w:r>
      <w:r w:rsidR="00602787">
        <w:t>está</w:t>
      </w:r>
      <w:r>
        <w:t xml:space="preserve"> </w:t>
      </w:r>
      <w:r w:rsidR="00602787">
        <w:t>creada,</w:t>
      </w:r>
      <w:r>
        <w:t xml:space="preserve"> pero tiene necesidad de expandirse y no tiene suficientes recursos (expansión financiera)</w:t>
      </w:r>
    </w:p>
    <w:p w:rsidR="00DE7A66" w:rsidRDefault="00DE7A66" w:rsidP="00DE7A66">
      <w:r>
        <w:t>Como ocurre la participación de esta entidad, tiene varias modalidades dentro de las más usadas.</w:t>
      </w:r>
    </w:p>
    <w:p w:rsidR="00DE7A66" w:rsidRDefault="00DE7A66" w:rsidP="00602787">
      <w:pPr>
        <w:pStyle w:val="Prrafodelista"/>
        <w:numPr>
          <w:ilvl w:val="0"/>
          <w:numId w:val="24"/>
        </w:numPr>
      </w:pPr>
      <w:r>
        <w:t>Acciones ordinarias</w:t>
      </w:r>
    </w:p>
    <w:p w:rsidR="00DE7A66" w:rsidRDefault="00DE7A66" w:rsidP="00602787">
      <w:pPr>
        <w:pStyle w:val="Prrafodelista"/>
        <w:numPr>
          <w:ilvl w:val="0"/>
          <w:numId w:val="24"/>
        </w:numPr>
      </w:pPr>
      <w:r>
        <w:t>Obligaciones convertibles</w:t>
      </w:r>
    </w:p>
    <w:p w:rsidR="00DE7A66" w:rsidRDefault="00DE7A66" w:rsidP="00602787">
      <w:pPr>
        <w:pStyle w:val="Prrafodelista"/>
        <w:numPr>
          <w:ilvl w:val="0"/>
          <w:numId w:val="24"/>
        </w:numPr>
      </w:pPr>
      <w:r>
        <w:t>Créditos participativos</w:t>
      </w:r>
    </w:p>
    <w:p w:rsidR="00DE7A66" w:rsidRPr="00602787" w:rsidRDefault="00DE7A66" w:rsidP="00DE7A66">
      <w:pPr>
        <w:rPr>
          <w:b/>
        </w:rPr>
      </w:pPr>
      <w:r w:rsidRPr="00602787">
        <w:rPr>
          <w:b/>
        </w:rPr>
        <w:t>Sociedades de garantía recíproca:</w:t>
      </w:r>
    </w:p>
    <w:p w:rsidR="00C455A7" w:rsidRDefault="00DE7A66" w:rsidP="00DE7A66">
      <w:r>
        <w:t>Son instituciones financieras, no bancarias dedicadas a la presentación de avales que sobre la base de una compensación técnica de riesgo distribuyen los mismos estadísticamente por medio de una actividad empresarial profesionalmente organizada.</w:t>
      </w:r>
    </w:p>
    <w:p w:rsidR="00C455A7" w:rsidRPr="00C455A7" w:rsidRDefault="00C455A7" w:rsidP="00C455A7">
      <w:pPr>
        <w:rPr>
          <w:b/>
        </w:rPr>
      </w:pPr>
      <w:bookmarkStart w:id="1" w:name="_GoBack"/>
      <w:r w:rsidRPr="00C455A7">
        <w:rPr>
          <w:b/>
        </w:rPr>
        <w:t>BIBLIOGRAFÍA</w:t>
      </w:r>
    </w:p>
    <w:bookmarkEnd w:id="1"/>
    <w:p w:rsidR="00DE7A66" w:rsidRPr="00C455A7" w:rsidRDefault="00C455A7" w:rsidP="00C455A7">
      <w:r>
        <w:t>Borras F. “La banca comercial: productos y servicios. Ed. Félix Varela, 2013.</w:t>
      </w:r>
    </w:p>
    <w:sectPr w:rsidR="00DE7A66" w:rsidRPr="00C455A7" w:rsidSect="00DE7A66">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D48A56"/>
    <w:lvl w:ilvl="0">
      <w:numFmt w:val="decimal"/>
      <w:lvlText w:val="*"/>
      <w:lvlJc w:val="left"/>
    </w:lvl>
  </w:abstractNum>
  <w:abstractNum w:abstractNumId="1" w15:restartNumberingAfterBreak="0">
    <w:nsid w:val="1329470D"/>
    <w:multiLevelType w:val="singleLevel"/>
    <w:tmpl w:val="56D48A56"/>
    <w:lvl w:ilvl="0">
      <w:numFmt w:val="decimal"/>
      <w:lvlText w:val="*"/>
      <w:lvlJc w:val="left"/>
    </w:lvl>
  </w:abstractNum>
  <w:abstractNum w:abstractNumId="2" w15:restartNumberingAfterBreak="0">
    <w:nsid w:val="204F214A"/>
    <w:multiLevelType w:val="hybridMultilevel"/>
    <w:tmpl w:val="186E91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3C31D68"/>
    <w:multiLevelType w:val="hybridMultilevel"/>
    <w:tmpl w:val="BC1ABF0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7D26245"/>
    <w:multiLevelType w:val="hybridMultilevel"/>
    <w:tmpl w:val="693825F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510739A"/>
    <w:multiLevelType w:val="hybridMultilevel"/>
    <w:tmpl w:val="55CAA9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DE00C15"/>
    <w:multiLevelType w:val="hybridMultilevel"/>
    <w:tmpl w:val="5D40F0C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0D86B64"/>
    <w:multiLevelType w:val="hybridMultilevel"/>
    <w:tmpl w:val="188889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2A876C5"/>
    <w:multiLevelType w:val="hybridMultilevel"/>
    <w:tmpl w:val="390045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49137C6"/>
    <w:multiLevelType w:val="hybridMultilevel"/>
    <w:tmpl w:val="AE92A32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6B13827"/>
    <w:multiLevelType w:val="hybridMultilevel"/>
    <w:tmpl w:val="C2B40C88"/>
    <w:lvl w:ilvl="0" w:tplc="13343872">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B152F88"/>
    <w:multiLevelType w:val="hybridMultilevel"/>
    <w:tmpl w:val="5F0250E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FE25E62"/>
    <w:multiLevelType w:val="hybridMultilevel"/>
    <w:tmpl w:val="61F8FE98"/>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50841DEB"/>
    <w:multiLevelType w:val="hybridMultilevel"/>
    <w:tmpl w:val="3C9CA30E"/>
    <w:lvl w:ilvl="0" w:tplc="0C0A0001">
      <w:start w:val="1"/>
      <w:numFmt w:val="bullet"/>
      <w:lvlText w:val=""/>
      <w:lvlJc w:val="left"/>
      <w:pPr>
        <w:tabs>
          <w:tab w:val="num" w:pos="644"/>
        </w:tabs>
        <w:ind w:left="644" w:hanging="360"/>
      </w:pPr>
      <w:rPr>
        <w:rFonts w:ascii="Symbol" w:hAnsi="Symbol" w:hint="default"/>
      </w:rPr>
    </w:lvl>
    <w:lvl w:ilvl="1" w:tplc="0C0A0017">
      <w:start w:val="1"/>
      <w:numFmt w:val="lowerLetter"/>
      <w:lvlText w:val="%2)"/>
      <w:lvlJc w:val="left"/>
      <w:pPr>
        <w:tabs>
          <w:tab w:val="num" w:pos="1364"/>
        </w:tabs>
        <w:ind w:left="1364" w:hanging="360"/>
      </w:pPr>
      <w:rPr>
        <w:rFonts w:hint="default"/>
      </w:rPr>
    </w:lvl>
    <w:lvl w:ilvl="2" w:tplc="030C2802">
      <w:start w:val="2"/>
      <w:numFmt w:val="bullet"/>
      <w:lvlText w:val="-"/>
      <w:lvlJc w:val="left"/>
      <w:pPr>
        <w:tabs>
          <w:tab w:val="num" w:pos="2114"/>
        </w:tabs>
        <w:ind w:left="2114" w:hanging="390"/>
      </w:pPr>
      <w:rPr>
        <w:rFonts w:ascii="Times New Roman" w:eastAsia="Times New Roman" w:hAnsi="Times New Roman" w:cs="Times New Roman"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2B42DF"/>
    <w:multiLevelType w:val="hybridMultilevel"/>
    <w:tmpl w:val="4798E44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77617BB"/>
    <w:multiLevelType w:val="hybridMultilevel"/>
    <w:tmpl w:val="3B2A15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5C2E15F2"/>
    <w:multiLevelType w:val="hybridMultilevel"/>
    <w:tmpl w:val="4F6EBF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D7A6087"/>
    <w:multiLevelType w:val="hybridMultilevel"/>
    <w:tmpl w:val="C75A46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63D10943"/>
    <w:multiLevelType w:val="hybridMultilevel"/>
    <w:tmpl w:val="F23ED0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7CC4601"/>
    <w:multiLevelType w:val="hybridMultilevel"/>
    <w:tmpl w:val="C510A27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81237AC"/>
    <w:multiLevelType w:val="hybridMultilevel"/>
    <w:tmpl w:val="02109BDA"/>
    <w:lvl w:ilvl="0" w:tplc="0C0A0001">
      <w:start w:val="1"/>
      <w:numFmt w:val="bullet"/>
      <w:lvlText w:val=""/>
      <w:lvlJc w:val="left"/>
      <w:pPr>
        <w:tabs>
          <w:tab w:val="num" w:pos="1778"/>
        </w:tabs>
        <w:ind w:left="1778" w:hanging="360"/>
      </w:pPr>
      <w:rPr>
        <w:rFonts w:ascii="Symbol" w:hAnsi="Symbol" w:hint="default"/>
      </w:rPr>
    </w:lvl>
    <w:lvl w:ilvl="1" w:tplc="0C0A0003" w:tentative="1">
      <w:start w:val="1"/>
      <w:numFmt w:val="bullet"/>
      <w:lvlText w:val="o"/>
      <w:lvlJc w:val="left"/>
      <w:pPr>
        <w:tabs>
          <w:tab w:val="num" w:pos="2498"/>
        </w:tabs>
        <w:ind w:left="2498" w:hanging="360"/>
      </w:pPr>
      <w:rPr>
        <w:rFonts w:ascii="Courier New" w:hAnsi="Courier New" w:cs="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21" w15:restartNumberingAfterBreak="0">
    <w:nsid w:val="70177021"/>
    <w:multiLevelType w:val="hybridMultilevel"/>
    <w:tmpl w:val="FCE8E9E4"/>
    <w:lvl w:ilvl="0" w:tplc="13343872">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397E3B"/>
    <w:multiLevelType w:val="hybridMultilevel"/>
    <w:tmpl w:val="C9D6C7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20"/>
  </w:num>
  <w:num w:numId="3">
    <w:abstractNumId w:val="12"/>
  </w:num>
  <w:num w:numId="4">
    <w:abstractNumId w:val="13"/>
  </w:num>
  <w:num w:numId="5">
    <w:abstractNumId w:val="21"/>
  </w:num>
  <w:num w:numId="6">
    <w:abstractNumId w:val="10"/>
  </w:num>
  <w:num w:numId="7">
    <w:abstractNumId w:val="0"/>
    <w:lvlOverride w:ilvl="0">
      <w:lvl w:ilvl="0">
        <w:start w:val="1"/>
        <w:numFmt w:val="bullet"/>
        <w:lvlText w:val=""/>
        <w:legacy w:legacy="1" w:legacySpace="0" w:legacyIndent="283"/>
        <w:lvlJc w:val="left"/>
        <w:pPr>
          <w:ind w:left="1709" w:hanging="283"/>
        </w:pPr>
        <w:rPr>
          <w:rFonts w:ascii="Symbol" w:hAnsi="Symbol" w:cs="Times New Roman" w:hint="default"/>
        </w:rPr>
      </w:lvl>
    </w:lvlOverride>
  </w:num>
  <w:num w:numId="8">
    <w:abstractNumId w:val="1"/>
  </w:num>
  <w:num w:numId="9">
    <w:abstractNumId w:val="7"/>
  </w:num>
  <w:num w:numId="10">
    <w:abstractNumId w:val="16"/>
  </w:num>
  <w:num w:numId="11">
    <w:abstractNumId w:val="17"/>
  </w:num>
  <w:num w:numId="12">
    <w:abstractNumId w:val="2"/>
  </w:num>
  <w:num w:numId="13">
    <w:abstractNumId w:val="22"/>
  </w:num>
  <w:num w:numId="14">
    <w:abstractNumId w:val="18"/>
  </w:num>
  <w:num w:numId="15">
    <w:abstractNumId w:val="15"/>
  </w:num>
  <w:num w:numId="16">
    <w:abstractNumId w:val="5"/>
  </w:num>
  <w:num w:numId="17">
    <w:abstractNumId w:val="8"/>
  </w:num>
  <w:num w:numId="18">
    <w:abstractNumId w:val="6"/>
  </w:num>
  <w:num w:numId="19">
    <w:abstractNumId w:val="4"/>
  </w:num>
  <w:num w:numId="20">
    <w:abstractNumId w:val="9"/>
  </w:num>
  <w:num w:numId="21">
    <w:abstractNumId w:val="3"/>
  </w:num>
  <w:num w:numId="22">
    <w:abstractNumId w:val="11"/>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93"/>
    <w:rsid w:val="00051FEB"/>
    <w:rsid w:val="00602787"/>
    <w:rsid w:val="00BC4090"/>
    <w:rsid w:val="00C455A7"/>
    <w:rsid w:val="00D51B53"/>
    <w:rsid w:val="00DE7A66"/>
    <w:rsid w:val="00F822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90204A9-CD9C-47F4-BC05-6EF7971C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A66"/>
    <w:pPr>
      <w:spacing w:after="120" w:line="360"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rsid w:val="00DE7A66"/>
    <w:pPr>
      <w:spacing w:after="0" w:line="240" w:lineRule="auto"/>
    </w:pPr>
    <w:rPr>
      <w:rFonts w:ascii="Trebuchet MS" w:eastAsia="Times New Roman" w:hAnsi="Trebuchet MS" w:cs="Times New Roman"/>
      <w:bCs/>
      <w:szCs w:val="20"/>
      <w:lang w:eastAsia="es-ES"/>
    </w:rPr>
  </w:style>
  <w:style w:type="paragraph" w:customStyle="1" w:styleId="sim">
    <w:name w:val="sim"/>
    <w:basedOn w:val="Normal"/>
    <w:rsid w:val="00DE7A66"/>
    <w:pPr>
      <w:overflowPunct w:val="0"/>
      <w:autoSpaceDE w:val="0"/>
      <w:autoSpaceDN w:val="0"/>
      <w:adjustRightInd w:val="0"/>
      <w:spacing w:after="0" w:line="240" w:lineRule="auto"/>
      <w:ind w:left="1134" w:hanging="1134"/>
      <w:textAlignment w:val="baseline"/>
    </w:pPr>
    <w:rPr>
      <w:rFonts w:eastAsia="Times New Roman" w:cs="Times New Roman"/>
      <w:sz w:val="20"/>
      <w:szCs w:val="20"/>
      <w:lang w:val="es-ES_tradnl" w:eastAsia="es-ES"/>
    </w:rPr>
  </w:style>
  <w:style w:type="paragraph" w:styleId="Prrafodelista">
    <w:name w:val="List Paragraph"/>
    <w:basedOn w:val="Normal"/>
    <w:uiPriority w:val="34"/>
    <w:qFormat/>
    <w:rsid w:val="00DE7A66"/>
    <w:pPr>
      <w:ind w:left="720"/>
      <w:contextualSpacing/>
    </w:pPr>
  </w:style>
  <w:style w:type="table" w:styleId="Tabladelista3">
    <w:name w:val="List Table 3"/>
    <w:basedOn w:val="Tablanormal"/>
    <w:uiPriority w:val="48"/>
    <w:rsid w:val="00D51B5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2706</Words>
  <Characters>14887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Fernandez</dc:creator>
  <cp:keywords/>
  <dc:description/>
  <cp:lastModifiedBy>Beatriz Fernandez</cp:lastModifiedBy>
  <cp:revision>4</cp:revision>
  <dcterms:created xsi:type="dcterms:W3CDTF">2026-03-06T02:59:00Z</dcterms:created>
  <dcterms:modified xsi:type="dcterms:W3CDTF">2026-03-06T03:28:00Z</dcterms:modified>
</cp:coreProperties>
</file>