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DEA" w:rsidRPr="00671DEA" w:rsidRDefault="00671DEA" w:rsidP="00671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71DE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El terreno de juego 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1:1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El terreno de juego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1DEA">
        <w:rPr>
          <w:rFonts w:ascii="Times New Roman" w:eastAsia="Times New Roman" w:hAnsi="Times New Roman" w:cs="Times New Roman"/>
          <w:i/>
          <w:iCs/>
          <w:sz w:val="24"/>
          <w:szCs w:val="24"/>
        </w:rPr>
        <w:t>(ver Fig. 1)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es un rectángulo de 40 metros de largo y 20 metros de ancho, que consta de dos áreas de portería </w:t>
      </w:r>
      <w:r w:rsidRPr="00671DEA">
        <w:rPr>
          <w:rFonts w:ascii="Times New Roman" w:eastAsia="Times New Roman" w:hAnsi="Times New Roman" w:cs="Times New Roman"/>
          <w:i/>
          <w:iCs/>
          <w:sz w:val="24"/>
          <w:szCs w:val="24"/>
        </w:rPr>
        <w:t>(ver Regla 1:4 y Regla 6)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y un área de juego. Las líneas más largas se llaman líneas de banda y las más cortas líneas de gol (entre los postes de la portería) o línea exterior de portería (a ambos lados de la portería). 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Debería haber un pasillo de seguridad alrededor del terreno de juego, con un ancho mínimo de 1 metro por el exterior de las líneas de banda y de 2 metros tras la línea de gol y línea exterior de la portería. 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Las características del terreno de juego de ninguna manera deben ser modificadas durante el partido en beneficio de un solo equipo. 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1:2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La portería </w:t>
      </w:r>
      <w:r w:rsidRPr="00671DEA">
        <w:rPr>
          <w:rFonts w:ascii="Times New Roman" w:eastAsia="Times New Roman" w:hAnsi="Times New Roman" w:cs="Times New Roman"/>
          <w:i/>
          <w:iCs/>
          <w:sz w:val="24"/>
          <w:szCs w:val="24"/>
        </w:rPr>
        <w:t>(ver Fig. 2a y 2b)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está situada en el centro de cada línea exterior de portería. Las porterías estarán firmemente fijadas al suelo o a las paredes que están detrás de ellas. Sus medidas interiores serán de 2 m de alto y 3 m de ancho. 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Los postes de la portería están unidos con el larguero, y sus aristas posteriores estarán alineadas con el lado posterior de la línea de gol. Los postes y el larguero tienen que tener una sección cuadrada de 8 cm y pintadas las tres caras visibles del lado del terreno de juego con dos colores que contrasten claramente con el fondo del campo. 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Las porterías tendrán una red que se sujetará de tal forma que el balón lanzado dentro de ellas normalmente se quede allí. 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1:3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Todas las </w:t>
      </w:r>
      <w:r w:rsidRPr="00671DEA">
        <w:rPr>
          <w:rFonts w:ascii="Times New Roman" w:eastAsia="Times New Roman" w:hAnsi="Times New Roman" w:cs="Times New Roman"/>
          <w:i/>
          <w:iCs/>
          <w:sz w:val="24"/>
          <w:szCs w:val="24"/>
        </w:rPr>
        <w:t>líneas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del terreno forman parte de la superficie que delimitan. Las líneas de gol medirán 8 cm de ancho entre los postes de la portería (ver Fig. 2a) mientras que las otras líneas serán de 5 cm de ancho. 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Las líneas entre las dos áreas adyacentes del suelo se pueden pintar en diferentes colores entre dichas áreas. 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1:4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Delante de cada portería está el área de portería </w:t>
      </w:r>
      <w:r w:rsidRPr="00671DEA">
        <w:rPr>
          <w:rFonts w:ascii="Times New Roman" w:eastAsia="Times New Roman" w:hAnsi="Times New Roman" w:cs="Times New Roman"/>
          <w:i/>
          <w:iCs/>
          <w:sz w:val="24"/>
          <w:szCs w:val="24"/>
        </w:rPr>
        <w:t>(ver Regla 6)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. El área de portería está definida por la línea del área de portería (línea de 6 metros), que se marca como sigue: </w:t>
      </w:r>
    </w:p>
    <w:p w:rsidR="00671DEA" w:rsidRPr="00671DEA" w:rsidRDefault="00671DEA" w:rsidP="00671DE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a) una línea de 3 metros de largo directamente delante de la portería; esta línea es paralela a la línea de gol y se situará a una distancia de 6 metros de ésta (medidos desde el lado exterior de la línea de gol hasta la parte delantera de la línea de área de portería); 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br/>
        <w:t xml:space="preserve">b) dos cuartos de círculo, cada uno con un radio de 6 metros (medido desde la esquina interior de los postes de la portería), conectando la línea de 3 metros de largo con la línea exterior de portería (ver Fig. 1 y 2a) 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1:5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La línea de golpe franco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(línea de 9 metros) es una línea discontinua; se marca a 3 m por fuera de la línea del área de portería. Tanto los segmentos de la línea como los espacios entre ellos medirán 15 cm </w:t>
      </w:r>
      <w:r w:rsidRPr="00671DEA">
        <w:rPr>
          <w:rFonts w:ascii="Times New Roman" w:eastAsia="Times New Roman" w:hAnsi="Times New Roman" w:cs="Times New Roman"/>
          <w:i/>
          <w:iCs/>
          <w:sz w:val="24"/>
          <w:szCs w:val="24"/>
        </w:rPr>
        <w:t>(ver Fig. 1)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1:6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La línea de 7 metros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será de 1 metro de largo y estará pintada directamente frente a la portería. Será paralela a la línea de gol y se situará una distancia de 7 m de ella (medida desde la parte posterior de dicha línea hasta el exterior de la línea de 7 m) </w:t>
      </w:r>
      <w:r w:rsidRPr="00671DEA">
        <w:rPr>
          <w:rFonts w:ascii="Times New Roman" w:eastAsia="Times New Roman" w:hAnsi="Times New Roman" w:cs="Times New Roman"/>
          <w:i/>
          <w:iCs/>
          <w:sz w:val="24"/>
          <w:szCs w:val="24"/>
        </w:rPr>
        <w:t>(ver Fig. 1)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1:7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La línea de limitación del portero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(la línea de 4 metros) será de 15 cm de longitud y se traza directamente delante de la portería. Es paralela a la línea de gol y se sitúa a una distancia de 4 metros de ella (medida desde la parte posterior de dicha línea hasta el exterior de la línea de 4 metros); </w:t>
      </w:r>
      <w:r w:rsidRPr="00671DEA">
        <w:rPr>
          <w:rFonts w:ascii="Times New Roman" w:eastAsia="Times New Roman" w:hAnsi="Times New Roman" w:cs="Times New Roman"/>
          <w:i/>
          <w:iCs/>
          <w:sz w:val="24"/>
          <w:szCs w:val="24"/>
        </w:rPr>
        <w:t>(ver Fig. 1)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1:8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línea central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conecta los puntos medios de las dos líneas de banda </w:t>
      </w:r>
      <w:r w:rsidRPr="00671DEA">
        <w:rPr>
          <w:rFonts w:ascii="Times New Roman" w:eastAsia="Times New Roman" w:hAnsi="Times New Roman" w:cs="Times New Roman"/>
          <w:i/>
          <w:iCs/>
          <w:sz w:val="24"/>
          <w:szCs w:val="24"/>
        </w:rPr>
        <w:t>(ver Fig.1 y 3).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1:9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línea de cambio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(un segmento de la línea de banda) para cada equipo se extiende desde la línea central a un punto situado a una distancia de 4’5 metros de ella. Este punto final de la línea de cambio está delimitado por una línea que es paralela a la línea central, extendiéndose 15 cm hacia dentro de la línea de banda y 15 cm hacia fuera de ella </w:t>
      </w:r>
      <w:r w:rsidRPr="00671DEA">
        <w:rPr>
          <w:rFonts w:ascii="Times New Roman" w:eastAsia="Times New Roman" w:hAnsi="Times New Roman" w:cs="Times New Roman"/>
          <w:i/>
          <w:iCs/>
          <w:sz w:val="24"/>
          <w:szCs w:val="24"/>
        </w:rPr>
        <w:t>(ver Fig. 1 y 3)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Nota: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Pueden encontrarse requisitos técnicos más detallados para el terreno de juego y las porterías en las Pautas para el Terreno de Juego y Porterías, en la página 85. 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Gráfico 1: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El terreno de juego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br/>
        <w:t>Terreno de juego: ver también Gráfico 5 (página 89).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br/>
      </w:r>
      <w:r w:rsidRPr="00671DEA">
        <w:rPr>
          <w:rFonts w:ascii="Times New Roman" w:eastAsia="Times New Roman" w:hAnsi="Times New Roman" w:cs="Times New Roman"/>
          <w:i/>
          <w:iCs/>
          <w:sz w:val="24"/>
          <w:szCs w:val="24"/>
        </w:rPr>
        <w:t>(Las dimensiones se indican en cm)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l terreno de juego" style="width:407.75pt;height:499.7pt"/>
        </w:pic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Gráfico 2a: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La portería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La portería" style="width:434.85pt;height:511.15pt"/>
        </w:pic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Gráfico 2b: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La portería – vista desde el lateral 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" style="width:191.05pt;height:258.75pt"/>
        </w:pic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b/>
          <w:bCs/>
          <w:sz w:val="24"/>
          <w:szCs w:val="24"/>
        </w:rPr>
        <w:t>Gráfico 3:</w:t>
      </w: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 Líneas y zonas de cambio </w: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75" alt="Líneas y zonas de cambio" style="width:386.4pt;height:201.75pt"/>
        </w:pict>
      </w:r>
    </w:p>
    <w:p w:rsidR="00671DEA" w:rsidRPr="00671DEA" w:rsidRDefault="00671DEA" w:rsidP="00671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DEA">
        <w:rPr>
          <w:rFonts w:ascii="Times New Roman" w:eastAsia="Times New Roman" w:hAnsi="Times New Roman" w:cs="Times New Roman"/>
          <w:sz w:val="24"/>
          <w:szCs w:val="24"/>
        </w:rPr>
        <w:t xml:space="preserve">La mesa del anotador y el cronometrador y los bancos de reservas deben estar situados de tal manera que las líneas de cambios puedan ser visibles para el anotador y cronometrador. La mesa deberá estar colocada más cerca de la línea de banda que los bancos de reserva, pero separada de ésta como mínimo 50 cm. </w:t>
      </w:r>
    </w:p>
    <w:p w:rsidR="00125210" w:rsidRDefault="00125210"/>
    <w:sectPr w:rsidR="001252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compat>
    <w:useFELayout/>
  </w:compat>
  <w:rsids>
    <w:rsidRoot w:val="00671DEA"/>
    <w:rsid w:val="00125210"/>
    <w:rsid w:val="00671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671D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671D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71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671DEA"/>
    <w:rPr>
      <w:b/>
      <w:bCs/>
    </w:rPr>
  </w:style>
  <w:style w:type="character" w:styleId="nfasis">
    <w:name w:val="Emphasis"/>
    <w:basedOn w:val="Fuentedeprrafopredeter"/>
    <w:uiPriority w:val="20"/>
    <w:qFormat/>
    <w:rsid w:val="00671DE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9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59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754</Words>
  <Characters>4153</Characters>
  <Application>Microsoft Office Word</Application>
  <DocSecurity>0</DocSecurity>
  <Lines>34</Lines>
  <Paragraphs>9</Paragraphs>
  <ScaleCrop>false</ScaleCrop>
  <Company/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IPOL</dc:creator>
  <cp:keywords/>
  <dc:description/>
  <cp:lastModifiedBy>IPOL</cp:lastModifiedBy>
  <cp:revision>2</cp:revision>
  <dcterms:created xsi:type="dcterms:W3CDTF">2018-02-19T11:20:00Z</dcterms:created>
  <dcterms:modified xsi:type="dcterms:W3CDTF">2018-02-19T11:20:00Z</dcterms:modified>
</cp:coreProperties>
</file>