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DEA" w:rsidRPr="00671DEA" w:rsidRDefault="00671DEA" w:rsidP="00671D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71DE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El terreno de juego </w:t>
      </w:r>
    </w:p>
    <w:p w:rsidR="00671DEA" w:rsidRPr="00671DEA" w:rsidRDefault="00671DEA" w:rsidP="00671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DEA">
        <w:rPr>
          <w:rFonts w:ascii="Times New Roman" w:eastAsia="Times New Roman" w:hAnsi="Times New Roman" w:cs="Times New Roman"/>
          <w:b/>
          <w:bCs/>
          <w:sz w:val="24"/>
          <w:szCs w:val="24"/>
        </w:rPr>
        <w:t>1:1</w:t>
      </w:r>
      <w:r w:rsidRPr="00671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1DEA">
        <w:rPr>
          <w:rFonts w:ascii="Times New Roman" w:eastAsia="Times New Roman" w:hAnsi="Times New Roman" w:cs="Times New Roman"/>
          <w:b/>
          <w:bCs/>
          <w:sz w:val="24"/>
          <w:szCs w:val="24"/>
        </w:rPr>
        <w:t>El terreno de juego</w:t>
      </w:r>
      <w:r w:rsidRPr="00671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1DEA">
        <w:rPr>
          <w:rFonts w:ascii="Times New Roman" w:eastAsia="Times New Roman" w:hAnsi="Times New Roman" w:cs="Times New Roman"/>
          <w:i/>
          <w:iCs/>
          <w:sz w:val="24"/>
          <w:szCs w:val="24"/>
        </w:rPr>
        <w:t>(ver Fig. 1)</w:t>
      </w:r>
      <w:r w:rsidRPr="00671DEA">
        <w:rPr>
          <w:rFonts w:ascii="Times New Roman" w:eastAsia="Times New Roman" w:hAnsi="Times New Roman" w:cs="Times New Roman"/>
          <w:sz w:val="24"/>
          <w:szCs w:val="24"/>
        </w:rPr>
        <w:t xml:space="preserve"> es un rectángulo de 40 metros de largo y 20 metros de ancho, que consta de dos áreas de portería </w:t>
      </w:r>
      <w:r w:rsidRPr="00671DEA">
        <w:rPr>
          <w:rFonts w:ascii="Times New Roman" w:eastAsia="Times New Roman" w:hAnsi="Times New Roman" w:cs="Times New Roman"/>
          <w:i/>
          <w:iCs/>
          <w:sz w:val="24"/>
          <w:szCs w:val="24"/>
        </w:rPr>
        <w:t>(ver Regla 1:4 y Regla 6)</w:t>
      </w:r>
      <w:r w:rsidRPr="00671DEA">
        <w:rPr>
          <w:rFonts w:ascii="Times New Roman" w:eastAsia="Times New Roman" w:hAnsi="Times New Roman" w:cs="Times New Roman"/>
          <w:sz w:val="24"/>
          <w:szCs w:val="24"/>
        </w:rPr>
        <w:t xml:space="preserve"> y un área de juego. Las líneas más largas se llaman líneas de banda y las más cortas líneas de gol (entre los postes de la portería) o línea exterior de portería (a ambos lados de la portería). </w:t>
      </w:r>
    </w:p>
    <w:p w:rsidR="00671DEA" w:rsidRPr="00671DEA" w:rsidRDefault="00671DEA" w:rsidP="00671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DEA">
        <w:rPr>
          <w:rFonts w:ascii="Times New Roman" w:eastAsia="Times New Roman" w:hAnsi="Times New Roman" w:cs="Times New Roman"/>
          <w:sz w:val="24"/>
          <w:szCs w:val="24"/>
        </w:rPr>
        <w:t xml:space="preserve">Debería haber un pasillo de seguridad alrededor del terreno de juego, con un ancho mínimo de 1 metro por el exterior de las líneas de banda y de 2 metros tras la línea de gol y línea exterior de la portería. </w:t>
      </w:r>
    </w:p>
    <w:p w:rsidR="00671DEA" w:rsidRPr="00671DEA" w:rsidRDefault="00671DEA" w:rsidP="00671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DEA">
        <w:rPr>
          <w:rFonts w:ascii="Times New Roman" w:eastAsia="Times New Roman" w:hAnsi="Times New Roman" w:cs="Times New Roman"/>
          <w:sz w:val="24"/>
          <w:szCs w:val="24"/>
        </w:rPr>
        <w:t xml:space="preserve">Las características del terreno de juego de ninguna manera deben ser modificadas durante el partido en beneficio de un solo equipo. </w:t>
      </w:r>
    </w:p>
    <w:p w:rsidR="00671DEA" w:rsidRPr="00671DEA" w:rsidRDefault="00671DEA" w:rsidP="00671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DEA">
        <w:rPr>
          <w:rFonts w:ascii="Times New Roman" w:eastAsia="Times New Roman" w:hAnsi="Times New Roman" w:cs="Times New Roman"/>
          <w:b/>
          <w:bCs/>
          <w:sz w:val="24"/>
          <w:szCs w:val="24"/>
        </w:rPr>
        <w:t>1:2</w:t>
      </w:r>
      <w:r w:rsidRPr="00671DEA">
        <w:rPr>
          <w:rFonts w:ascii="Times New Roman" w:eastAsia="Times New Roman" w:hAnsi="Times New Roman" w:cs="Times New Roman"/>
          <w:sz w:val="24"/>
          <w:szCs w:val="24"/>
        </w:rPr>
        <w:t xml:space="preserve"> La portería </w:t>
      </w:r>
      <w:r w:rsidRPr="00671DEA">
        <w:rPr>
          <w:rFonts w:ascii="Times New Roman" w:eastAsia="Times New Roman" w:hAnsi="Times New Roman" w:cs="Times New Roman"/>
          <w:i/>
          <w:iCs/>
          <w:sz w:val="24"/>
          <w:szCs w:val="24"/>
        </w:rPr>
        <w:t>(ver Fig. 2a y 2b)</w:t>
      </w:r>
      <w:r w:rsidRPr="00671DEA">
        <w:rPr>
          <w:rFonts w:ascii="Times New Roman" w:eastAsia="Times New Roman" w:hAnsi="Times New Roman" w:cs="Times New Roman"/>
          <w:sz w:val="24"/>
          <w:szCs w:val="24"/>
        </w:rPr>
        <w:t xml:space="preserve"> está situada en el centro de cada línea exterior de portería. Las porterías estarán firmemente fijadas al suelo o a las paredes que están detrás de ellas. Sus medidas interiores serán de 2 m de alto y 3 m de ancho. </w:t>
      </w:r>
    </w:p>
    <w:p w:rsidR="00671DEA" w:rsidRPr="00671DEA" w:rsidRDefault="00671DEA" w:rsidP="00671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DEA">
        <w:rPr>
          <w:rFonts w:ascii="Times New Roman" w:eastAsia="Times New Roman" w:hAnsi="Times New Roman" w:cs="Times New Roman"/>
          <w:sz w:val="24"/>
          <w:szCs w:val="24"/>
        </w:rPr>
        <w:t xml:space="preserve">Los postes de la portería están unidos con el larguero, y sus aristas posteriores estarán alineadas con el lado posterior de la línea de gol. Los postes y el larguero tienen que tener una sección cuadrada de 8 cm y pintadas las tres caras visibles del lado del terreno de juego con dos colores que contrasten claramente con el fondo del campo. </w:t>
      </w:r>
    </w:p>
    <w:p w:rsidR="00671DEA" w:rsidRPr="00671DEA" w:rsidRDefault="00671DEA" w:rsidP="00671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DEA">
        <w:rPr>
          <w:rFonts w:ascii="Times New Roman" w:eastAsia="Times New Roman" w:hAnsi="Times New Roman" w:cs="Times New Roman"/>
          <w:sz w:val="24"/>
          <w:szCs w:val="24"/>
        </w:rPr>
        <w:t xml:space="preserve">Las porterías tendrán una red que se sujetará de tal forma que el balón lanzado dentro de ellas normalmente se quede allí. </w:t>
      </w:r>
    </w:p>
    <w:p w:rsidR="00671DEA" w:rsidRPr="00671DEA" w:rsidRDefault="00671DEA" w:rsidP="00671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DEA">
        <w:rPr>
          <w:rFonts w:ascii="Times New Roman" w:eastAsia="Times New Roman" w:hAnsi="Times New Roman" w:cs="Times New Roman"/>
          <w:b/>
          <w:bCs/>
          <w:sz w:val="24"/>
          <w:szCs w:val="24"/>
        </w:rPr>
        <w:t>1:3</w:t>
      </w:r>
      <w:r w:rsidRPr="00671DEA">
        <w:rPr>
          <w:rFonts w:ascii="Times New Roman" w:eastAsia="Times New Roman" w:hAnsi="Times New Roman" w:cs="Times New Roman"/>
          <w:sz w:val="24"/>
          <w:szCs w:val="24"/>
        </w:rPr>
        <w:t xml:space="preserve"> Todas las </w:t>
      </w:r>
      <w:r w:rsidRPr="00671DEA">
        <w:rPr>
          <w:rFonts w:ascii="Times New Roman" w:eastAsia="Times New Roman" w:hAnsi="Times New Roman" w:cs="Times New Roman"/>
          <w:i/>
          <w:iCs/>
          <w:sz w:val="24"/>
          <w:szCs w:val="24"/>
        </w:rPr>
        <w:t>líneas</w:t>
      </w:r>
      <w:r w:rsidRPr="00671DEA">
        <w:rPr>
          <w:rFonts w:ascii="Times New Roman" w:eastAsia="Times New Roman" w:hAnsi="Times New Roman" w:cs="Times New Roman"/>
          <w:sz w:val="24"/>
          <w:szCs w:val="24"/>
        </w:rPr>
        <w:t xml:space="preserve"> del terreno forman parte de la superficie que delimitan. Las líneas de gol medirán 8 cm de ancho entre los postes de la portería (ver Fig. 2a) mientras que las otras líneas serán de 5 cm de ancho. </w:t>
      </w:r>
    </w:p>
    <w:p w:rsidR="00671DEA" w:rsidRPr="00671DEA" w:rsidRDefault="00671DEA" w:rsidP="00671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DEA">
        <w:rPr>
          <w:rFonts w:ascii="Times New Roman" w:eastAsia="Times New Roman" w:hAnsi="Times New Roman" w:cs="Times New Roman"/>
          <w:sz w:val="24"/>
          <w:szCs w:val="24"/>
        </w:rPr>
        <w:t xml:space="preserve">Las líneas entre las dos áreas adyacentes del suelo se pueden pintar en diferentes colores entre dichas áreas. </w:t>
      </w:r>
    </w:p>
    <w:p w:rsidR="00671DEA" w:rsidRPr="00671DEA" w:rsidRDefault="00671DEA" w:rsidP="00671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DEA">
        <w:rPr>
          <w:rFonts w:ascii="Times New Roman" w:eastAsia="Times New Roman" w:hAnsi="Times New Roman" w:cs="Times New Roman"/>
          <w:b/>
          <w:bCs/>
          <w:sz w:val="24"/>
          <w:szCs w:val="24"/>
        </w:rPr>
        <w:t>1:4</w:t>
      </w:r>
      <w:r w:rsidRPr="00671DEA">
        <w:rPr>
          <w:rFonts w:ascii="Times New Roman" w:eastAsia="Times New Roman" w:hAnsi="Times New Roman" w:cs="Times New Roman"/>
          <w:sz w:val="24"/>
          <w:szCs w:val="24"/>
        </w:rPr>
        <w:t xml:space="preserve"> Delante de cada portería está el área de portería </w:t>
      </w:r>
      <w:r w:rsidRPr="00671DEA">
        <w:rPr>
          <w:rFonts w:ascii="Times New Roman" w:eastAsia="Times New Roman" w:hAnsi="Times New Roman" w:cs="Times New Roman"/>
          <w:i/>
          <w:iCs/>
          <w:sz w:val="24"/>
          <w:szCs w:val="24"/>
        </w:rPr>
        <w:t>(ver Regla 6)</w:t>
      </w:r>
      <w:r w:rsidRPr="00671DEA">
        <w:rPr>
          <w:rFonts w:ascii="Times New Roman" w:eastAsia="Times New Roman" w:hAnsi="Times New Roman" w:cs="Times New Roman"/>
          <w:sz w:val="24"/>
          <w:szCs w:val="24"/>
        </w:rPr>
        <w:t xml:space="preserve">. El área de portería está definida por la línea del área de portería (línea de 6 metros), que se marca como sigue: </w:t>
      </w:r>
    </w:p>
    <w:p w:rsidR="00671DEA" w:rsidRPr="00671DEA" w:rsidRDefault="00671DEA" w:rsidP="00671DE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DEA">
        <w:rPr>
          <w:rFonts w:ascii="Times New Roman" w:eastAsia="Times New Roman" w:hAnsi="Times New Roman" w:cs="Times New Roman"/>
          <w:sz w:val="24"/>
          <w:szCs w:val="24"/>
        </w:rPr>
        <w:t xml:space="preserve">a) una línea de 3 metros de largo directamente delante de la portería; esta línea es paralela a la línea de gol y se situará a una distancia de 6 metros de ésta (medidos desde el lado exterior de la línea de gol hasta la parte delantera de la línea de área de portería); </w:t>
      </w:r>
      <w:r w:rsidRPr="00671DEA">
        <w:rPr>
          <w:rFonts w:ascii="Times New Roman" w:eastAsia="Times New Roman" w:hAnsi="Times New Roman" w:cs="Times New Roman"/>
          <w:sz w:val="24"/>
          <w:szCs w:val="24"/>
        </w:rPr>
        <w:br/>
        <w:t xml:space="preserve">b) dos cuartos de círculo, cada uno con un radio de 6 metros (medido desde la esquina interior de los postes de la portería), conectando la línea de 3 metros de largo con la línea exterior de portería (ver Fig. 1 y 2a) </w:t>
      </w:r>
    </w:p>
    <w:p w:rsidR="00671DEA" w:rsidRPr="00671DEA" w:rsidRDefault="00671DEA" w:rsidP="00671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DEA">
        <w:rPr>
          <w:rFonts w:ascii="Times New Roman" w:eastAsia="Times New Roman" w:hAnsi="Times New Roman" w:cs="Times New Roman"/>
          <w:b/>
          <w:bCs/>
          <w:sz w:val="24"/>
          <w:szCs w:val="24"/>
        </w:rPr>
        <w:t>1:5</w:t>
      </w:r>
      <w:r w:rsidRPr="00671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1DEA">
        <w:rPr>
          <w:rFonts w:ascii="Times New Roman" w:eastAsia="Times New Roman" w:hAnsi="Times New Roman" w:cs="Times New Roman"/>
          <w:b/>
          <w:bCs/>
          <w:sz w:val="24"/>
          <w:szCs w:val="24"/>
        </w:rPr>
        <w:t>La línea de golpe franco</w:t>
      </w:r>
      <w:r w:rsidRPr="00671DEA">
        <w:rPr>
          <w:rFonts w:ascii="Times New Roman" w:eastAsia="Times New Roman" w:hAnsi="Times New Roman" w:cs="Times New Roman"/>
          <w:sz w:val="24"/>
          <w:szCs w:val="24"/>
        </w:rPr>
        <w:t xml:space="preserve"> (línea de 9 metros) es una línea discontinua; se marca a 3 m por fuera de la línea del área de portería. Tanto los segmentos de la línea como los espacios entre ellos medirán 15 cm </w:t>
      </w:r>
      <w:r w:rsidRPr="00671DEA">
        <w:rPr>
          <w:rFonts w:ascii="Times New Roman" w:eastAsia="Times New Roman" w:hAnsi="Times New Roman" w:cs="Times New Roman"/>
          <w:i/>
          <w:iCs/>
          <w:sz w:val="24"/>
          <w:szCs w:val="24"/>
        </w:rPr>
        <w:t>(ver Fig. 1)</w:t>
      </w:r>
      <w:r w:rsidRPr="00671DE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1DEA" w:rsidRPr="00671DEA" w:rsidRDefault="00671DEA" w:rsidP="00671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DE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1:6</w:t>
      </w:r>
      <w:r w:rsidRPr="00671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1DEA">
        <w:rPr>
          <w:rFonts w:ascii="Times New Roman" w:eastAsia="Times New Roman" w:hAnsi="Times New Roman" w:cs="Times New Roman"/>
          <w:b/>
          <w:bCs/>
          <w:sz w:val="24"/>
          <w:szCs w:val="24"/>
        </w:rPr>
        <w:t>La línea de 7 metros</w:t>
      </w:r>
      <w:r w:rsidRPr="00671DEA">
        <w:rPr>
          <w:rFonts w:ascii="Times New Roman" w:eastAsia="Times New Roman" w:hAnsi="Times New Roman" w:cs="Times New Roman"/>
          <w:sz w:val="24"/>
          <w:szCs w:val="24"/>
        </w:rPr>
        <w:t xml:space="preserve"> será de 1 metro de largo y estará pintada directamente frente a la portería. Será paralela a la línea de gol y se situará una distancia de 7 m de ella (medida desde la parte posterior de dicha línea hasta el exterior de la línea de 7 m) </w:t>
      </w:r>
      <w:r w:rsidRPr="00671DEA">
        <w:rPr>
          <w:rFonts w:ascii="Times New Roman" w:eastAsia="Times New Roman" w:hAnsi="Times New Roman" w:cs="Times New Roman"/>
          <w:i/>
          <w:iCs/>
          <w:sz w:val="24"/>
          <w:szCs w:val="24"/>
        </w:rPr>
        <w:t>(ver Fig. 1)</w:t>
      </w:r>
      <w:r w:rsidRPr="00671DE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1DEA" w:rsidRPr="00671DEA" w:rsidRDefault="00671DEA" w:rsidP="00671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DEA">
        <w:rPr>
          <w:rFonts w:ascii="Times New Roman" w:eastAsia="Times New Roman" w:hAnsi="Times New Roman" w:cs="Times New Roman"/>
          <w:b/>
          <w:bCs/>
          <w:sz w:val="24"/>
          <w:szCs w:val="24"/>
        </w:rPr>
        <w:t>1:7</w:t>
      </w:r>
      <w:r w:rsidRPr="00671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1DEA">
        <w:rPr>
          <w:rFonts w:ascii="Times New Roman" w:eastAsia="Times New Roman" w:hAnsi="Times New Roman" w:cs="Times New Roman"/>
          <w:b/>
          <w:bCs/>
          <w:sz w:val="24"/>
          <w:szCs w:val="24"/>
        </w:rPr>
        <w:t>La línea de limitación del portero</w:t>
      </w:r>
      <w:r w:rsidRPr="00671DEA">
        <w:rPr>
          <w:rFonts w:ascii="Times New Roman" w:eastAsia="Times New Roman" w:hAnsi="Times New Roman" w:cs="Times New Roman"/>
          <w:sz w:val="24"/>
          <w:szCs w:val="24"/>
        </w:rPr>
        <w:t xml:space="preserve"> (la línea de 4 metros) será de 15 cm de longitud y se traza directamente delante de la portería. Es paralela a la línea de gol y se sitúa a una distancia de 4 metros de ella (medida desde la parte posterior de dicha línea hasta el exterior de la línea de 4 metros); </w:t>
      </w:r>
      <w:r w:rsidRPr="00671DEA">
        <w:rPr>
          <w:rFonts w:ascii="Times New Roman" w:eastAsia="Times New Roman" w:hAnsi="Times New Roman" w:cs="Times New Roman"/>
          <w:i/>
          <w:iCs/>
          <w:sz w:val="24"/>
          <w:szCs w:val="24"/>
        </w:rPr>
        <w:t>(ver Fig. 1)</w:t>
      </w:r>
      <w:r w:rsidRPr="00671DE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1DEA" w:rsidRPr="00671DEA" w:rsidRDefault="00671DEA" w:rsidP="00671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DEA">
        <w:rPr>
          <w:rFonts w:ascii="Times New Roman" w:eastAsia="Times New Roman" w:hAnsi="Times New Roman" w:cs="Times New Roman"/>
          <w:b/>
          <w:bCs/>
          <w:sz w:val="24"/>
          <w:szCs w:val="24"/>
        </w:rPr>
        <w:t>1:8</w:t>
      </w:r>
      <w:r w:rsidRPr="00671DE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r w:rsidRPr="00671DEA">
        <w:rPr>
          <w:rFonts w:ascii="Times New Roman" w:eastAsia="Times New Roman" w:hAnsi="Times New Roman" w:cs="Times New Roman"/>
          <w:b/>
          <w:bCs/>
          <w:sz w:val="24"/>
          <w:szCs w:val="24"/>
        </w:rPr>
        <w:t>línea central</w:t>
      </w:r>
      <w:r w:rsidRPr="00671DEA">
        <w:rPr>
          <w:rFonts w:ascii="Times New Roman" w:eastAsia="Times New Roman" w:hAnsi="Times New Roman" w:cs="Times New Roman"/>
          <w:sz w:val="24"/>
          <w:szCs w:val="24"/>
        </w:rPr>
        <w:t xml:space="preserve"> conecta los puntos medios de las dos líneas de banda </w:t>
      </w:r>
      <w:r w:rsidRPr="00671DEA">
        <w:rPr>
          <w:rFonts w:ascii="Times New Roman" w:eastAsia="Times New Roman" w:hAnsi="Times New Roman" w:cs="Times New Roman"/>
          <w:i/>
          <w:iCs/>
          <w:sz w:val="24"/>
          <w:szCs w:val="24"/>
        </w:rPr>
        <w:t>(ver Fig.1 y 3).</w:t>
      </w:r>
    </w:p>
    <w:p w:rsidR="00671DEA" w:rsidRPr="00671DEA" w:rsidRDefault="00671DEA" w:rsidP="00671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DEA">
        <w:rPr>
          <w:rFonts w:ascii="Times New Roman" w:eastAsia="Times New Roman" w:hAnsi="Times New Roman" w:cs="Times New Roman"/>
          <w:b/>
          <w:bCs/>
          <w:sz w:val="24"/>
          <w:szCs w:val="24"/>
        </w:rPr>
        <w:t>1:9</w:t>
      </w:r>
      <w:r w:rsidRPr="00671DE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r w:rsidRPr="00671DEA">
        <w:rPr>
          <w:rFonts w:ascii="Times New Roman" w:eastAsia="Times New Roman" w:hAnsi="Times New Roman" w:cs="Times New Roman"/>
          <w:b/>
          <w:bCs/>
          <w:sz w:val="24"/>
          <w:szCs w:val="24"/>
        </w:rPr>
        <w:t>línea de cambio</w:t>
      </w:r>
      <w:r w:rsidRPr="00671DEA">
        <w:rPr>
          <w:rFonts w:ascii="Times New Roman" w:eastAsia="Times New Roman" w:hAnsi="Times New Roman" w:cs="Times New Roman"/>
          <w:sz w:val="24"/>
          <w:szCs w:val="24"/>
        </w:rPr>
        <w:t xml:space="preserve"> (un segmento de la línea de banda) para cada equipo se extiende desde la línea central a un punto situado a una distancia de 4’5 metros de ella. Este punto final de la línea de cambio está delimitado por una línea que es paralela a la línea central, extendiéndose 15 cm hacia dentro de la línea de banda y 15 cm hacia fuera de ella </w:t>
      </w:r>
      <w:r w:rsidRPr="00671DEA">
        <w:rPr>
          <w:rFonts w:ascii="Times New Roman" w:eastAsia="Times New Roman" w:hAnsi="Times New Roman" w:cs="Times New Roman"/>
          <w:i/>
          <w:iCs/>
          <w:sz w:val="24"/>
          <w:szCs w:val="24"/>
        </w:rPr>
        <w:t>(ver Fig. 1 y 3)</w:t>
      </w:r>
      <w:r w:rsidRPr="00671DE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71DEA" w:rsidRPr="00671DEA" w:rsidRDefault="00671DEA" w:rsidP="00671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DEA">
        <w:rPr>
          <w:rFonts w:ascii="Times New Roman" w:eastAsia="Times New Roman" w:hAnsi="Times New Roman" w:cs="Times New Roman"/>
          <w:b/>
          <w:bCs/>
          <w:sz w:val="24"/>
          <w:szCs w:val="24"/>
        </w:rPr>
        <w:t>Nota:</w:t>
      </w:r>
      <w:r w:rsidRPr="00671DEA">
        <w:rPr>
          <w:rFonts w:ascii="Times New Roman" w:eastAsia="Times New Roman" w:hAnsi="Times New Roman" w:cs="Times New Roman"/>
          <w:sz w:val="24"/>
          <w:szCs w:val="24"/>
        </w:rPr>
        <w:t xml:space="preserve"> Pueden encontrarse requisitos técnicos más detallados para el terreno de juego y las porterías en las Pautas para el Terreno de Juego y Porterías, en la página 85. </w:t>
      </w:r>
    </w:p>
    <w:p w:rsidR="00671DEA" w:rsidRPr="00671DEA" w:rsidRDefault="00671DEA" w:rsidP="00671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DEA">
        <w:rPr>
          <w:rFonts w:ascii="Times New Roman" w:eastAsia="Times New Roman" w:hAnsi="Times New Roman" w:cs="Times New Roman"/>
          <w:b/>
          <w:bCs/>
          <w:sz w:val="24"/>
          <w:szCs w:val="24"/>
        </w:rPr>
        <w:t>Gráfico 1:</w:t>
      </w:r>
      <w:r w:rsidRPr="00671DEA">
        <w:rPr>
          <w:rFonts w:ascii="Times New Roman" w:eastAsia="Times New Roman" w:hAnsi="Times New Roman" w:cs="Times New Roman"/>
          <w:sz w:val="24"/>
          <w:szCs w:val="24"/>
        </w:rPr>
        <w:t xml:space="preserve"> El terreno de juego</w:t>
      </w:r>
      <w:r w:rsidRPr="00671DEA">
        <w:rPr>
          <w:rFonts w:ascii="Times New Roman" w:eastAsia="Times New Roman" w:hAnsi="Times New Roman" w:cs="Times New Roman"/>
          <w:sz w:val="24"/>
          <w:szCs w:val="24"/>
        </w:rPr>
        <w:br/>
        <w:t>Terreno de juego: ver también Gráfico 5 (página 89).</w:t>
      </w:r>
      <w:r w:rsidRPr="00671DEA">
        <w:rPr>
          <w:rFonts w:ascii="Times New Roman" w:eastAsia="Times New Roman" w:hAnsi="Times New Roman" w:cs="Times New Roman"/>
          <w:sz w:val="24"/>
          <w:szCs w:val="24"/>
        </w:rPr>
        <w:br/>
      </w:r>
      <w:r w:rsidRPr="00671DEA">
        <w:rPr>
          <w:rFonts w:ascii="Times New Roman" w:eastAsia="Times New Roman" w:hAnsi="Times New Roman" w:cs="Times New Roman"/>
          <w:i/>
          <w:iCs/>
          <w:sz w:val="24"/>
          <w:szCs w:val="24"/>
        </w:rPr>
        <w:t>(Las dimensiones se indican en cm)</w:t>
      </w:r>
      <w:r w:rsidRPr="00671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1DEA" w:rsidRPr="00671DEA" w:rsidRDefault="00671DEA" w:rsidP="00671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DEA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l terreno de juego" style="width:407.75pt;height:499.7pt"/>
        </w:pict>
      </w:r>
    </w:p>
    <w:p w:rsidR="00671DEA" w:rsidRPr="00671DEA" w:rsidRDefault="00671DEA" w:rsidP="00671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DEA">
        <w:rPr>
          <w:rFonts w:ascii="Times New Roman" w:eastAsia="Times New Roman" w:hAnsi="Times New Roman" w:cs="Times New Roman"/>
          <w:b/>
          <w:bCs/>
          <w:sz w:val="24"/>
          <w:szCs w:val="24"/>
        </w:rPr>
        <w:t>Gráfico 2a:</w:t>
      </w:r>
      <w:r w:rsidRPr="00671DEA">
        <w:rPr>
          <w:rFonts w:ascii="Times New Roman" w:eastAsia="Times New Roman" w:hAnsi="Times New Roman" w:cs="Times New Roman"/>
          <w:sz w:val="24"/>
          <w:szCs w:val="24"/>
        </w:rPr>
        <w:t xml:space="preserve"> La portería</w:t>
      </w:r>
    </w:p>
    <w:p w:rsidR="00671DEA" w:rsidRPr="00671DEA" w:rsidRDefault="00671DEA" w:rsidP="00671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DEA">
        <w:rPr>
          <w:rFonts w:ascii="Times New Roman" w:eastAsia="Times New Roman" w:hAnsi="Times New Roman" w:cs="Times New Roman"/>
          <w:sz w:val="24"/>
          <w:szCs w:val="24"/>
        </w:rPr>
        <w:pict>
          <v:shape id="_x0000_i1026" type="#_x0000_t75" alt="La portería" style="width:434.85pt;height:511.15pt"/>
        </w:pict>
      </w:r>
    </w:p>
    <w:p w:rsidR="00671DEA" w:rsidRPr="00671DEA" w:rsidRDefault="00671DEA" w:rsidP="00671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DEA">
        <w:rPr>
          <w:rFonts w:ascii="Times New Roman" w:eastAsia="Times New Roman" w:hAnsi="Times New Roman" w:cs="Times New Roman"/>
          <w:b/>
          <w:bCs/>
          <w:sz w:val="24"/>
          <w:szCs w:val="24"/>
        </w:rPr>
        <w:t>Gráfico 2b:</w:t>
      </w:r>
      <w:r w:rsidRPr="00671DEA">
        <w:rPr>
          <w:rFonts w:ascii="Times New Roman" w:eastAsia="Times New Roman" w:hAnsi="Times New Roman" w:cs="Times New Roman"/>
          <w:sz w:val="24"/>
          <w:szCs w:val="24"/>
        </w:rPr>
        <w:t xml:space="preserve"> La portería – vista desde el lateral </w:t>
      </w:r>
    </w:p>
    <w:p w:rsidR="00671DEA" w:rsidRPr="00671DEA" w:rsidRDefault="00671DEA" w:rsidP="00671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DEA">
        <w:rPr>
          <w:rFonts w:ascii="Times New Roman" w:eastAsia="Times New Roman" w:hAnsi="Times New Roman" w:cs="Times New Roman"/>
          <w:sz w:val="24"/>
          <w:szCs w:val="24"/>
        </w:rPr>
        <w:pict>
          <v:shape id="_x0000_i1027" type="#_x0000_t75" alt="" style="width:191.05pt;height:258.75pt"/>
        </w:pict>
      </w:r>
    </w:p>
    <w:p w:rsidR="00671DEA" w:rsidRPr="00671DEA" w:rsidRDefault="00671DEA" w:rsidP="00671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DEA">
        <w:rPr>
          <w:rFonts w:ascii="Times New Roman" w:eastAsia="Times New Roman" w:hAnsi="Times New Roman" w:cs="Times New Roman"/>
          <w:b/>
          <w:bCs/>
          <w:sz w:val="24"/>
          <w:szCs w:val="24"/>
        </w:rPr>
        <w:t>Gráfico 3:</w:t>
      </w:r>
      <w:r w:rsidRPr="00671DEA">
        <w:rPr>
          <w:rFonts w:ascii="Times New Roman" w:eastAsia="Times New Roman" w:hAnsi="Times New Roman" w:cs="Times New Roman"/>
          <w:sz w:val="24"/>
          <w:szCs w:val="24"/>
        </w:rPr>
        <w:t xml:space="preserve"> Líneas y zonas de cambio </w:t>
      </w:r>
    </w:p>
    <w:p w:rsidR="00671DEA" w:rsidRPr="00671DEA" w:rsidRDefault="00671DEA" w:rsidP="00671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DEA">
        <w:rPr>
          <w:rFonts w:ascii="Times New Roman" w:eastAsia="Times New Roman" w:hAnsi="Times New Roman" w:cs="Times New Roman"/>
          <w:sz w:val="24"/>
          <w:szCs w:val="24"/>
        </w:rPr>
        <w:pict>
          <v:shape id="_x0000_i1028" type="#_x0000_t75" alt="Líneas y zonas de cambio" style="width:386.4pt;height:201.75pt"/>
        </w:pict>
      </w:r>
    </w:p>
    <w:p w:rsidR="00671DEA" w:rsidRPr="00671DEA" w:rsidRDefault="00671DEA" w:rsidP="00671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DEA">
        <w:rPr>
          <w:rFonts w:ascii="Times New Roman" w:eastAsia="Times New Roman" w:hAnsi="Times New Roman" w:cs="Times New Roman"/>
          <w:sz w:val="24"/>
          <w:szCs w:val="24"/>
        </w:rPr>
        <w:t xml:space="preserve">La mesa del anotador y el cronometrador y los bancos de reservas deben estar situados de tal manera que las líneas de cambios puedan ser visibles para el anotador y cronometrador. La mesa deberá estar colocada más cerca de la línea de banda que los bancos de reserva, pero separada de ésta como mínimo 50 cm. </w:t>
      </w:r>
    </w:p>
    <w:p w:rsidR="00125210" w:rsidRDefault="00125210"/>
    <w:sectPr w:rsidR="001252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>
    <w:useFELayout/>
  </w:compat>
  <w:rsids>
    <w:rsidRoot w:val="00671DEA"/>
    <w:rsid w:val="00125210"/>
    <w:rsid w:val="00671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671D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71DE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71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71DEA"/>
    <w:rPr>
      <w:b/>
      <w:bCs/>
    </w:rPr>
  </w:style>
  <w:style w:type="character" w:styleId="nfasis">
    <w:name w:val="Emphasis"/>
    <w:basedOn w:val="Fuentedeprrafopredeter"/>
    <w:uiPriority w:val="20"/>
    <w:qFormat/>
    <w:rsid w:val="00671DE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9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95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754</Words>
  <Characters>4153</Characters>
  <Application>Microsoft Office Word</Application>
  <DocSecurity>0</DocSecurity>
  <Lines>34</Lines>
  <Paragraphs>9</Paragraphs>
  <ScaleCrop>false</ScaleCrop>
  <Company/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IPOL</dc:creator>
  <cp:keywords/>
  <dc:description/>
  <cp:lastModifiedBy>IPOL</cp:lastModifiedBy>
  <cp:revision>2</cp:revision>
  <dcterms:created xsi:type="dcterms:W3CDTF">2018-02-19T11:20:00Z</dcterms:created>
  <dcterms:modified xsi:type="dcterms:W3CDTF">2018-02-19T11:20:00Z</dcterms:modified>
</cp:coreProperties>
</file>