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83ED" w14:textId="30EDC4BD" w:rsidR="003F6578" w:rsidRPr="003A3FB2" w:rsidRDefault="00EA2596" w:rsidP="003A3FB2">
      <w:pPr>
        <w:spacing w:before="240" w:line="360" w:lineRule="auto"/>
        <w:jc w:val="both"/>
        <w:rPr>
          <w:rFonts w:ascii="Arial" w:hAnsi="Arial" w:cs="Arial"/>
          <w:b/>
          <w:bCs/>
          <w:sz w:val="24"/>
          <w:szCs w:val="24"/>
        </w:rPr>
      </w:pPr>
      <w:r w:rsidRPr="003A3FB2">
        <w:rPr>
          <w:rFonts w:ascii="Arial" w:hAnsi="Arial" w:cs="Arial"/>
          <w:b/>
          <w:bCs/>
          <w:sz w:val="24"/>
          <w:szCs w:val="24"/>
        </w:rPr>
        <w:t xml:space="preserve">Conferencia: </w:t>
      </w:r>
      <w:r w:rsidR="003F6578" w:rsidRPr="003A3FB2">
        <w:rPr>
          <w:rFonts w:ascii="Arial" w:hAnsi="Arial" w:cs="Arial"/>
          <w:b/>
          <w:bCs/>
          <w:sz w:val="24"/>
          <w:szCs w:val="24"/>
        </w:rPr>
        <w:t xml:space="preserve">El </w:t>
      </w:r>
      <w:r w:rsidR="003F6578" w:rsidRPr="003A3FB2">
        <w:rPr>
          <w:rFonts w:ascii="Arial" w:hAnsi="Arial" w:cs="Arial"/>
          <w:b/>
          <w:bCs/>
          <w:sz w:val="24"/>
          <w:szCs w:val="24"/>
        </w:rPr>
        <w:t>o</w:t>
      </w:r>
      <w:r w:rsidR="003F6578" w:rsidRPr="003A3FB2">
        <w:rPr>
          <w:rFonts w:ascii="Arial" w:hAnsi="Arial" w:cs="Arial"/>
          <w:b/>
          <w:bCs/>
          <w:sz w:val="24"/>
          <w:szCs w:val="24"/>
        </w:rPr>
        <w:t xml:space="preserve">bjeto de la </w:t>
      </w:r>
      <w:r w:rsidR="003F6578" w:rsidRPr="003A3FB2">
        <w:rPr>
          <w:rFonts w:ascii="Arial" w:hAnsi="Arial" w:cs="Arial"/>
          <w:b/>
          <w:bCs/>
          <w:sz w:val="24"/>
          <w:szCs w:val="24"/>
        </w:rPr>
        <w:t>r</w:t>
      </w:r>
      <w:r w:rsidR="003F6578" w:rsidRPr="003A3FB2">
        <w:rPr>
          <w:rFonts w:ascii="Arial" w:hAnsi="Arial" w:cs="Arial"/>
          <w:b/>
          <w:bCs/>
          <w:sz w:val="24"/>
          <w:szCs w:val="24"/>
        </w:rPr>
        <w:t xml:space="preserve">elación </w:t>
      </w:r>
      <w:r w:rsidR="003F6578" w:rsidRPr="003A3FB2">
        <w:rPr>
          <w:rFonts w:ascii="Arial" w:hAnsi="Arial" w:cs="Arial"/>
          <w:b/>
          <w:bCs/>
          <w:sz w:val="24"/>
          <w:szCs w:val="24"/>
        </w:rPr>
        <w:t>j</w:t>
      </w:r>
      <w:r w:rsidR="003F6578" w:rsidRPr="003A3FB2">
        <w:rPr>
          <w:rFonts w:ascii="Arial" w:hAnsi="Arial" w:cs="Arial"/>
          <w:b/>
          <w:bCs/>
          <w:sz w:val="24"/>
          <w:szCs w:val="24"/>
        </w:rPr>
        <w:t xml:space="preserve">urídica </w:t>
      </w:r>
      <w:r w:rsidR="003F6578" w:rsidRPr="003A3FB2">
        <w:rPr>
          <w:rFonts w:ascii="Arial" w:hAnsi="Arial" w:cs="Arial"/>
          <w:b/>
          <w:bCs/>
          <w:sz w:val="24"/>
          <w:szCs w:val="24"/>
        </w:rPr>
        <w:t>a</w:t>
      </w:r>
      <w:r w:rsidR="003F6578" w:rsidRPr="003A3FB2">
        <w:rPr>
          <w:rFonts w:ascii="Arial" w:hAnsi="Arial" w:cs="Arial"/>
          <w:b/>
          <w:bCs/>
          <w:sz w:val="24"/>
          <w:szCs w:val="24"/>
        </w:rPr>
        <w:t xml:space="preserve">graria y las </w:t>
      </w:r>
      <w:r w:rsidR="003F6578" w:rsidRPr="003A3FB2">
        <w:rPr>
          <w:rFonts w:ascii="Arial" w:hAnsi="Arial" w:cs="Arial"/>
          <w:b/>
          <w:bCs/>
          <w:sz w:val="24"/>
          <w:szCs w:val="24"/>
        </w:rPr>
        <w:t>i</w:t>
      </w:r>
      <w:r w:rsidR="003F6578" w:rsidRPr="003A3FB2">
        <w:rPr>
          <w:rFonts w:ascii="Arial" w:hAnsi="Arial" w:cs="Arial"/>
          <w:b/>
          <w:bCs/>
          <w:sz w:val="24"/>
          <w:szCs w:val="24"/>
        </w:rPr>
        <w:t xml:space="preserve">nfracciones en </w:t>
      </w:r>
      <w:r w:rsidR="003F6578" w:rsidRPr="003A3FB2">
        <w:rPr>
          <w:rFonts w:ascii="Arial" w:hAnsi="Arial" w:cs="Arial"/>
          <w:b/>
          <w:bCs/>
          <w:sz w:val="24"/>
          <w:szCs w:val="24"/>
        </w:rPr>
        <w:t>m</w:t>
      </w:r>
      <w:r w:rsidR="003F6578" w:rsidRPr="003A3FB2">
        <w:rPr>
          <w:rFonts w:ascii="Arial" w:hAnsi="Arial" w:cs="Arial"/>
          <w:b/>
          <w:bCs/>
          <w:sz w:val="24"/>
          <w:szCs w:val="24"/>
        </w:rPr>
        <w:t xml:space="preserve">ateria </w:t>
      </w:r>
      <w:r w:rsidR="003F6578" w:rsidRPr="003A3FB2">
        <w:rPr>
          <w:rFonts w:ascii="Arial" w:hAnsi="Arial" w:cs="Arial"/>
          <w:b/>
          <w:bCs/>
          <w:sz w:val="24"/>
          <w:szCs w:val="24"/>
        </w:rPr>
        <w:t>a</w:t>
      </w:r>
      <w:r w:rsidR="003F6578" w:rsidRPr="003A3FB2">
        <w:rPr>
          <w:rFonts w:ascii="Arial" w:hAnsi="Arial" w:cs="Arial"/>
          <w:b/>
          <w:bCs/>
          <w:sz w:val="24"/>
          <w:szCs w:val="24"/>
        </w:rPr>
        <w:t xml:space="preserve">graria. El </w:t>
      </w:r>
      <w:r w:rsidR="003F6578" w:rsidRPr="003A3FB2">
        <w:rPr>
          <w:rFonts w:ascii="Arial" w:hAnsi="Arial" w:cs="Arial"/>
          <w:b/>
          <w:bCs/>
          <w:sz w:val="24"/>
          <w:szCs w:val="24"/>
        </w:rPr>
        <w:t>u</w:t>
      </w:r>
      <w:r w:rsidR="003F6578" w:rsidRPr="003A3FB2">
        <w:rPr>
          <w:rFonts w:ascii="Arial" w:hAnsi="Arial" w:cs="Arial"/>
          <w:b/>
          <w:bCs/>
          <w:sz w:val="24"/>
          <w:szCs w:val="24"/>
        </w:rPr>
        <w:t xml:space="preserve">so y </w:t>
      </w:r>
      <w:r w:rsidR="003F6578" w:rsidRPr="003A3FB2">
        <w:rPr>
          <w:rFonts w:ascii="Arial" w:hAnsi="Arial" w:cs="Arial"/>
          <w:b/>
          <w:bCs/>
          <w:sz w:val="24"/>
          <w:szCs w:val="24"/>
        </w:rPr>
        <w:t>p</w:t>
      </w:r>
      <w:r w:rsidR="003F6578" w:rsidRPr="003A3FB2">
        <w:rPr>
          <w:rFonts w:ascii="Arial" w:hAnsi="Arial" w:cs="Arial"/>
          <w:b/>
          <w:bCs/>
          <w:sz w:val="24"/>
          <w:szCs w:val="24"/>
        </w:rPr>
        <w:t xml:space="preserve">rotección de la </w:t>
      </w:r>
      <w:r w:rsidR="003F6578" w:rsidRPr="003A3FB2">
        <w:rPr>
          <w:rFonts w:ascii="Arial" w:hAnsi="Arial" w:cs="Arial"/>
          <w:b/>
          <w:bCs/>
          <w:sz w:val="24"/>
          <w:szCs w:val="24"/>
        </w:rPr>
        <w:t>t</w:t>
      </w:r>
      <w:r w:rsidR="003F6578" w:rsidRPr="003A3FB2">
        <w:rPr>
          <w:rFonts w:ascii="Arial" w:hAnsi="Arial" w:cs="Arial"/>
          <w:b/>
          <w:bCs/>
          <w:sz w:val="24"/>
          <w:szCs w:val="24"/>
        </w:rPr>
        <w:t>ierra</w:t>
      </w:r>
    </w:p>
    <w:p w14:paraId="42F18782" w14:textId="77777777" w:rsidR="003A3FB2" w:rsidRPr="003A3FB2" w:rsidRDefault="003F6578" w:rsidP="003A3FB2">
      <w:pPr>
        <w:spacing w:before="240" w:line="360" w:lineRule="auto"/>
        <w:jc w:val="both"/>
        <w:rPr>
          <w:rFonts w:ascii="Arial" w:hAnsi="Arial" w:cs="Arial"/>
          <w:b/>
          <w:bCs/>
          <w:sz w:val="24"/>
          <w:szCs w:val="24"/>
        </w:rPr>
      </w:pPr>
      <w:r w:rsidRPr="003A3FB2">
        <w:rPr>
          <w:rFonts w:ascii="Arial" w:hAnsi="Arial" w:cs="Arial"/>
          <w:b/>
          <w:bCs/>
          <w:sz w:val="24"/>
          <w:szCs w:val="24"/>
        </w:rPr>
        <w:t xml:space="preserve">Introducción. </w:t>
      </w:r>
    </w:p>
    <w:p w14:paraId="13CF434F" w14:textId="5E998789"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marco constitucional del derecho agrario cubano</w:t>
      </w:r>
    </w:p>
    <w:p w14:paraId="605AEF94" w14:textId="2CA15F2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derecho agrario cubano parte de un principio esencial: la tierra cumple una función social, y quien la posee o la trabaja lo hace condicionado a su buen aprovechamiento. La Constitución de la República de Cuba reconoce diversas formas de propiedad (estatal, cooperativa y privada), todas las cuales deben servir al desarrollo económico y social.</w:t>
      </w:r>
    </w:p>
    <w:p w14:paraId="07A529B8"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Tema IV: El Objeto de la Relación Jurídica Agraria</w:t>
      </w:r>
    </w:p>
    <w:p w14:paraId="7B050F77"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 relación jurídica agraria tiene como elemento central el objeto: los bienes sobre los cuales recaen derechos y obligaciones.</w:t>
      </w:r>
    </w:p>
    <w:p w14:paraId="0C28C597"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1. La tierra como objeto principal</w:t>
      </w:r>
    </w:p>
    <w:p w14:paraId="56F752BF"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 tierra es el medio fundamental de producción en la agricultura. Según el Decreto-Ley 125/1991, a los efectos legales se entiende por “tierra” las que fueron declaradas rústicas en 1959, las destinadas a la explotación agropecuaria y forestal, y las de origen rústico ubicadas dentro de asentamientos poblacionales si su área excede los 800 metros cuadrados.</w:t>
      </w:r>
    </w:p>
    <w:p w14:paraId="30DE225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Los bienes agropecuarios comprenden los animales, instalaciones, plantaciones, equipos, instrumentos de producción y las viviendas ubicadas en la tierra del agricultor pequeño.</w:t>
      </w:r>
    </w:p>
    <w:p w14:paraId="7E5C906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2. Principios que rigen el uso y aprovechamiento de la tierra</w:t>
      </w:r>
    </w:p>
    <w:p w14:paraId="401DCCD7" w14:textId="77777777" w:rsidR="003F6578" w:rsidRPr="003A3FB2" w:rsidRDefault="003F6578" w:rsidP="003A3FB2">
      <w:pPr>
        <w:spacing w:before="240" w:line="360" w:lineRule="auto"/>
        <w:jc w:val="both"/>
        <w:rPr>
          <w:rFonts w:ascii="Arial" w:hAnsi="Arial" w:cs="Arial"/>
          <w:sz w:val="24"/>
          <w:szCs w:val="24"/>
        </w:rPr>
      </w:pPr>
    </w:p>
    <w:p w14:paraId="524817C4"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 Uso racional y sostenible: conforme a la Ley 150/2022 del Sistema de Recursos Naturales y Medio Ambiente, la tierra debe explotarse protegiendo el medio ambiente y garantizando el uso sostenible de los recursos naturales.</w:t>
      </w:r>
    </w:p>
    <w:p w14:paraId="32C494D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Función social: todas las formas de propiedad están subordinadas al interés colectivo.</w:t>
      </w:r>
    </w:p>
    <w:p w14:paraId="3A8FDA3F"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Prohibición de la ociosidad: la tierra debe ser productiva o de lo contrario puede ser retirada a su tenedor.</w:t>
      </w:r>
    </w:p>
    <w:p w14:paraId="15052A0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3. La transmisión de la tierra</w:t>
      </w:r>
    </w:p>
    <w:p w14:paraId="40EFF729"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 transmisión de la propiedad de agricultores pequeños se encuentra regulada principalmente por el Decreto-Ley 125/1991. Cualquier forma de transmisión solo puede realizarse con autorización previa del Ministerio de la Agricultura; de lo contrario es nula. La parcelación sin autorización también está prohibida.</w:t>
      </w:r>
    </w:p>
    <w:p w14:paraId="2FEC3C77"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Anteproyecto de Ley de Propiedad, Posesión y Uso de la Tierra, actualmente en proceso de análisis por los diputados, flexibiliza los actos de transmisión y actualiza disposiciones vigentes desde 1991.</w:t>
      </w:r>
    </w:p>
    <w:p w14:paraId="509CEBB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4. La jurisdicción agraria y las comisiones de asuntos agrarios</w:t>
      </w:r>
    </w:p>
    <w:p w14:paraId="65ADDEB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Las Comisiones de Asuntos Agrarios existen a nivel nacional, provincial y municipal. En primera instancia, los conflictos sobre la tierra se dirimen ante las comisiones municipales y provinciales, que constituyen la vía administrativa previa a la judicial.</w:t>
      </w:r>
    </w:p>
    <w:p w14:paraId="438E453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5. Los registros en materia agraria</w:t>
      </w:r>
    </w:p>
    <w:p w14:paraId="4A3A016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En Cuba funcionan el Registro de la Tenencia de la Tierra, el Catastro Nacional (a cargo del Instituto de Planificación Física) y otros registros sectoriales. El Ministerio de la Agricultura es el encargado de registrar el fondo de tierra agropecuaria y forestal en sus distintas formas de propiedad.</w:t>
      </w:r>
    </w:p>
    <w:p w14:paraId="1DF7700B"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6. Cooperativismo y usufructo de la tierra</w:t>
      </w:r>
    </w:p>
    <w:p w14:paraId="38920594" w14:textId="77777777" w:rsidR="003F6578" w:rsidRPr="003A3FB2" w:rsidRDefault="003F6578" w:rsidP="003A3FB2">
      <w:pPr>
        <w:spacing w:before="240" w:line="360" w:lineRule="auto"/>
        <w:jc w:val="both"/>
        <w:rPr>
          <w:rFonts w:ascii="Arial" w:hAnsi="Arial" w:cs="Arial"/>
          <w:sz w:val="24"/>
          <w:szCs w:val="24"/>
        </w:rPr>
      </w:pPr>
    </w:p>
    <w:p w14:paraId="54ECBF5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El usufructo agrario constituye una de las vías principales para poner en producción tierras estatales ociosas. El Decreto-Ley 300 autoriza la entrega de tierras estatales ociosas en usufructo gratuito y por tiempo determinado. Las personas naturales pueden recibir un máximo de 13,42 hectáreas, aunque modificaciones posteriores permitieron ampliar las áreas hasta 67,10 hectáreas. El término es de 20 años prorrogables sucesivamente para personas naturales, y por tiempo indefinido para personas jurídicas.</w:t>
      </w:r>
    </w:p>
    <w:p w14:paraId="57A8A86B"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Decreto-Ley 358/2018 vino a perfeccionar y ampliar este sistema. El usufructo se formaliza mediante contrato escrito con la entidad estatal administradora. Su extinción ocurre, entre otras causas, por fallecimiento del usufructuario, falta de explotación eficiente o incumplimiento de obligaciones.</w:t>
      </w:r>
    </w:p>
    <w:p w14:paraId="6FFBFEE3"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Habilidad Tema IV: Explicar las características específicas del objeto de la relación jurídica agraria.</w:t>
      </w:r>
    </w:p>
    <w:p w14:paraId="23394E7C" w14:textId="77777777" w:rsidR="003F6578" w:rsidRPr="003A3FB2" w:rsidRDefault="003F6578" w:rsidP="003A3FB2">
      <w:pPr>
        <w:spacing w:before="240" w:line="360" w:lineRule="auto"/>
        <w:jc w:val="both"/>
        <w:rPr>
          <w:rFonts w:ascii="Arial" w:hAnsi="Arial" w:cs="Arial"/>
          <w:sz w:val="24"/>
          <w:szCs w:val="24"/>
        </w:rPr>
      </w:pPr>
      <w:r w:rsidRPr="003A3FB2">
        <w:rPr>
          <w:rFonts w:ascii="Segoe UI Emoji" w:hAnsi="Segoe UI Emoji" w:cs="Segoe UI Emoji"/>
          <w:sz w:val="24"/>
          <w:szCs w:val="24"/>
        </w:rPr>
        <w:t>📜</w:t>
      </w:r>
      <w:r w:rsidRPr="003A3FB2">
        <w:rPr>
          <w:rFonts w:ascii="Arial" w:hAnsi="Arial" w:cs="Arial"/>
          <w:sz w:val="24"/>
          <w:szCs w:val="24"/>
        </w:rPr>
        <w:t xml:space="preserve"> Ejemplos prácticos de aplicación en el contexto cubano</w:t>
      </w:r>
    </w:p>
    <w:p w14:paraId="45CD494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1. Usufructo agrario. Un campesino en Jagüey Grande recibe 15 hectáreas de tierra estatal ociosa mediante un contrato de usufructo al amparo del Decreto-Ley 300. Debe explotarlas racionalmente durante 20 años, y al final del plazo puede solicitar prórroga si ha cumplido. Si fallece, el contrato se extingue, pero sus herederos pueden solicir nuevas tierras o continuar otras formas de tenencia.</w:t>
      </w:r>
    </w:p>
    <w:p w14:paraId="6AD7EB2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2. Registro de la Tenencia de la Tierra. El Ministerio de la Agricultura mantiene actualizado el registro que acredita la posesión legal de fincas agropecuarias; un agricultor pequeño que herede tierras debe inscribir la transmisión; de lo contrario, el acto no produce efectos frente a terceros.</w:t>
      </w:r>
    </w:p>
    <w:p w14:paraId="6DE4D2A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3. Transmisión autorizada. Una cooperativa de producción agropecuaria necesita permutar una parcela con un agricultor pequeño para lograr una integración física racional de las tierras. Ambos acuden al Ministerio de la Agricultura para solicitar la aprobación de la permuta, tal como lo exige el artículo 3 del Decreto-Ley 125.</w:t>
      </w:r>
    </w:p>
    <w:p w14:paraId="7E721706" w14:textId="77777777" w:rsidR="003F6578" w:rsidRPr="003A3FB2" w:rsidRDefault="003F6578" w:rsidP="003A3FB2">
      <w:pPr>
        <w:spacing w:before="240" w:line="360" w:lineRule="auto"/>
        <w:jc w:val="both"/>
        <w:rPr>
          <w:rFonts w:ascii="Arial" w:hAnsi="Arial" w:cs="Arial"/>
          <w:sz w:val="24"/>
          <w:szCs w:val="24"/>
        </w:rPr>
      </w:pPr>
    </w:p>
    <w:p w14:paraId="79EA3098"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4. Función social de la tierra. Un propietario decide no sembrar durante años una finca en condiciones productivas. La comisión municipal de asuntos agrarios inicia un expediente por deficiente aprovechamiento y puede recomendar la reversión de la tierra al fondo disponible del Estado.</w:t>
      </w:r>
    </w:p>
    <w:p w14:paraId="358B7542" w14:textId="77777777" w:rsidR="003F6578" w:rsidRPr="003A3FB2" w:rsidRDefault="003F6578" w:rsidP="003A3FB2">
      <w:pPr>
        <w:spacing w:before="240" w:line="360" w:lineRule="auto"/>
        <w:jc w:val="both"/>
        <w:rPr>
          <w:rFonts w:ascii="Arial" w:hAnsi="Arial" w:cs="Arial"/>
          <w:sz w:val="24"/>
          <w:szCs w:val="24"/>
        </w:rPr>
      </w:pPr>
      <w:r w:rsidRPr="003A3FB2">
        <w:rPr>
          <w:rFonts w:ascii="Segoe UI Emoji" w:hAnsi="Segoe UI Emoji" w:cs="Segoe UI Emoji"/>
          <w:sz w:val="24"/>
          <w:szCs w:val="24"/>
        </w:rPr>
        <w:t>🧩</w:t>
      </w:r>
      <w:r w:rsidRPr="003A3FB2">
        <w:rPr>
          <w:rFonts w:ascii="Arial" w:hAnsi="Arial" w:cs="Arial"/>
          <w:sz w:val="24"/>
          <w:szCs w:val="24"/>
        </w:rPr>
        <w:t xml:space="preserve"> Actividades de tarea (Tema IV)</w:t>
      </w:r>
    </w:p>
    <w:p w14:paraId="1AF8652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1: Explique cuáles son los criterios legales para definir qué se considera “tierra” a los efectos del Decreto-Ley 125/1991. ¿Qué diferencia existe entre “tierra” y “bienes agropecuarios”?</w:t>
      </w:r>
    </w:p>
    <w:p w14:paraId="4F75ED6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Según el artículo 2 del Decreto-Ley 125/1991, tierra son las declaradas rústicas en 1959, las destinadas a explotación agropecuaria y forestal, y las de origen rústico en asentamientos poblacionales con área superior a 800 m². Los bienes agropecuarios son los animales, instalaciones, plantaciones, equipos, instrumentos y viviendas ubicadas en la tierra del agricultor pequeño. La tierra es el soporte físico; los bienes agropecuarios son los elementos vinculados a su explotación.</w:t>
      </w:r>
    </w:p>
    <w:p w14:paraId="686E6B00"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2: ¿Cuál es el plazo y las condiciones para la entrega de tierras en usufructo a una persona natural según el Decreto-Ley 300 (modificado)? ¿En qué se diferencia con el usufructo para personas jurídicas?</w:t>
      </w:r>
    </w:p>
    <w:p w14:paraId="555B3232"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Para personas naturales: plazo de 20 años, prorrogables sucesivamente. La extensión máxima es de 13,42 hectáreas, ampliable hasta 67,10 hectáreas en casos excepcionales. Se entregan tierras estatales ociosas, deben explotarse racional y sosteniblemente, no pueden transferirse a terceros. Para personas jurídicas: plazo indefinido, siempre que cumplan las obligaciones pactadas.</w:t>
      </w:r>
    </w:p>
    <w:p w14:paraId="1A781B7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3: Investigue en su municipio qué funciones concretas desempeña la Comisión Municipal de Asuntos Agrarios. Proponga un conflicto hipotético sobre tenencia de la tierra que correspondería resolver en primera instancia ante esa comisión.</w:t>
      </w:r>
    </w:p>
    <w:p w14:paraId="0CC2DEA8" w14:textId="77777777" w:rsidR="003F6578" w:rsidRPr="003A3FB2" w:rsidRDefault="003F6578" w:rsidP="003A3FB2">
      <w:pPr>
        <w:spacing w:before="240" w:line="360" w:lineRule="auto"/>
        <w:jc w:val="both"/>
        <w:rPr>
          <w:rFonts w:ascii="Arial" w:hAnsi="Arial" w:cs="Arial"/>
          <w:sz w:val="24"/>
          <w:szCs w:val="24"/>
        </w:rPr>
      </w:pPr>
    </w:p>
    <w:p w14:paraId="648D9751"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 Comisión Municipal de Asuntos Agrarios conoce en primera instancia de controversias sobre límites de fincas entre agricultores pequeños, reclamaciones sobre asignaciones de tierras en usufructo que afecten derechos preexistentes, y conflictos por ocupación ilegal de tierras de pequeña extensión, entre otros asuntos. Tiene facultades para inspeccionar, conciliar y emitir resoluciones que pueden ser recurridas ante la Comisión Provincial.</w:t>
      </w:r>
    </w:p>
    <w:p w14:paraId="04157F1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4: ¿Qué cambios introduce el Anteproyecto de Ley de Propiedad, Posesión y Uso de la Tierra en materia de transmisión de la propiedad de agricultores pequeños? Fundamente su respuesta.</w:t>
      </w:r>
    </w:p>
    <w:p w14:paraId="504F3F23"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Anteproyecto flexibiliza los actos de transmisión de la propiedad sobre la tierra y bienes agropecuarios, actualizando disposiciones del Decreto-Ley 125/1991. Permite compraventa de tierras exclusivamente entre agricultores pequeños propietarios, siempre que no se fragmenten excesivamente los predios y se mantenga la función social de la tierra. Incorpora nuevas modalidades de transmisión que antes no estaban reguladas y simplifica procedimientos, aunque mantiene la autorización del Ministerio de la Agricultura para ciertos actos.</w:t>
      </w:r>
    </w:p>
    <w:p w14:paraId="5F5F884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5: ¿Para qué sirve el Catastro Nacional? Describa tres utilidades prácticas que usted como técnico en innovación agraria podría darle a la información catastral.</w:t>
      </w:r>
    </w:p>
    <w:p w14:paraId="6529C99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Tema V: Infracciones y Contravenciones en Materia Agraria</w:t>
      </w:r>
    </w:p>
    <w:p w14:paraId="1AE4BF0B"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1. Concepto y fundamento</w:t>
      </w:r>
    </w:p>
    <w:p w14:paraId="10D797B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Las infracciones en materia agraria son conductas que violan el régimen de posesión, propiedad y uso de la tierra. El Decreto Nº 203/1995 establece cuáles acciones u omisiones no constitutivas de delito se consideran contravenciones de las disposiciones legales agrarias. La función social de la propiedad exige sancionar su violación.</w:t>
      </w:r>
    </w:p>
    <w:p w14:paraId="39E51835" w14:textId="77777777" w:rsidR="003F6578" w:rsidRPr="003A3FB2" w:rsidRDefault="003F6578" w:rsidP="003A3FB2">
      <w:pPr>
        <w:spacing w:before="240" w:line="360" w:lineRule="auto"/>
        <w:jc w:val="both"/>
        <w:rPr>
          <w:rFonts w:ascii="Arial" w:hAnsi="Arial" w:cs="Arial"/>
          <w:sz w:val="24"/>
          <w:szCs w:val="24"/>
        </w:rPr>
      </w:pPr>
    </w:p>
    <w:p w14:paraId="24DE8E5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2. Principales tipos de infracciones</w:t>
      </w:r>
    </w:p>
    <w:p w14:paraId="737C3E50"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Ocupación ilegal: tomar posesión de tierras sin título legítimo.</w:t>
      </w:r>
    </w:p>
    <w:p w14:paraId="006F897D"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Abandono de la tierra: dejar de cultivar o explotar tierras productivas sin causa justificada.</w:t>
      </w:r>
    </w:p>
    <w:p w14:paraId="51FA2EC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Deficiente aprovechamiento: explotar la tierra por debajo de su capacidad, sin rendimientos económicos razonables.</w:t>
      </w:r>
    </w:p>
    <w:p w14:paraId="05E1E5F0"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Transmisión no autorizada: vender, permutar o ceder tierras sin aprobación ministerial.</w:t>
      </w:r>
    </w:p>
    <w:p w14:paraId="463ECC01"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Contravenciones registrales: no inscribir la tenencia en el Registro correspondiente.</w:t>
      </w:r>
    </w:p>
    <w:p w14:paraId="13B51434"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El abandono negligente o deficiente aprovechamiento está previsto como infracción desde la propia primera Ley de Reforma Agraria, constituyendo una causal de reversión de la tierra al Estado.</w:t>
      </w:r>
    </w:p>
    <w:p w14:paraId="14F7365F"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3. Consecuencias de las infracciones</w:t>
      </w:r>
    </w:p>
    <w:p w14:paraId="35D1BB91"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Las sanciones pueden incluir:</w:t>
      </w:r>
    </w:p>
    <w:p w14:paraId="352CBE98"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Multas administrativas.</w:t>
      </w:r>
    </w:p>
    <w:p w14:paraId="10989753"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Extinción del usufructo o revocación de la asignación.</w:t>
      </w:r>
    </w:p>
    <w:p w14:paraId="48F21747"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Devolución de la tierra al fondo estatal.</w:t>
      </w:r>
    </w:p>
    <w:p w14:paraId="0A73ED9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En casos graves, confiscación de tierras y bienes agropecuarios.</w:t>
      </w:r>
    </w:p>
    <w:p w14:paraId="799B0F74"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Habilidad Tema V: Aplicar las disposiciones jurídicas correspondientes a casos concretos relacionados con infracciones y contravenciones en materia agraria.</w:t>
      </w:r>
    </w:p>
    <w:p w14:paraId="1402FB51" w14:textId="77777777" w:rsidR="003F6578" w:rsidRPr="003A3FB2" w:rsidRDefault="003F6578" w:rsidP="003A3FB2">
      <w:pPr>
        <w:spacing w:before="240" w:line="360" w:lineRule="auto"/>
        <w:jc w:val="both"/>
        <w:rPr>
          <w:rFonts w:ascii="Arial" w:hAnsi="Arial" w:cs="Arial"/>
          <w:sz w:val="24"/>
          <w:szCs w:val="24"/>
        </w:rPr>
      </w:pPr>
      <w:r w:rsidRPr="003A3FB2">
        <w:rPr>
          <w:rFonts w:ascii="Segoe UI Emoji" w:hAnsi="Segoe UI Emoji" w:cs="Segoe UI Emoji"/>
          <w:sz w:val="24"/>
          <w:szCs w:val="24"/>
        </w:rPr>
        <w:t>📜</w:t>
      </w:r>
      <w:r w:rsidRPr="003A3FB2">
        <w:rPr>
          <w:rFonts w:ascii="Arial" w:hAnsi="Arial" w:cs="Arial"/>
          <w:sz w:val="24"/>
          <w:szCs w:val="24"/>
        </w:rPr>
        <w:t xml:space="preserve"> Ejemplos prácticos de aplicación en el contexto cubano</w:t>
      </w:r>
    </w:p>
    <w:p w14:paraId="539C09B3"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xml:space="preserve">Ejemplo 1. Ocupación ilegal. Una persona instala una vivienda y cría animales en una parcela aledaña a su finca, en terrenos que pertenecen al Estado, sin haber solicitado </w:t>
      </w:r>
      <w:r w:rsidRPr="003A3FB2">
        <w:rPr>
          <w:rFonts w:ascii="Arial" w:hAnsi="Arial" w:cs="Arial"/>
          <w:sz w:val="24"/>
          <w:szCs w:val="24"/>
        </w:rPr>
        <w:lastRenderedPageBreak/>
        <w:t>usufructo. La comisión municipal de asuntos agrarios, a instancia del delegado de la circunscripción, ordena el desalojo y aplica una multa conforme al Decreto Nº 203. Si la ocupación es violenta, puede constituir delito.</w:t>
      </w:r>
    </w:p>
    <w:p w14:paraId="6B224500"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2. Abandono y deficiente aprovechamiento. Una UBPC recibe 300 hectáreas en usufructo pero solo cultiva activamente 50 hectáreas, dejando el resto en barbecho permanente sin justificación técnica. La empresa otorgante inicia un expediente por deficiente aprovechamiento, y previa comprobación por el MINAG, se extingue el usufructo sobre las hectáreas ociosas, que pasan al fondo disponible para reasignación.</w:t>
      </w:r>
    </w:p>
    <w:p w14:paraId="3F1D524D"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3. Transmisión ilegal. Un agricultor pequeño vende informalmente 5 hectáreas de su propiedad a un vecino, sin solicitar autorización al Ministerio de la Agricultura. El acto es nulo de pleno derecho; las autoridades agrarias pueden declarar la nulidad y recuperar la tierra para el fondo estatal, además de imponer una sanción administrativa al vendedor y al comprador.</w:t>
      </w:r>
    </w:p>
    <w:p w14:paraId="724981BE"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4. Falta de inscripción registral. Un tenedor de tierras en usufructo desde hace varios años nunca inscribió su posesión en el Registro de la Tenencia de la Tierra. Al fallecer, sus herederos no pueden acreditar la existencia del usufructo, generando conflictos sucesorios. La demora en la inscripción constituye una contravención sancionable con multa.</w:t>
      </w:r>
    </w:p>
    <w:p w14:paraId="5D77BE9D"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Ejemplo 5. Ociosidad en usufructo. Una cooperativa recibe tierras en usufructo mediante Decreto-Ley 358, pero transcurren 24 meses sin que se haya sembrado ni realizado obras productivas. La entidad otorgante puede declarar la extinción del usufructo y la tierra retorna al fondo de tierras ociosas para entregarla a otro productor.</w:t>
      </w:r>
    </w:p>
    <w:p w14:paraId="6E8CDBE4" w14:textId="77777777" w:rsidR="003F6578" w:rsidRPr="003A3FB2" w:rsidRDefault="003F6578" w:rsidP="003A3FB2">
      <w:pPr>
        <w:spacing w:before="240" w:line="360" w:lineRule="auto"/>
        <w:jc w:val="both"/>
        <w:rPr>
          <w:rFonts w:ascii="Arial" w:hAnsi="Arial" w:cs="Arial"/>
          <w:sz w:val="24"/>
          <w:szCs w:val="24"/>
        </w:rPr>
      </w:pPr>
      <w:r w:rsidRPr="003A3FB2">
        <w:rPr>
          <w:rFonts w:ascii="Segoe UI Emoji" w:hAnsi="Segoe UI Emoji" w:cs="Segoe UI Emoji"/>
          <w:sz w:val="24"/>
          <w:szCs w:val="24"/>
        </w:rPr>
        <w:t>🧩</w:t>
      </w:r>
      <w:r w:rsidRPr="003A3FB2">
        <w:rPr>
          <w:rFonts w:ascii="Arial" w:hAnsi="Arial" w:cs="Arial"/>
          <w:sz w:val="24"/>
          <w:szCs w:val="24"/>
        </w:rPr>
        <w:t xml:space="preserve"> Actividades de tarea (Tema V)</w:t>
      </w:r>
    </w:p>
    <w:p w14:paraId="29EB0150"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1: ¿Cuál es la diferencia conceptual entre un “delito agrario” y una “contravención agraria” en el ordenamiento jurídico cubano? ¿Ante qué autoridad se tramita cada uno?</w:t>
      </w:r>
    </w:p>
    <w:p w14:paraId="379E303B" w14:textId="77777777" w:rsidR="003F6578" w:rsidRPr="003A3FB2" w:rsidRDefault="003F6578" w:rsidP="003A3FB2">
      <w:pPr>
        <w:spacing w:before="240" w:line="360" w:lineRule="auto"/>
        <w:jc w:val="both"/>
        <w:rPr>
          <w:rFonts w:ascii="Arial" w:hAnsi="Arial" w:cs="Arial"/>
          <w:sz w:val="24"/>
          <w:szCs w:val="24"/>
        </w:rPr>
      </w:pPr>
    </w:p>
    <w:p w14:paraId="7E9A5D2C"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El delito agrario es una conducta penalmente tipificada (ej. hurto de cosechas, daños a plantaciones) que se tramita ante tribunales penales y puede conllevar prisión. La contravención es una violación administrativa del régimen de uso de la tierra no constitutiva de delito, regulada por el Decreto Nº 203/1995, que se tramita ante las comisiones de asuntos agrarios u otras autoridades administrativas y solo conlleva sanciones no privativas de libertad (multa, extinción de usufructo, reversión de tierras).</w:t>
      </w:r>
    </w:p>
    <w:p w14:paraId="0EC54C01"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2: Investigue en su provincia un caso real (difundido en prensa o conocido por experiencia profesional) donde se haya producido la reversión de tierras por abandono o deficiente aprovechamiento. Describa las circunstancias y las consecuencias jurídicas aplicadas.</w:t>
      </w:r>
    </w:p>
    <w:p w14:paraId="4C3AF47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3: Un productor recibe 10 hectáreas en usufructo, cultiva solo 3 hectáreas y el resto lo mantiene improductivo por dos años consecutivos. ¿Qué tipo de infracción ha cometido? ¿Qué procedimiento debe iniciar la autoridad agraria y qué sanción puede aplicarse? Argumente con las normas correspondientes.</w:t>
      </w:r>
    </w:p>
    <w:p w14:paraId="046C5712"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Ha cometido la infracción por deficiente aprovechamiento de la tierra, prevista en el inciso a) del artículo 9 del Decreto-Ley 125 y regulada como contravención por el Decreto Nº 203. La autoridad agraria (entidad otorgante o comisión municipal) debe comprobar la ociosidad, levantar acta y notificar al usufructuario, concediendo un plazo para justificar o subsanar. Si no subsana, puede extinguirse el usufructo sobre las tierras ociosas, que revierten al fondo estatal para reasignación, además de aplicarse multa.</w:t>
      </w:r>
    </w:p>
    <w:p w14:paraId="4E8D12DB"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4: ¿Cuál es la regulación actual en Cuba sobre la confiscación de tierras por infracciones agrarias? ¿En qué normas se fundamenta y qué conductas la originan?</w:t>
      </w:r>
    </w:p>
    <w:p w14:paraId="021707C2"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Pregunta 5: Un tenedor de tierras decide no pagar el impuesto por la tenencia durante varios años. ¿Constituye esto una infracción de las reguladas en el Decreto Nº 203? ¿Qué autoridades intervienen y qué procedimiento se sigue?</w:t>
      </w:r>
    </w:p>
    <w:p w14:paraId="5089766E" w14:textId="45CC2280" w:rsidR="003F6578" w:rsidRPr="003A3FB2" w:rsidRDefault="003F6578" w:rsidP="003A3FB2">
      <w:pPr>
        <w:spacing w:before="240" w:line="360" w:lineRule="auto"/>
        <w:jc w:val="both"/>
        <w:rPr>
          <w:rFonts w:ascii="Arial" w:hAnsi="Arial" w:cs="Arial"/>
          <w:b/>
          <w:bCs/>
          <w:sz w:val="24"/>
          <w:szCs w:val="24"/>
        </w:rPr>
      </w:pPr>
      <w:r w:rsidRPr="003A3FB2">
        <w:rPr>
          <w:rFonts w:ascii="Arial" w:hAnsi="Arial" w:cs="Arial"/>
          <w:b/>
          <w:bCs/>
          <w:sz w:val="24"/>
          <w:szCs w:val="24"/>
        </w:rPr>
        <w:t xml:space="preserve">Conclusiones </w:t>
      </w:r>
    </w:p>
    <w:p w14:paraId="154E652D"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Hemos recorrido esta sesión dos aspectos medulares del derecho agrario cubano: el objeto de la relación jurídica agraria, centrado en la tierra y los bienes vinculados a ella, con sus principios de uso, sus formas de transmisión, el sistema registral y las vías de acceso como el usufructo y el cooperativismo; y el régimen de infracciones, que establece las conductas violatorias y las consecuencias para quienes no cumplen con la función social de la tierra.</w:t>
      </w:r>
    </w:p>
    <w:p w14:paraId="4CCCEB8B"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La tierra en Cuba no es una mera mercancía sino un medio de producción al servicio del desarrollo socialista. Su buen uso, su correcta transmisión y el combate a la ociosidad son obligaciones de todos los actores agrarios. Como innovadores, deben conocer estas normas para asesorar a productores, gestionar expedientes de usufructo y contribuir al ordenamiento de la tenencia en sus comunidades.</w:t>
      </w:r>
    </w:p>
    <w:p w14:paraId="63FA51F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Los invito a seguir profundizando en estas materias, consultando las fuentes originales: el Decreto-Ley 125, el Decreto-Ley 300 y su Reglamento, el Decreto Nº 203 y el Anteproyecto de Ley de Tierras en discusión. Estas normas son herramientas esenciales para transformar la agricultura cubana con bases sólidas de legalidad y justicia.</w:t>
      </w:r>
    </w:p>
    <w:p w14:paraId="352D19D2"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Fuentes básicas de consulta (desde el punto de vista del derecho agrario cubano):</w:t>
      </w:r>
    </w:p>
    <w:p w14:paraId="3ED989D2"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Constitución de la República de Cuba (2019).</w:t>
      </w:r>
    </w:p>
    <w:p w14:paraId="3A8905BF"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Decreto-Ley 125/1991. Régimen de posesión, propiedad y herencia de la tierra y bienes agropecuarios.</w:t>
      </w:r>
    </w:p>
    <w:p w14:paraId="35AE3CAA"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Decreto-Ley 300/2012. Sobre la entrega de tierras estatales ociosas en usufructo (modificado).</w:t>
      </w:r>
    </w:p>
    <w:p w14:paraId="785A1C26"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Decreto-Ley 358/2018 (perfeccionamiento del sistema de usufructo).</w:t>
      </w:r>
    </w:p>
    <w:p w14:paraId="33F6C834"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Decreto Nº 203/1995. Contravenciones del régimen de posesión, propiedad y herencia de la tierra.</w:t>
      </w:r>
    </w:p>
    <w:p w14:paraId="1D6B4A09" w14:textId="77777777" w:rsidR="003F6578"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t>· Ley Nº 150/2022. Del Sistema de Recursos Naturales y Medio Ambiente.</w:t>
      </w:r>
    </w:p>
    <w:p w14:paraId="41E45048" w14:textId="3803F843" w:rsidR="009324A6" w:rsidRPr="003A3FB2" w:rsidRDefault="003F6578" w:rsidP="003A3FB2">
      <w:pPr>
        <w:spacing w:before="240" w:line="360" w:lineRule="auto"/>
        <w:jc w:val="both"/>
        <w:rPr>
          <w:rFonts w:ascii="Arial" w:hAnsi="Arial" w:cs="Arial"/>
          <w:sz w:val="24"/>
          <w:szCs w:val="24"/>
        </w:rPr>
      </w:pPr>
      <w:r w:rsidRPr="003A3FB2">
        <w:rPr>
          <w:rFonts w:ascii="Arial" w:hAnsi="Arial" w:cs="Arial"/>
          <w:sz w:val="24"/>
          <w:szCs w:val="24"/>
        </w:rPr>
        <w:lastRenderedPageBreak/>
        <w:t>· Anteproyecto de Ley de Propiedad, Posesión y Uso de la Tierra (en análisis parlamentario).</w:t>
      </w:r>
    </w:p>
    <w:sectPr w:rsidR="009324A6" w:rsidRPr="003A3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4A6"/>
    <w:rsid w:val="003A3FB2"/>
    <w:rsid w:val="003C7559"/>
    <w:rsid w:val="003F6578"/>
    <w:rsid w:val="006E4863"/>
    <w:rsid w:val="00875B03"/>
    <w:rsid w:val="009324A6"/>
    <w:rsid w:val="0097316F"/>
    <w:rsid w:val="00EA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48157"/>
  <w15:docId w15:val="{A7C9896A-B99F-4E49-94C4-78C34FC5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3C7559"/>
    <w:rPr>
      <w:sz w:val="16"/>
      <w:szCs w:val="16"/>
    </w:rPr>
  </w:style>
  <w:style w:type="paragraph" w:styleId="Textocomentario">
    <w:name w:val="annotation text"/>
    <w:basedOn w:val="Normal"/>
    <w:link w:val="TextocomentarioCar"/>
    <w:uiPriority w:val="99"/>
    <w:semiHidden/>
    <w:unhideWhenUsed/>
    <w:rsid w:val="003C7559"/>
    <w:rPr>
      <w:sz w:val="20"/>
      <w:szCs w:val="20"/>
    </w:rPr>
  </w:style>
  <w:style w:type="character" w:customStyle="1" w:styleId="TextocomentarioCar">
    <w:name w:val="Texto comentario Car"/>
    <w:basedOn w:val="Fuentedeprrafopredeter"/>
    <w:link w:val="Textocomentario"/>
    <w:uiPriority w:val="99"/>
    <w:semiHidden/>
    <w:rsid w:val="003C7559"/>
  </w:style>
  <w:style w:type="paragraph" w:styleId="Asuntodelcomentario">
    <w:name w:val="annotation subject"/>
    <w:basedOn w:val="Textocomentario"/>
    <w:next w:val="Textocomentario"/>
    <w:link w:val="AsuntodelcomentarioCar"/>
    <w:uiPriority w:val="99"/>
    <w:semiHidden/>
    <w:unhideWhenUsed/>
    <w:rsid w:val="003C7559"/>
    <w:rPr>
      <w:b/>
      <w:bCs/>
    </w:rPr>
  </w:style>
  <w:style w:type="character" w:customStyle="1" w:styleId="AsuntodelcomentarioCar">
    <w:name w:val="Asunto del comentario Car"/>
    <w:link w:val="Asuntodelcomentario"/>
    <w:uiPriority w:val="99"/>
    <w:semiHidden/>
    <w:rsid w:val="003C7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2431</Words>
  <Characters>13375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dc:creator>
  <cp:lastModifiedBy>COMUNICACION</cp:lastModifiedBy>
  <cp:revision>7</cp:revision>
  <dcterms:created xsi:type="dcterms:W3CDTF">2026-03-27T23:47:00Z</dcterms:created>
  <dcterms:modified xsi:type="dcterms:W3CDTF">2026-04-25T03:10:00Z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cc612cae52c44789b827f240881ec4ad</vt:lpwstr>
  </property>
</Properties>
</file>