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jc w:val="both"/>
        <w:rPr>
          <w:szCs w:val="24"/>
        </w:rPr>
      </w:pPr>
      <w:r>
        <w:rPr>
          <w:szCs w:val="24"/>
        </w:rPr>
        <w:t>MINISTERIO DE EDUCACIÓN SUPERIOR</w:t>
      </w:r>
    </w:p>
    <w:p>
      <w:pPr>
        <w:pStyle w:val="style0"/>
        <w:rPr>
          <w:b/>
        </w:rPr>
      </w:pPr>
      <w:r>
        <w:rPr>
          <w:b/>
        </w:rPr>
        <w:t xml:space="preserve">FACULTAD DE </w:t>
      </w:r>
      <w:r>
        <w:rPr>
          <w:b/>
        </w:rPr>
        <w:t>CIENCIAS SOCIALES Y HUMANISTICAS</w:t>
      </w:r>
      <w:r>
        <w:rPr>
          <w:b/>
        </w:rPr>
        <w:t xml:space="preserve">. UNIVERSIDAD DE </w:t>
      </w:r>
      <w:r>
        <w:rPr>
          <w:b/>
        </w:rPr>
        <w:t>ARTEMISA ´´JULIO DÍAZ GONZÁLES´´</w:t>
      </w:r>
    </w:p>
    <w:p>
      <w:pPr>
        <w:pStyle w:val="style0"/>
        <w:rPr>
          <w:b/>
        </w:rPr>
      </w:pPr>
      <w:r>
        <w:rPr>
          <w:b/>
        </w:rPr>
        <w:t xml:space="preserve">DEPARTAMENTO DE </w:t>
      </w:r>
      <w:r>
        <w:rPr>
          <w:b/>
        </w:rPr>
        <w:t>CIENCIAS JURÍDICAS</w:t>
      </w:r>
    </w:p>
    <w:p>
      <w:pPr>
        <w:pStyle w:val="style0"/>
        <w:rPr/>
      </w:pPr>
      <w:r>
        <w:rPr>
          <w:b/>
        </w:rPr>
        <w:t xml:space="preserve">PLAN DE ESTUDIOS </w:t>
      </w:r>
      <w:r>
        <w:rPr>
          <w:b/>
        </w:rPr>
        <w:t>E</w:t>
      </w:r>
      <w:r>
        <w:rPr>
          <w:b/>
        </w:rPr>
        <w:t xml:space="preserve">. </w:t>
      </w:r>
    </w:p>
    <w:p>
      <w:pPr>
        <w:pStyle w:val="style0"/>
        <w:rPr>
          <w:b/>
        </w:rPr>
      </w:pPr>
      <w:r>
        <w:rPr>
          <w:b/>
        </w:rPr>
        <w:t xml:space="preserve">ASIGNATURA: </w:t>
      </w:r>
      <w:r>
        <w:rPr>
          <w:b/>
          <w:iCs/>
          <w:lang w:val="es-ES"/>
        </w:rPr>
        <w:t xml:space="preserve">Derecho </w:t>
      </w:r>
      <w:r>
        <w:rPr>
          <w:b/>
          <w:iCs/>
          <w:lang w:val="en-US"/>
        </w:rPr>
        <w:t xml:space="preserve">Procesal Constitucional </w:t>
      </w:r>
    </w:p>
    <w:p>
      <w:pPr>
        <w:pStyle w:val="style0"/>
        <w:rPr>
          <w:b/>
        </w:rPr>
      </w:pPr>
      <w:r>
        <w:rPr>
          <w:b/>
        </w:rPr>
        <w:t xml:space="preserve">DISCIPLINA: </w:t>
      </w:r>
      <w:r>
        <w:rPr>
          <w:b/>
          <w:lang w:val="en-US"/>
        </w:rPr>
        <w:t xml:space="preserve">Derecho Procesal </w:t>
      </w:r>
    </w:p>
    <w:p>
      <w:pPr>
        <w:pStyle w:val="style0"/>
        <w:rPr>
          <w:b/>
        </w:rPr>
      </w:pPr>
      <w:r>
        <w:rPr>
          <w:b/>
        </w:rPr>
        <w:t>CARRERA: DERECHO</w:t>
      </w:r>
    </w:p>
    <w:p>
      <w:pPr>
        <w:pStyle w:val="style0"/>
        <w:rPr>
          <w:b/>
          <w:lang w:val="pt-PT"/>
        </w:rPr>
      </w:pPr>
      <w:r>
        <w:rPr>
          <w:b/>
          <w:bCs/>
          <w:lang w:val="pt-PT"/>
        </w:rPr>
        <w:t xml:space="preserve">TIPO DE CURSO: </w:t>
      </w:r>
      <w:r>
        <w:rPr>
          <w:b/>
          <w:lang w:val="pt-PT"/>
        </w:rPr>
        <w:t xml:space="preserve">CURSO </w:t>
      </w:r>
      <w:r>
        <w:rPr>
          <w:b/>
          <w:lang w:val="en-US"/>
        </w:rPr>
        <w:t>Re</w:t>
      </w:r>
      <w:r>
        <w:rPr>
          <w:b/>
          <w:lang w:val="en-US"/>
        </w:rPr>
        <w:t>gular Di</w:t>
      </w:r>
      <w:r>
        <w:rPr>
          <w:b/>
          <w:lang w:val="en-US"/>
        </w:rPr>
        <w:t xml:space="preserve">urno </w:t>
      </w:r>
    </w:p>
    <w:p>
      <w:pPr>
        <w:pStyle w:val="style0"/>
        <w:rPr>
          <w:b/>
          <w:bCs/>
          <w:lang w:val="es-ES_tradnl"/>
        </w:rPr>
      </w:pPr>
      <w:r>
        <w:rPr>
          <w:b/>
          <w:bCs/>
          <w:lang w:val="es-ES_tradnl"/>
        </w:rPr>
        <w:t>UBICACIÓN EN EL PLAN DE ESTUDIO:</w:t>
      </w:r>
      <w:r>
        <w:rPr>
          <w:b/>
          <w:bCs/>
          <w:lang w:val="es-ES_tradnl"/>
        </w:rPr>
        <w:t xml:space="preserve"> </w:t>
      </w:r>
      <w:r>
        <w:rPr>
          <w:b/>
          <w:bCs/>
          <w:lang w:val="en-US"/>
        </w:rPr>
        <w:t>2 d</w:t>
      </w:r>
      <w:r>
        <w:rPr>
          <w:b/>
          <w:bCs/>
          <w:lang w:val="en-US"/>
        </w:rPr>
        <w:t>o</w:t>
      </w:r>
      <w:r>
        <w:rPr>
          <w:b/>
          <w:bCs/>
          <w:lang w:val="es-ES_tradnl"/>
        </w:rPr>
        <w:t xml:space="preserve"> </w:t>
      </w:r>
      <w:bookmarkStart w:id="0" w:name="_GoBack"/>
      <w:bookmarkEnd w:id="0"/>
      <w:r>
        <w:rPr>
          <w:b/>
          <w:bCs/>
          <w:lang w:val="es-ES_tradnl"/>
        </w:rPr>
        <w:t xml:space="preserve">año, </w:t>
      </w:r>
      <w:r>
        <w:rPr>
          <w:b/>
          <w:bCs/>
          <w:lang w:val="en-US"/>
        </w:rPr>
        <w:t>2 do</w:t>
      </w:r>
      <w:r>
        <w:rPr>
          <w:b/>
          <w:bCs/>
          <w:lang w:val="es-ES_tradnl"/>
        </w:rPr>
        <w:t xml:space="preserve"> periodo </w:t>
      </w:r>
    </w:p>
    <w:p>
      <w:pPr>
        <w:pStyle w:val="style0"/>
        <w:rPr>
          <w:b/>
        </w:rPr>
      </w:pPr>
      <w:r>
        <w:rPr>
          <w:b/>
        </w:rPr>
        <w:t>FONDO DE TIEMPO</w:t>
      </w:r>
      <w:r>
        <w:rPr>
          <w:b/>
        </w:rPr>
        <w:t xml:space="preserve"> TOTAL</w:t>
      </w:r>
      <w:r>
        <w:rPr>
          <w:b/>
        </w:rPr>
        <w:t xml:space="preserve">: </w:t>
      </w:r>
    </w:p>
    <w:p>
      <w:pPr>
        <w:pStyle w:val="style0"/>
        <w:rPr>
          <w:bCs/>
          <w:lang w:val="es-MX"/>
        </w:rPr>
      </w:pPr>
      <w:r>
        <w:rPr>
          <w:b/>
          <w:bCs/>
          <w:lang w:val="es-MX"/>
        </w:rPr>
        <w:t>FORMA ORGANIZATIVA DE ENSEÑANZA:</w:t>
      </w:r>
      <w:r>
        <w:rPr>
          <w:bCs/>
          <w:lang w:val="es-MX"/>
        </w:rPr>
        <w:t xml:space="preserve"> </w:t>
      </w:r>
      <w:r>
        <w:rPr>
          <w:bCs/>
          <w:lang w:val="en-US"/>
        </w:rPr>
        <w:t>Conferencia</w:t>
      </w:r>
      <w:r>
        <w:rPr>
          <w:bCs/>
          <w:lang w:val="en-US"/>
        </w:rPr>
        <w:t>, Seminario y Taller</w:t>
      </w:r>
    </w:p>
    <w:p>
      <w:pPr>
        <w:pStyle w:val="style0"/>
        <w:rPr>
          <w:b/>
          <w:iCs/>
          <w:lang w:val="es-ES"/>
        </w:rPr>
      </w:pPr>
      <w:r>
        <w:rPr>
          <w:b/>
          <w:bCs/>
          <w:lang w:val="es-MX"/>
        </w:rPr>
        <w:t>FONDO DE TIEMPO POR FORMAS ORGANIZATIVAS DE ENSEÑANZA:</w:t>
      </w:r>
    </w:p>
    <w:p>
      <w:pPr>
        <w:pStyle w:val="style0"/>
        <w:rPr>
          <w:b/>
          <w:bCs/>
        </w:rPr>
      </w:pPr>
    </w:p>
    <w:p>
      <w:pPr>
        <w:pStyle w:val="style0"/>
        <w:rPr>
          <w:b/>
          <w:bCs/>
        </w:rPr>
      </w:pPr>
      <w:r>
        <w:rPr>
          <w:b/>
          <w:bCs/>
        </w:rPr>
        <w:t>DATOS PRELIMINARES</w:t>
      </w:r>
    </w:p>
    <w:p>
      <w:pPr>
        <w:pStyle w:val="style0"/>
        <w:rPr>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7"/>
        <w:gridCol w:w="497"/>
        <w:gridCol w:w="636"/>
        <w:gridCol w:w="656"/>
        <w:gridCol w:w="777"/>
        <w:gridCol w:w="677"/>
        <w:gridCol w:w="716"/>
      </w:tblGrid>
      <w:tr>
        <w:trPr>
          <w:trHeight w:val="373" w:hRule="atLeast"/>
        </w:trPr>
        <w:tc>
          <w:tcPr>
            <w:tcW w:w="8996" w:type="dxa"/>
            <w:gridSpan w:val="7"/>
            <w:tcBorders/>
          </w:tcPr>
          <w:p>
            <w:pPr>
              <w:pStyle w:val="style0"/>
              <w:rPr>
                <w:b/>
              </w:rPr>
            </w:pPr>
            <w:r>
              <w:rPr>
                <w:b/>
              </w:rPr>
              <w:t>Curso por Encuentros</w:t>
            </w:r>
          </w:p>
        </w:tc>
      </w:tr>
      <w:tr>
        <w:tblPrEx>
          <w:tblLook w:val="04A0" w:firstRow="1" w:lastRow="0" w:firstColumn="1" w:lastColumn="0" w:noHBand="0" w:noVBand="1"/>
          <w:tblCellMar>
            <w:left w:w="108" w:type="dxa"/>
            <w:right w:w="108" w:type="dxa"/>
          </w:tblCellMar>
        </w:tblPrEx>
        <w:trPr>
          <w:trHeight w:val="411" w:hRule="atLeast"/>
        </w:trPr>
        <w:tc>
          <w:tcPr>
            <w:tcW w:w="5037" w:type="dxa"/>
            <w:tcBorders>
              <w:top w:val="single" w:sz="4" w:space="0" w:color="auto"/>
              <w:left w:val="single" w:sz="4" w:space="0" w:color="auto"/>
              <w:bottom w:val="single" w:sz="4" w:space="0" w:color="auto"/>
              <w:right w:val="single" w:sz="4" w:space="0" w:color="auto"/>
            </w:tcBorders>
            <w:hideMark/>
          </w:tcPr>
          <w:p>
            <w:pPr>
              <w:pStyle w:val="style0"/>
              <w:rPr/>
            </w:pPr>
            <w:r>
              <w:rPr>
                <w:b/>
                <w:bCs/>
              </w:rPr>
              <w:t xml:space="preserve">Temas </w:t>
            </w:r>
          </w:p>
        </w:tc>
        <w:tc>
          <w:tcPr>
            <w:tcW w:w="496" w:type="dxa"/>
            <w:tcBorders>
              <w:top w:val="single" w:sz="4" w:space="0" w:color="auto"/>
              <w:left w:val="single" w:sz="4" w:space="0" w:color="auto"/>
              <w:bottom w:val="single" w:sz="4" w:space="0" w:color="auto"/>
              <w:right w:val="single" w:sz="4" w:space="0" w:color="auto"/>
            </w:tcBorders>
            <w:hideMark/>
          </w:tcPr>
          <w:p>
            <w:pPr>
              <w:pStyle w:val="style0"/>
              <w:rPr>
                <w:b/>
              </w:rPr>
            </w:pPr>
            <w:r>
              <w:rPr>
                <w:b/>
              </w:rPr>
              <w:t>H.</w:t>
            </w:r>
          </w:p>
        </w:tc>
        <w:tc>
          <w:tcPr>
            <w:tcW w:w="636" w:type="dxa"/>
            <w:tcBorders>
              <w:top w:val="single" w:sz="4" w:space="0" w:color="auto"/>
              <w:left w:val="single" w:sz="4" w:space="0" w:color="auto"/>
              <w:bottom w:val="single" w:sz="4" w:space="0" w:color="auto"/>
              <w:right w:val="single" w:sz="4" w:space="0" w:color="auto"/>
            </w:tcBorders>
            <w:hideMark/>
          </w:tcPr>
          <w:p>
            <w:pPr>
              <w:pStyle w:val="style0"/>
              <w:rPr>
                <w:b/>
              </w:rPr>
            </w:pPr>
            <w:r>
              <w:rPr>
                <w:b/>
              </w:rPr>
              <w:t>C.E.</w:t>
            </w:r>
          </w:p>
        </w:tc>
        <w:tc>
          <w:tcPr>
            <w:tcW w:w="656" w:type="dxa"/>
            <w:tcBorders>
              <w:top w:val="single" w:sz="4" w:space="0" w:color="auto"/>
              <w:left w:val="single" w:sz="4" w:space="0" w:color="auto"/>
              <w:right w:val="single" w:sz="4" w:space="0" w:color="auto"/>
            </w:tcBorders>
          </w:tcPr>
          <w:p>
            <w:pPr>
              <w:pStyle w:val="style0"/>
              <w:rPr/>
            </w:pPr>
            <w:r>
              <w:rPr>
                <w:b/>
                <w:bCs/>
              </w:rPr>
              <w:t>C.P.</w:t>
            </w:r>
          </w:p>
        </w:tc>
        <w:tc>
          <w:tcPr>
            <w:tcW w:w="776" w:type="dxa"/>
            <w:tcBorders>
              <w:top w:val="single" w:sz="4" w:space="0" w:color="auto"/>
              <w:left w:val="single" w:sz="4" w:space="0" w:color="auto"/>
              <w:bottom w:val="single" w:sz="4" w:space="0" w:color="auto"/>
              <w:right w:val="single" w:sz="4" w:space="0" w:color="auto"/>
            </w:tcBorders>
            <w:hideMark/>
          </w:tcPr>
          <w:p>
            <w:pPr>
              <w:pStyle w:val="style0"/>
              <w:rPr/>
            </w:pPr>
            <w:r>
              <w:rPr>
                <w:b/>
                <w:bCs/>
              </w:rPr>
              <w:t>Sem</w:t>
            </w:r>
            <w:r>
              <w:rPr>
                <w:b/>
                <w:bCs/>
              </w:rPr>
              <w:t>.</w:t>
            </w:r>
          </w:p>
        </w:tc>
        <w:tc>
          <w:tcPr>
            <w:tcW w:w="676" w:type="dxa"/>
            <w:tcBorders>
              <w:top w:val="single" w:sz="4" w:space="0" w:color="auto"/>
              <w:left w:val="single" w:sz="4" w:space="0" w:color="auto"/>
              <w:bottom w:val="single" w:sz="4" w:space="0" w:color="auto"/>
              <w:right w:val="single" w:sz="4" w:space="0" w:color="auto"/>
            </w:tcBorders>
            <w:hideMark/>
          </w:tcPr>
          <w:p>
            <w:pPr>
              <w:pStyle w:val="style0"/>
              <w:rPr/>
            </w:pPr>
            <w:r>
              <w:rPr>
                <w:b/>
                <w:bCs/>
              </w:rPr>
              <w:t>Lab</w:t>
            </w:r>
            <w:r>
              <w:rPr>
                <w:b/>
                <w:bCs/>
              </w:rPr>
              <w:t>.</w:t>
            </w:r>
          </w:p>
        </w:tc>
        <w:tc>
          <w:tcPr>
            <w:tcW w:w="716" w:type="dxa"/>
            <w:tcBorders>
              <w:top w:val="single" w:sz="4" w:space="0" w:color="auto"/>
              <w:left w:val="single" w:sz="4" w:space="0" w:color="auto"/>
              <w:bottom w:val="single" w:sz="4" w:space="0" w:color="auto"/>
              <w:right w:val="single" w:sz="4" w:space="0" w:color="auto"/>
            </w:tcBorders>
            <w:hideMark/>
          </w:tcPr>
          <w:p>
            <w:pPr>
              <w:pStyle w:val="style0"/>
              <w:rPr/>
            </w:pPr>
            <w:r>
              <w:rPr>
                <w:b/>
                <w:bCs/>
              </w:rPr>
              <w:t>eval</w:t>
            </w:r>
            <w:r>
              <w:rPr>
                <w:b/>
                <w:bCs/>
              </w:rPr>
              <w:t>.</w:t>
            </w:r>
          </w:p>
        </w:tc>
      </w:tr>
      <w:tr>
        <w:tblPrEx>
          <w:tblLook w:val="04A0" w:firstRow="1" w:lastRow="0" w:firstColumn="1" w:lastColumn="0" w:noHBand="0" w:noVBand="1"/>
          <w:tblCellMar>
            <w:left w:w="108" w:type="dxa"/>
            <w:right w:w="108" w:type="dxa"/>
          </w:tblCellMar>
        </w:tblPrEx>
        <w:trPr>
          <w:trHeight w:val="344" w:hRule="atLeast"/>
        </w:trPr>
        <w:tc>
          <w:tcPr>
            <w:tcW w:w="5037" w:type="dxa"/>
            <w:tcBorders>
              <w:top w:val="single" w:sz="4" w:space="0" w:color="auto"/>
              <w:left w:val="single" w:sz="4" w:space="0" w:color="auto"/>
              <w:bottom w:val="single" w:sz="4" w:space="0" w:color="auto"/>
              <w:right w:val="single" w:sz="4" w:space="0" w:color="auto"/>
            </w:tcBorders>
          </w:tcPr>
          <w:p>
            <w:pPr>
              <w:pStyle w:val="style0"/>
              <w:rPr/>
            </w:pPr>
            <w:r>
              <w:t>1.</w:t>
            </w:r>
            <w:r>
              <w:t xml:space="preserve"> </w:t>
            </w:r>
            <w:r>
              <w:rPr>
                <w:lang w:val="en-US"/>
              </w:rPr>
              <w:t>Evolución histórica</w:t>
            </w:r>
            <w:r>
              <w:rPr>
                <w:lang w:val="en-US"/>
              </w:rPr>
              <w:t>, objetivo y contenidos del Derecho Procesal Constitucional</w:t>
            </w:r>
            <w:r>
              <w:rPr>
                <w:lang w:val="en-US"/>
              </w:rPr>
              <w:t>.</w:t>
            </w:r>
          </w:p>
        </w:tc>
        <w:tc>
          <w:tcPr>
            <w:tcW w:w="496" w:type="dxa"/>
            <w:tcBorders>
              <w:top w:val="single" w:sz="4" w:space="0" w:color="auto"/>
              <w:left w:val="single" w:sz="4" w:space="0" w:color="auto"/>
              <w:bottom w:val="single" w:sz="4" w:space="0" w:color="auto"/>
              <w:right w:val="single" w:sz="4" w:space="0" w:color="auto"/>
            </w:tcBorders>
          </w:tcPr>
          <w:p>
            <w:pPr>
              <w:pStyle w:val="style0"/>
              <w:rPr/>
            </w:pPr>
          </w:p>
        </w:tc>
        <w:tc>
          <w:tcPr>
            <w:tcW w:w="636" w:type="dxa"/>
            <w:tcBorders>
              <w:top w:val="single" w:sz="4" w:space="0" w:color="auto"/>
              <w:left w:val="single" w:sz="4" w:space="0" w:color="auto"/>
              <w:bottom w:val="single" w:sz="4" w:space="0" w:color="auto"/>
              <w:right w:val="single" w:sz="4" w:space="0" w:color="auto"/>
            </w:tcBorders>
          </w:tcPr>
          <w:p>
            <w:pPr>
              <w:pStyle w:val="style0"/>
              <w:rPr/>
            </w:pPr>
          </w:p>
        </w:tc>
        <w:tc>
          <w:tcPr>
            <w:tcW w:w="656" w:type="dxa"/>
            <w:tcBorders>
              <w:left w:val="single" w:sz="4" w:space="0" w:color="auto"/>
              <w:right w:val="single" w:sz="4" w:space="0" w:color="auto"/>
            </w:tcBorders>
          </w:tcPr>
          <w:p>
            <w:pPr>
              <w:pStyle w:val="style0"/>
              <w:rPr/>
            </w:pPr>
          </w:p>
        </w:tc>
        <w:tc>
          <w:tcPr>
            <w:tcW w:w="776" w:type="dxa"/>
            <w:tcBorders>
              <w:top w:val="single" w:sz="4" w:space="0" w:color="auto"/>
              <w:left w:val="single" w:sz="4" w:space="0" w:color="auto"/>
              <w:bottom w:val="single" w:sz="4" w:space="0" w:color="auto"/>
              <w:right w:val="single" w:sz="4" w:space="0" w:color="auto"/>
            </w:tcBorders>
          </w:tcPr>
          <w:p>
            <w:pPr>
              <w:pStyle w:val="style0"/>
              <w:rPr/>
            </w:pPr>
          </w:p>
        </w:tc>
        <w:tc>
          <w:tcPr>
            <w:tcW w:w="676" w:type="dxa"/>
            <w:tcBorders>
              <w:top w:val="single" w:sz="4" w:space="0" w:color="auto"/>
              <w:left w:val="single" w:sz="4" w:space="0" w:color="auto"/>
              <w:bottom w:val="single" w:sz="4" w:space="0" w:color="auto"/>
              <w:right w:val="single" w:sz="4" w:space="0" w:color="auto"/>
            </w:tcBorders>
          </w:tcPr>
          <w:p>
            <w:pPr>
              <w:pStyle w:val="style0"/>
              <w:rPr/>
            </w:pPr>
          </w:p>
        </w:tc>
        <w:tc>
          <w:tcPr>
            <w:tcW w:w="716" w:type="dxa"/>
            <w:tcBorders>
              <w:top w:val="single" w:sz="4" w:space="0" w:color="auto"/>
              <w:left w:val="single" w:sz="4" w:space="0" w:color="auto"/>
              <w:bottom w:val="single" w:sz="4" w:space="0" w:color="auto"/>
              <w:right w:val="single" w:sz="4" w:space="0" w:color="auto"/>
            </w:tcBorders>
          </w:tcPr>
          <w:p>
            <w:pPr>
              <w:pStyle w:val="style0"/>
              <w:rPr/>
            </w:pPr>
          </w:p>
        </w:tc>
      </w:tr>
      <w:tr>
        <w:tblPrEx>
          <w:tblLook w:val="04A0" w:firstRow="1" w:lastRow="0" w:firstColumn="1" w:lastColumn="0" w:noHBand="0" w:noVBand="1"/>
          <w:tblCellMar>
            <w:left w:w="108" w:type="dxa"/>
            <w:right w:w="108" w:type="dxa"/>
          </w:tblCellMar>
        </w:tblPrEx>
        <w:trPr/>
        <w:tc>
          <w:tcPr>
            <w:tcW w:w="5037"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2. </w:t>
            </w:r>
            <w:r>
              <w:rPr>
                <w:lang w:val="en-US"/>
              </w:rPr>
              <w:t xml:space="preserve">Fundamentos </w:t>
            </w:r>
            <w:r>
              <w:rPr>
                <w:lang w:val="en-US"/>
              </w:rPr>
              <w:t>Constitucionales</w:t>
            </w:r>
            <w:r>
              <w:rPr>
                <w:lang w:val="en-US"/>
              </w:rPr>
              <w:t xml:space="preserve"> y legales del Proceso de Amparo de los Derechos Constitucional</w:t>
            </w:r>
            <w:r>
              <w:rPr>
                <w:lang w:val="en-US"/>
              </w:rPr>
              <w:t>es en Cuba</w:t>
            </w:r>
          </w:p>
        </w:tc>
        <w:tc>
          <w:tcPr>
            <w:tcW w:w="496" w:type="dxa"/>
            <w:tcBorders>
              <w:top w:val="single" w:sz="4" w:space="0" w:color="auto"/>
              <w:left w:val="single" w:sz="4" w:space="0" w:color="auto"/>
              <w:bottom w:val="single" w:sz="4" w:space="0" w:color="auto"/>
              <w:right w:val="single" w:sz="4" w:space="0" w:color="auto"/>
            </w:tcBorders>
          </w:tcPr>
          <w:p>
            <w:pPr>
              <w:pStyle w:val="style0"/>
              <w:rPr/>
            </w:pPr>
          </w:p>
        </w:tc>
        <w:tc>
          <w:tcPr>
            <w:tcW w:w="636" w:type="dxa"/>
            <w:tcBorders>
              <w:top w:val="single" w:sz="4" w:space="0" w:color="auto"/>
              <w:left w:val="single" w:sz="4" w:space="0" w:color="auto"/>
              <w:bottom w:val="single" w:sz="4" w:space="0" w:color="auto"/>
              <w:right w:val="single" w:sz="4" w:space="0" w:color="auto"/>
            </w:tcBorders>
          </w:tcPr>
          <w:p>
            <w:pPr>
              <w:pStyle w:val="style0"/>
              <w:rPr/>
            </w:pPr>
          </w:p>
        </w:tc>
        <w:tc>
          <w:tcPr>
            <w:tcW w:w="656" w:type="dxa"/>
            <w:tcBorders>
              <w:left w:val="single" w:sz="4" w:space="0" w:color="auto"/>
              <w:right w:val="single" w:sz="4" w:space="0" w:color="auto"/>
            </w:tcBorders>
          </w:tcPr>
          <w:p>
            <w:pPr>
              <w:pStyle w:val="style0"/>
              <w:rPr/>
            </w:pPr>
          </w:p>
        </w:tc>
        <w:tc>
          <w:tcPr>
            <w:tcW w:w="776" w:type="dxa"/>
            <w:tcBorders>
              <w:top w:val="single" w:sz="4" w:space="0" w:color="auto"/>
              <w:left w:val="single" w:sz="4" w:space="0" w:color="auto"/>
              <w:bottom w:val="single" w:sz="4" w:space="0" w:color="auto"/>
              <w:right w:val="single" w:sz="4" w:space="0" w:color="auto"/>
            </w:tcBorders>
          </w:tcPr>
          <w:p>
            <w:pPr>
              <w:pStyle w:val="style0"/>
              <w:rPr/>
            </w:pPr>
          </w:p>
        </w:tc>
        <w:tc>
          <w:tcPr>
            <w:tcW w:w="676" w:type="dxa"/>
            <w:tcBorders>
              <w:top w:val="single" w:sz="4" w:space="0" w:color="auto"/>
              <w:left w:val="single" w:sz="4" w:space="0" w:color="auto"/>
              <w:bottom w:val="single" w:sz="4" w:space="0" w:color="auto"/>
              <w:right w:val="single" w:sz="4" w:space="0" w:color="auto"/>
            </w:tcBorders>
          </w:tcPr>
          <w:p>
            <w:pPr>
              <w:pStyle w:val="style0"/>
              <w:rPr/>
            </w:pPr>
          </w:p>
        </w:tc>
        <w:tc>
          <w:tcPr>
            <w:tcW w:w="716" w:type="dxa"/>
            <w:tcBorders>
              <w:top w:val="single" w:sz="4" w:space="0" w:color="auto"/>
              <w:left w:val="single" w:sz="4" w:space="0" w:color="auto"/>
              <w:bottom w:val="single" w:sz="4" w:space="0" w:color="auto"/>
              <w:right w:val="single" w:sz="4" w:space="0" w:color="auto"/>
            </w:tcBorders>
          </w:tcPr>
          <w:p>
            <w:pPr>
              <w:pStyle w:val="style0"/>
              <w:rPr/>
            </w:pPr>
          </w:p>
        </w:tc>
      </w:tr>
      <w:tr>
        <w:tblPrEx>
          <w:tblLook w:val="04A0" w:firstRow="1" w:lastRow="0" w:firstColumn="1" w:lastColumn="0" w:noHBand="0" w:noVBand="1"/>
          <w:tblCellMar>
            <w:left w:w="108" w:type="dxa"/>
            <w:right w:w="108" w:type="dxa"/>
          </w:tblCellMar>
        </w:tblPrEx>
        <w:trPr/>
        <w:tc>
          <w:tcPr>
            <w:tcW w:w="5037"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3. </w:t>
            </w:r>
            <w:r>
              <w:rPr>
                <w:lang w:val="en-US"/>
              </w:rPr>
              <w:t xml:space="preserve">Los Sujetos en el Proceso de Amparo de los Derechos Constitucionales </w:t>
            </w:r>
          </w:p>
        </w:tc>
        <w:tc>
          <w:tcPr>
            <w:tcW w:w="496" w:type="dxa"/>
            <w:tcBorders>
              <w:top w:val="single" w:sz="4" w:space="0" w:color="auto"/>
              <w:left w:val="single" w:sz="4" w:space="0" w:color="auto"/>
              <w:bottom w:val="single" w:sz="4" w:space="0" w:color="auto"/>
              <w:right w:val="single" w:sz="4" w:space="0" w:color="auto"/>
            </w:tcBorders>
          </w:tcPr>
          <w:p>
            <w:pPr>
              <w:pStyle w:val="style0"/>
              <w:rPr/>
            </w:pPr>
          </w:p>
        </w:tc>
        <w:tc>
          <w:tcPr>
            <w:tcW w:w="636" w:type="dxa"/>
            <w:tcBorders>
              <w:top w:val="single" w:sz="4" w:space="0" w:color="auto"/>
              <w:left w:val="single" w:sz="4" w:space="0" w:color="auto"/>
              <w:bottom w:val="single" w:sz="4" w:space="0" w:color="auto"/>
              <w:right w:val="single" w:sz="4" w:space="0" w:color="auto"/>
            </w:tcBorders>
          </w:tcPr>
          <w:p>
            <w:pPr>
              <w:pStyle w:val="style0"/>
              <w:rPr/>
            </w:pPr>
          </w:p>
        </w:tc>
        <w:tc>
          <w:tcPr>
            <w:tcW w:w="656" w:type="dxa"/>
            <w:tcBorders>
              <w:left w:val="single" w:sz="4" w:space="0" w:color="auto"/>
              <w:right w:val="single" w:sz="4" w:space="0" w:color="auto"/>
            </w:tcBorders>
          </w:tcPr>
          <w:p>
            <w:pPr>
              <w:pStyle w:val="style0"/>
              <w:rPr/>
            </w:pPr>
          </w:p>
        </w:tc>
        <w:tc>
          <w:tcPr>
            <w:tcW w:w="776" w:type="dxa"/>
            <w:tcBorders>
              <w:top w:val="single" w:sz="4" w:space="0" w:color="auto"/>
              <w:left w:val="single" w:sz="4" w:space="0" w:color="auto"/>
              <w:bottom w:val="single" w:sz="4" w:space="0" w:color="auto"/>
              <w:right w:val="single" w:sz="4" w:space="0" w:color="auto"/>
            </w:tcBorders>
          </w:tcPr>
          <w:p>
            <w:pPr>
              <w:pStyle w:val="style0"/>
              <w:rPr/>
            </w:pPr>
          </w:p>
        </w:tc>
        <w:tc>
          <w:tcPr>
            <w:tcW w:w="676" w:type="dxa"/>
            <w:tcBorders>
              <w:top w:val="single" w:sz="4" w:space="0" w:color="auto"/>
              <w:left w:val="single" w:sz="4" w:space="0" w:color="auto"/>
              <w:bottom w:val="single" w:sz="4" w:space="0" w:color="auto"/>
              <w:right w:val="single" w:sz="4" w:space="0" w:color="auto"/>
            </w:tcBorders>
          </w:tcPr>
          <w:p>
            <w:pPr>
              <w:pStyle w:val="style0"/>
              <w:rPr/>
            </w:pPr>
          </w:p>
        </w:tc>
        <w:tc>
          <w:tcPr>
            <w:tcW w:w="716" w:type="dxa"/>
            <w:tcBorders>
              <w:top w:val="single" w:sz="4" w:space="0" w:color="auto"/>
              <w:left w:val="single" w:sz="4" w:space="0" w:color="auto"/>
              <w:bottom w:val="single" w:sz="4" w:space="0" w:color="auto"/>
              <w:right w:val="single" w:sz="4" w:space="0" w:color="auto"/>
            </w:tcBorders>
          </w:tcPr>
          <w:p>
            <w:pPr>
              <w:pStyle w:val="style0"/>
              <w:rPr/>
            </w:pPr>
          </w:p>
        </w:tc>
      </w:tr>
      <w:tr>
        <w:tblPrEx>
          <w:tblLook w:val="04A0" w:firstRow="1" w:lastRow="0" w:firstColumn="1" w:lastColumn="0" w:noHBand="0" w:noVBand="1"/>
          <w:tblCellMar>
            <w:left w:w="108" w:type="dxa"/>
            <w:right w:w="108" w:type="dxa"/>
          </w:tblCellMar>
        </w:tblPrEx>
        <w:trPr/>
        <w:tc>
          <w:tcPr>
            <w:tcW w:w="5037" w:type="dxa"/>
            <w:tcBorders>
              <w:top w:val="single" w:sz="4" w:space="0" w:color="auto"/>
              <w:left w:val="single" w:sz="4" w:space="0" w:color="auto"/>
              <w:bottom w:val="single" w:sz="4" w:space="0" w:color="auto"/>
              <w:right w:val="single" w:sz="4" w:space="0" w:color="auto"/>
            </w:tcBorders>
          </w:tcPr>
          <w:p>
            <w:pPr>
              <w:pStyle w:val="style0"/>
              <w:rPr/>
            </w:pPr>
            <w:r>
              <w:rPr>
                <w:lang w:val="en-US"/>
              </w:rPr>
              <w:t>4.</w:t>
            </w:r>
            <w:r>
              <w:rPr>
                <w:lang w:val="en-US"/>
              </w:rPr>
              <w:t xml:space="preserve"> El Objeto del Proceso de Amparo de los Derechos Constitucionales </w:t>
            </w:r>
          </w:p>
        </w:tc>
        <w:tc>
          <w:tcPr>
            <w:tcW w:w="496" w:type="dxa"/>
            <w:tcBorders>
              <w:top w:val="single" w:sz="4" w:space="0" w:color="auto"/>
              <w:left w:val="single" w:sz="4" w:space="0" w:color="auto"/>
              <w:bottom w:val="single" w:sz="4" w:space="0" w:color="auto"/>
              <w:right w:val="single" w:sz="4" w:space="0" w:color="auto"/>
            </w:tcBorders>
          </w:tcPr>
          <w:p>
            <w:pPr>
              <w:pStyle w:val="style0"/>
              <w:rPr/>
            </w:pPr>
          </w:p>
        </w:tc>
        <w:tc>
          <w:tcPr>
            <w:tcW w:w="636" w:type="dxa"/>
            <w:tcBorders>
              <w:top w:val="single" w:sz="4" w:space="0" w:color="auto"/>
              <w:left w:val="single" w:sz="4" w:space="0" w:color="auto"/>
              <w:bottom w:val="single" w:sz="4" w:space="0" w:color="auto"/>
              <w:right w:val="single" w:sz="4" w:space="0" w:color="auto"/>
            </w:tcBorders>
          </w:tcPr>
          <w:p>
            <w:pPr>
              <w:pStyle w:val="style0"/>
              <w:rPr/>
            </w:pPr>
          </w:p>
        </w:tc>
        <w:tc>
          <w:tcPr>
            <w:tcW w:w="656" w:type="dxa"/>
            <w:tcBorders>
              <w:left w:val="single" w:sz="4" w:space="0" w:color="auto"/>
              <w:right w:val="single" w:sz="4" w:space="0" w:color="auto"/>
            </w:tcBorders>
          </w:tcPr>
          <w:p>
            <w:pPr>
              <w:pStyle w:val="style0"/>
              <w:rPr/>
            </w:pPr>
          </w:p>
        </w:tc>
        <w:tc>
          <w:tcPr>
            <w:tcW w:w="776" w:type="dxa"/>
            <w:tcBorders>
              <w:top w:val="single" w:sz="4" w:space="0" w:color="auto"/>
              <w:left w:val="single" w:sz="4" w:space="0" w:color="auto"/>
              <w:bottom w:val="single" w:sz="4" w:space="0" w:color="auto"/>
              <w:right w:val="single" w:sz="4" w:space="0" w:color="auto"/>
            </w:tcBorders>
          </w:tcPr>
          <w:p>
            <w:pPr>
              <w:pStyle w:val="style0"/>
              <w:rPr/>
            </w:pPr>
          </w:p>
        </w:tc>
        <w:tc>
          <w:tcPr>
            <w:tcW w:w="676" w:type="dxa"/>
            <w:tcBorders>
              <w:top w:val="single" w:sz="4" w:space="0" w:color="auto"/>
              <w:left w:val="single" w:sz="4" w:space="0" w:color="auto"/>
              <w:bottom w:val="single" w:sz="4" w:space="0" w:color="auto"/>
              <w:right w:val="single" w:sz="4" w:space="0" w:color="auto"/>
            </w:tcBorders>
          </w:tcPr>
          <w:p>
            <w:pPr>
              <w:pStyle w:val="style0"/>
              <w:rPr/>
            </w:pPr>
          </w:p>
        </w:tc>
        <w:tc>
          <w:tcPr>
            <w:tcW w:w="716" w:type="dxa"/>
            <w:tcBorders>
              <w:top w:val="single" w:sz="4" w:space="0" w:color="auto"/>
              <w:left w:val="single" w:sz="4" w:space="0" w:color="auto"/>
              <w:bottom w:val="single" w:sz="4" w:space="0" w:color="auto"/>
              <w:right w:val="single" w:sz="4" w:space="0" w:color="auto"/>
            </w:tcBorders>
          </w:tcPr>
          <w:p>
            <w:pPr>
              <w:pStyle w:val="style0"/>
              <w:rPr/>
            </w:pPr>
          </w:p>
        </w:tc>
      </w:tr>
      <w:tr>
        <w:tblPrEx>
          <w:tblLook w:val="04A0" w:firstRow="1" w:lastRow="0" w:firstColumn="1" w:lastColumn="0" w:noHBand="0" w:noVBand="1"/>
          <w:tblCellMar>
            <w:left w:w="108" w:type="dxa"/>
            <w:right w:w="108" w:type="dxa"/>
          </w:tblCellMar>
        </w:tblPrEx>
        <w:trPr/>
        <w:tc>
          <w:tcPr>
            <w:tcW w:w="5037" w:type="dxa"/>
            <w:tcBorders>
              <w:top w:val="single" w:sz="4" w:space="0" w:color="auto"/>
              <w:left w:val="single" w:sz="4" w:space="0" w:color="auto"/>
              <w:bottom w:val="single" w:sz="4" w:space="0" w:color="auto"/>
              <w:right w:val="single" w:sz="4" w:space="0" w:color="auto"/>
            </w:tcBorders>
          </w:tcPr>
          <w:p>
            <w:pPr>
              <w:pStyle w:val="style0"/>
              <w:rPr/>
            </w:pPr>
            <w:r>
              <w:rPr>
                <w:lang w:val="en-US"/>
              </w:rPr>
              <w:t>5. Diligencias Preliminares</w:t>
            </w:r>
            <w:r>
              <w:rPr>
                <w:lang w:val="en-US"/>
              </w:rPr>
              <w:t>, R</w:t>
            </w:r>
            <w:r>
              <w:rPr>
                <w:lang w:val="en-US"/>
              </w:rPr>
              <w:t>égimen Cautelar</w:t>
            </w:r>
            <w:r>
              <w:rPr>
                <w:lang w:val="en-US"/>
              </w:rPr>
              <w:t xml:space="preserve"> y Desarrollo del Proceso</w:t>
            </w:r>
          </w:p>
        </w:tc>
        <w:tc>
          <w:tcPr>
            <w:tcW w:w="496" w:type="dxa"/>
            <w:tcBorders>
              <w:top w:val="single" w:sz="4" w:space="0" w:color="auto"/>
              <w:left w:val="single" w:sz="4" w:space="0" w:color="auto"/>
              <w:bottom w:val="single" w:sz="4" w:space="0" w:color="auto"/>
              <w:right w:val="single" w:sz="4" w:space="0" w:color="auto"/>
            </w:tcBorders>
          </w:tcPr>
          <w:p>
            <w:pPr>
              <w:pStyle w:val="style0"/>
              <w:rPr/>
            </w:pPr>
          </w:p>
        </w:tc>
        <w:tc>
          <w:tcPr>
            <w:tcW w:w="636" w:type="dxa"/>
            <w:tcBorders>
              <w:top w:val="single" w:sz="4" w:space="0" w:color="auto"/>
              <w:left w:val="single" w:sz="4" w:space="0" w:color="auto"/>
              <w:bottom w:val="single" w:sz="4" w:space="0" w:color="auto"/>
              <w:right w:val="single" w:sz="4" w:space="0" w:color="auto"/>
            </w:tcBorders>
          </w:tcPr>
          <w:p>
            <w:pPr>
              <w:pStyle w:val="style0"/>
              <w:rPr/>
            </w:pPr>
          </w:p>
        </w:tc>
        <w:tc>
          <w:tcPr>
            <w:tcW w:w="656" w:type="dxa"/>
            <w:tcBorders>
              <w:left w:val="single" w:sz="4" w:space="0" w:color="auto"/>
              <w:right w:val="single" w:sz="4" w:space="0" w:color="auto"/>
            </w:tcBorders>
          </w:tcPr>
          <w:p>
            <w:pPr>
              <w:pStyle w:val="style0"/>
              <w:rPr/>
            </w:pPr>
          </w:p>
        </w:tc>
        <w:tc>
          <w:tcPr>
            <w:tcW w:w="776" w:type="dxa"/>
            <w:tcBorders>
              <w:top w:val="single" w:sz="4" w:space="0" w:color="auto"/>
              <w:left w:val="single" w:sz="4" w:space="0" w:color="auto"/>
              <w:bottom w:val="single" w:sz="4" w:space="0" w:color="auto"/>
              <w:right w:val="single" w:sz="4" w:space="0" w:color="auto"/>
            </w:tcBorders>
          </w:tcPr>
          <w:p>
            <w:pPr>
              <w:pStyle w:val="style0"/>
              <w:rPr/>
            </w:pPr>
          </w:p>
        </w:tc>
        <w:tc>
          <w:tcPr>
            <w:tcW w:w="676" w:type="dxa"/>
            <w:tcBorders>
              <w:top w:val="single" w:sz="4" w:space="0" w:color="auto"/>
              <w:left w:val="single" w:sz="4" w:space="0" w:color="auto"/>
              <w:bottom w:val="single" w:sz="4" w:space="0" w:color="auto"/>
              <w:right w:val="single" w:sz="4" w:space="0" w:color="auto"/>
            </w:tcBorders>
          </w:tcPr>
          <w:p>
            <w:pPr>
              <w:pStyle w:val="style0"/>
              <w:rPr/>
            </w:pPr>
          </w:p>
        </w:tc>
        <w:tc>
          <w:tcPr>
            <w:tcW w:w="716" w:type="dxa"/>
            <w:tcBorders>
              <w:top w:val="single" w:sz="4" w:space="0" w:color="auto"/>
              <w:left w:val="single" w:sz="4" w:space="0" w:color="auto"/>
              <w:bottom w:val="single" w:sz="4" w:space="0" w:color="auto"/>
              <w:right w:val="single" w:sz="4" w:space="0" w:color="auto"/>
            </w:tcBorders>
          </w:tcPr>
          <w:p>
            <w:pPr>
              <w:pStyle w:val="style0"/>
              <w:rPr/>
            </w:pPr>
          </w:p>
        </w:tc>
      </w:tr>
      <w:tr>
        <w:tblPrEx>
          <w:tblLook w:val="04A0" w:firstRow="1" w:lastRow="0" w:firstColumn="1" w:lastColumn="0" w:noHBand="0" w:noVBand="1"/>
          <w:tblCellMar>
            <w:left w:w="108" w:type="dxa"/>
            <w:right w:w="108" w:type="dxa"/>
          </w:tblCellMar>
        </w:tblPrEx>
        <w:trPr/>
        <w:tc>
          <w:tcPr>
            <w:tcW w:w="5037"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6. </w:t>
            </w:r>
            <w:r>
              <w:rPr>
                <w:lang w:val="en-US"/>
              </w:rPr>
              <w:t>Termin</w:t>
            </w:r>
            <w:r>
              <w:rPr>
                <w:lang w:val="en-US"/>
              </w:rPr>
              <w:t>os</w:t>
            </w:r>
            <w:r>
              <w:rPr>
                <w:lang w:val="en-US"/>
              </w:rPr>
              <w:t xml:space="preserve"> y medi</w:t>
            </w:r>
            <w:r>
              <w:rPr>
                <w:lang w:val="en-US"/>
              </w:rPr>
              <w:t xml:space="preserve">os de impugnación </w:t>
            </w:r>
            <w:r>
              <w:rPr>
                <w:lang w:val="en-US"/>
              </w:rPr>
              <w:t xml:space="preserve">del </w:t>
            </w:r>
            <w:r>
              <w:rPr>
                <w:lang w:val="en-US"/>
              </w:rPr>
              <w:t xml:space="preserve">Proceso de </w:t>
            </w:r>
            <w:r>
              <w:rPr>
                <w:lang w:val="en-US"/>
              </w:rPr>
              <w:t xml:space="preserve">Amparo </w:t>
            </w:r>
            <w:r>
              <w:rPr>
                <w:lang w:val="en-US"/>
              </w:rPr>
              <w:t>de los Derechos Constitucionales</w:t>
            </w:r>
            <w:r>
              <w:rPr>
                <w:lang w:val="en-US"/>
              </w:rPr>
              <w:t>.</w:t>
            </w:r>
          </w:p>
        </w:tc>
        <w:tc>
          <w:tcPr>
            <w:tcW w:w="496" w:type="dxa"/>
            <w:tcBorders>
              <w:top w:val="single" w:sz="4" w:space="0" w:color="auto"/>
              <w:left w:val="single" w:sz="4" w:space="0" w:color="auto"/>
              <w:bottom w:val="single" w:sz="4" w:space="0" w:color="auto"/>
              <w:right w:val="single" w:sz="4" w:space="0" w:color="auto"/>
            </w:tcBorders>
          </w:tcPr>
          <w:p>
            <w:pPr>
              <w:pStyle w:val="style0"/>
              <w:rPr/>
            </w:pPr>
          </w:p>
        </w:tc>
        <w:tc>
          <w:tcPr>
            <w:tcW w:w="636" w:type="dxa"/>
            <w:tcBorders>
              <w:top w:val="single" w:sz="4" w:space="0" w:color="auto"/>
              <w:left w:val="single" w:sz="4" w:space="0" w:color="auto"/>
              <w:bottom w:val="single" w:sz="4" w:space="0" w:color="auto"/>
              <w:right w:val="single" w:sz="4" w:space="0" w:color="auto"/>
            </w:tcBorders>
          </w:tcPr>
          <w:p>
            <w:pPr>
              <w:pStyle w:val="style0"/>
              <w:rPr/>
            </w:pPr>
          </w:p>
        </w:tc>
        <w:tc>
          <w:tcPr>
            <w:tcW w:w="656" w:type="dxa"/>
            <w:tcBorders>
              <w:left w:val="single" w:sz="4" w:space="0" w:color="auto"/>
              <w:right w:val="single" w:sz="4" w:space="0" w:color="auto"/>
            </w:tcBorders>
          </w:tcPr>
          <w:p>
            <w:pPr>
              <w:pStyle w:val="style0"/>
              <w:rPr/>
            </w:pPr>
          </w:p>
        </w:tc>
        <w:tc>
          <w:tcPr>
            <w:tcW w:w="776" w:type="dxa"/>
            <w:tcBorders>
              <w:top w:val="single" w:sz="4" w:space="0" w:color="auto"/>
              <w:left w:val="single" w:sz="4" w:space="0" w:color="auto"/>
              <w:bottom w:val="single" w:sz="4" w:space="0" w:color="auto"/>
              <w:right w:val="single" w:sz="4" w:space="0" w:color="auto"/>
            </w:tcBorders>
          </w:tcPr>
          <w:p>
            <w:pPr>
              <w:pStyle w:val="style0"/>
              <w:rPr/>
            </w:pPr>
          </w:p>
        </w:tc>
        <w:tc>
          <w:tcPr>
            <w:tcW w:w="676" w:type="dxa"/>
            <w:tcBorders>
              <w:top w:val="single" w:sz="4" w:space="0" w:color="auto"/>
              <w:left w:val="single" w:sz="4" w:space="0" w:color="auto"/>
              <w:bottom w:val="single" w:sz="4" w:space="0" w:color="auto"/>
              <w:right w:val="single" w:sz="4" w:space="0" w:color="auto"/>
            </w:tcBorders>
          </w:tcPr>
          <w:p>
            <w:pPr>
              <w:pStyle w:val="style0"/>
              <w:rPr/>
            </w:pPr>
          </w:p>
        </w:tc>
        <w:tc>
          <w:tcPr>
            <w:tcW w:w="716" w:type="dxa"/>
            <w:tcBorders>
              <w:top w:val="single" w:sz="4" w:space="0" w:color="auto"/>
              <w:left w:val="single" w:sz="4" w:space="0" w:color="auto"/>
              <w:bottom w:val="single" w:sz="4" w:space="0" w:color="auto"/>
              <w:right w:val="single" w:sz="4" w:space="0" w:color="auto"/>
            </w:tcBorders>
          </w:tcPr>
          <w:p>
            <w:pPr>
              <w:pStyle w:val="style0"/>
              <w:rPr/>
            </w:pPr>
          </w:p>
        </w:tc>
      </w:tr>
      <w:tr>
        <w:tblPrEx>
          <w:tblLook w:val="04A0" w:firstRow="1" w:lastRow="0" w:firstColumn="1" w:lastColumn="0" w:noHBand="0" w:noVBand="1"/>
          <w:tblCellMar>
            <w:left w:w="108" w:type="dxa"/>
            <w:right w:w="108" w:type="dxa"/>
          </w:tblCellMar>
        </w:tblPrEx>
        <w:trPr/>
        <w:tc>
          <w:tcPr>
            <w:tcW w:w="5037" w:type="dxa"/>
            <w:tcBorders>
              <w:top w:val="single" w:sz="4" w:space="0" w:color="auto"/>
              <w:left w:val="single" w:sz="4" w:space="0" w:color="auto"/>
              <w:bottom w:val="single" w:sz="4" w:space="0" w:color="auto"/>
              <w:right w:val="single" w:sz="4" w:space="0" w:color="auto"/>
            </w:tcBorders>
            <w:hideMark/>
          </w:tcPr>
          <w:p>
            <w:pPr>
              <w:pStyle w:val="style0"/>
              <w:rPr/>
            </w:pPr>
            <w:r>
              <w:rPr>
                <w:b/>
                <w:bCs/>
              </w:rPr>
              <w:t>Totales</w:t>
            </w:r>
          </w:p>
        </w:tc>
        <w:tc>
          <w:tcPr>
            <w:tcW w:w="496" w:type="dxa"/>
            <w:tcBorders>
              <w:top w:val="single" w:sz="4" w:space="0" w:color="auto"/>
              <w:left w:val="single" w:sz="4" w:space="0" w:color="auto"/>
              <w:bottom w:val="single" w:sz="4" w:space="0" w:color="auto"/>
              <w:right w:val="single" w:sz="4" w:space="0" w:color="auto"/>
            </w:tcBorders>
          </w:tcPr>
          <w:p>
            <w:pPr>
              <w:pStyle w:val="style0"/>
              <w:rPr/>
            </w:pPr>
          </w:p>
        </w:tc>
        <w:tc>
          <w:tcPr>
            <w:tcW w:w="636" w:type="dxa"/>
            <w:tcBorders>
              <w:top w:val="single" w:sz="4" w:space="0" w:color="auto"/>
              <w:left w:val="single" w:sz="4" w:space="0" w:color="auto"/>
              <w:bottom w:val="single" w:sz="4" w:space="0" w:color="auto"/>
              <w:right w:val="single" w:sz="4" w:space="0" w:color="auto"/>
            </w:tcBorders>
          </w:tcPr>
          <w:p>
            <w:pPr>
              <w:pStyle w:val="style0"/>
              <w:rPr/>
            </w:pPr>
          </w:p>
        </w:tc>
        <w:tc>
          <w:tcPr>
            <w:tcW w:w="656" w:type="dxa"/>
            <w:tcBorders>
              <w:left w:val="single" w:sz="4" w:space="0" w:color="auto"/>
              <w:bottom w:val="single" w:sz="4" w:space="0" w:color="auto"/>
              <w:right w:val="single" w:sz="4" w:space="0" w:color="auto"/>
            </w:tcBorders>
          </w:tcPr>
          <w:p>
            <w:pPr>
              <w:pStyle w:val="style0"/>
              <w:rPr/>
            </w:pPr>
          </w:p>
        </w:tc>
        <w:tc>
          <w:tcPr>
            <w:tcW w:w="776" w:type="dxa"/>
            <w:tcBorders>
              <w:top w:val="single" w:sz="4" w:space="0" w:color="auto"/>
              <w:left w:val="single" w:sz="4" w:space="0" w:color="auto"/>
              <w:bottom w:val="single" w:sz="4" w:space="0" w:color="auto"/>
              <w:right w:val="single" w:sz="4" w:space="0" w:color="auto"/>
            </w:tcBorders>
          </w:tcPr>
          <w:p>
            <w:pPr>
              <w:pStyle w:val="style0"/>
              <w:rPr/>
            </w:pPr>
          </w:p>
        </w:tc>
        <w:tc>
          <w:tcPr>
            <w:tcW w:w="676" w:type="dxa"/>
            <w:tcBorders>
              <w:top w:val="single" w:sz="4" w:space="0" w:color="auto"/>
              <w:left w:val="single" w:sz="4" w:space="0" w:color="auto"/>
              <w:bottom w:val="single" w:sz="4" w:space="0" w:color="auto"/>
              <w:right w:val="single" w:sz="4" w:space="0" w:color="auto"/>
            </w:tcBorders>
          </w:tcPr>
          <w:p>
            <w:pPr>
              <w:pStyle w:val="style0"/>
              <w:rPr/>
            </w:pPr>
          </w:p>
        </w:tc>
        <w:tc>
          <w:tcPr>
            <w:tcW w:w="716" w:type="dxa"/>
            <w:tcBorders>
              <w:top w:val="single" w:sz="4" w:space="0" w:color="auto"/>
              <w:left w:val="single" w:sz="4" w:space="0" w:color="auto"/>
              <w:bottom w:val="single" w:sz="4" w:space="0" w:color="auto"/>
              <w:right w:val="single" w:sz="4" w:space="0" w:color="auto"/>
            </w:tcBorders>
          </w:tcPr>
          <w:p>
            <w:pPr>
              <w:pStyle w:val="style0"/>
              <w:rPr/>
            </w:pPr>
          </w:p>
        </w:tc>
      </w:tr>
    </w:tbl>
    <w:p>
      <w:pPr>
        <w:pStyle w:val="style0"/>
        <w:rPr>
          <w:b/>
          <w:bCs/>
          <w:lang w:val="es-ES"/>
        </w:rPr>
      </w:pPr>
    </w:p>
    <w:p>
      <w:pPr>
        <w:pStyle w:val="style0"/>
        <w:rPr>
          <w:b/>
          <w:bCs/>
          <w:lang w:val="es-ES"/>
        </w:rPr>
      </w:pPr>
    </w:p>
    <w:p>
      <w:pPr>
        <w:pStyle w:val="style0"/>
        <w:rPr>
          <w:b/>
          <w:bCs/>
          <w:lang w:val="es-ES"/>
        </w:rPr>
      </w:pPr>
      <w:r>
        <w:rPr>
          <w:b/>
          <w:bCs/>
          <w:lang w:val="es-ES"/>
        </w:rPr>
        <w:t>FUNDAMENTACIÓN</w:t>
      </w:r>
    </w:p>
    <w:p>
      <w:pPr>
        <w:pStyle w:val="style0"/>
        <w:rPr>
          <w:lang w:val="es-ES"/>
        </w:rPr>
      </w:pPr>
      <w:r>
        <w:rPr>
          <w:lang w:val="es-ES"/>
        </w:rPr>
        <w:t>El derecho procesal constitucional es una disciplina relativamente reciente,</w:t>
      </w:r>
      <w:r>
        <w:rPr>
          <w:lang w:val="es-ES"/>
        </w:rPr>
        <w:t xml:space="preserve"> </w:t>
      </w:r>
      <w:r>
        <w:rPr>
          <w:lang w:val="es-ES"/>
        </w:rPr>
        <w:t>con</w:t>
      </w:r>
      <w:r>
        <w:rPr>
          <w:lang w:val="es-ES"/>
        </w:rPr>
        <w:t>formada de la integración de contenidos de diversas materias. Su objeto son los</w:t>
      </w:r>
      <w:r>
        <w:rPr>
          <w:lang w:val="es-ES"/>
        </w:rPr>
        <w:t xml:space="preserve"> </w:t>
      </w:r>
      <w:r>
        <w:rPr>
          <w:lang w:val="es-ES"/>
        </w:rPr>
        <w:t>órganos, las acciones procesales y el sistema de principios y pautas, que susten</w:t>
      </w:r>
      <w:r>
        <w:rPr>
          <w:lang w:val="es-ES"/>
        </w:rPr>
        <w:t>tan el control de constitucionalidad a través del que se restaura la Constitución.</w:t>
      </w:r>
      <w:r>
        <w:rPr>
          <w:lang w:val="es-ES"/>
        </w:rPr>
        <w:t xml:space="preserve"> </w:t>
      </w:r>
      <w:r>
        <w:rPr>
          <w:lang w:val="es-ES"/>
        </w:rPr>
        <w:t>En Cuba, la justicia constitucional se inició con la carta magna de</w:t>
      </w:r>
      <w:r>
        <w:rPr>
          <w:lang w:val="es-ES"/>
        </w:rPr>
        <w:t xml:space="preserve"> </w:t>
      </w:r>
      <w:r>
        <w:rPr>
          <w:lang w:val="es-ES"/>
        </w:rPr>
        <w:t>1901 y tuvo un</w:t>
      </w:r>
      <w:r>
        <w:rPr>
          <w:lang w:val="es-ES"/>
        </w:rPr>
        <w:t xml:space="preserve"> </w:t>
      </w:r>
      <w:r>
        <w:rPr>
          <w:lang w:val="es-ES"/>
        </w:rPr>
        <w:t>vigoroso desarrollo jurídico en las siguientes décadas. La ley fundamental cu</w:t>
      </w:r>
      <w:r>
        <w:rPr>
          <w:lang w:val="es-ES"/>
        </w:rPr>
        <w:t>bana de 2019 constituye un punto de inflexión por las temáticas que incorpora,</w:t>
      </w:r>
      <w:r>
        <w:rPr>
          <w:lang w:val="es-ES"/>
        </w:rPr>
        <w:t xml:space="preserve"> </w:t>
      </w:r>
      <w:r>
        <w:rPr>
          <w:lang w:val="es-ES"/>
        </w:rPr>
        <w:t xml:space="preserve">los contenidos que replantea y la recepción de tendencias contemporáneas del </w:t>
      </w:r>
      <w:r>
        <w:rPr>
          <w:lang w:val="es-ES"/>
        </w:rPr>
        <w:t xml:space="preserve">derecho constitucional. En los aspectos a destacar se encuentra la confirmación </w:t>
      </w:r>
      <w:r>
        <w:rPr>
          <w:lang w:val="es-ES"/>
        </w:rPr>
        <w:t xml:space="preserve">de su supremacía y la incorporación de un capítulo dedicado a las garantías de </w:t>
      </w:r>
      <w:r>
        <w:rPr>
          <w:lang w:val="es-ES"/>
        </w:rPr>
        <w:t>los derechos, donde se incorporan diversas herramientas procesales. El presen</w:t>
      </w:r>
      <w:r>
        <w:rPr>
          <w:lang w:val="es-ES"/>
        </w:rPr>
        <w:t xml:space="preserve">te artículo aborda el nuevo derecho procesal constitucional que se contorna a </w:t>
      </w:r>
      <w:r>
        <w:rPr>
          <w:lang w:val="es-ES"/>
        </w:rPr>
        <w:t xml:space="preserve">tenor de las normas del texto magno. Se centra en el diseño de la jurisdicción </w:t>
      </w:r>
      <w:r>
        <w:rPr>
          <w:lang w:val="es-ES"/>
        </w:rPr>
        <w:t xml:space="preserve">orgánica y de la libertad. El análisis se realiza desde la doctrina de la disciplina y </w:t>
      </w:r>
      <w:r>
        <w:rPr>
          <w:lang w:val="es-ES"/>
        </w:rPr>
        <w:t>el derecho comparado.</w:t>
      </w:r>
    </w:p>
    <w:p>
      <w:pPr>
        <w:pStyle w:val="style0"/>
        <w:rPr>
          <w:lang w:val="es-ES"/>
        </w:rPr>
      </w:pPr>
      <w:r>
        <w:rPr>
          <w:lang w:val="en-US"/>
        </w:rPr>
        <w:t xml:space="preserve">La defensa de la Constitución es institución toral del Derecho </w:t>
      </w:r>
      <w:r>
        <w:rPr>
          <w:lang w:val="en-US"/>
        </w:rPr>
        <w:t>C</w:t>
      </w:r>
      <w:r>
        <w:rPr>
          <w:lang w:val="en-US"/>
        </w:rPr>
        <w:t xml:space="preserve">onstitucional. </w:t>
      </w:r>
      <w:r>
        <w:rPr>
          <w:lang w:val="en-US"/>
        </w:rPr>
        <w:t>No es exagerada la afirmación de que solo cuando se instrumentaron meca</w:t>
      </w:r>
      <w:r>
        <w:rPr>
          <w:lang w:val="en-US"/>
        </w:rPr>
        <w:t>nismos de defensa, en particular instrumentos garantistas, fue que la Consti</w:t>
      </w:r>
      <w:r>
        <w:rPr>
          <w:lang w:val="en-US"/>
        </w:rPr>
        <w:t>t</w:t>
      </w:r>
      <w:r>
        <w:rPr>
          <w:lang w:val="en-US"/>
        </w:rPr>
        <w:t xml:space="preserve">ución se convirtió en verdadero Derecho, dejó de ser un documento político, </w:t>
      </w:r>
      <w:r>
        <w:rPr>
          <w:lang w:val="en-US"/>
        </w:rPr>
        <w:t xml:space="preserve">una norma declarativa. Se integra por el conjunto de dispositivos, normas, </w:t>
      </w:r>
      <w:r>
        <w:rPr>
          <w:lang w:val="en-US"/>
        </w:rPr>
        <w:t>instituciones y procedimientos que preservan su jerarquía, restauran su que</w:t>
      </w:r>
      <w:r>
        <w:rPr>
          <w:lang w:val="en-US"/>
        </w:rPr>
        <w:t xml:space="preserve">brantamiento y posibilitan la adecuación de sus normas a los cambios de la </w:t>
      </w:r>
      <w:r>
        <w:rPr>
          <w:lang w:val="en-US"/>
        </w:rPr>
        <w:t>realidad material. Como afirma Fix-Zamudio: “[…] una verdadera defensa cons</w:t>
      </w:r>
      <w:r>
        <w:rPr>
          <w:lang w:val="en-US"/>
        </w:rPr>
        <w:t xml:space="preserve">titucional es la que puede lograr la […] la aproximación entre la Constitución </w:t>
      </w:r>
      <w:r>
        <w:rPr>
          <w:lang w:val="en-US"/>
        </w:rPr>
        <w:t xml:space="preserve">formal o jurídica y la Constitución real o sociológica […] tiene por objeto, por </w:t>
      </w:r>
      <w:r>
        <w:rPr>
          <w:lang w:val="en-US"/>
        </w:rPr>
        <w:t xml:space="preserve">tanto, no sólo el mantenimiento o conservación de las normas fundamentales, </w:t>
      </w:r>
      <w:r>
        <w:rPr>
          <w:lang w:val="en-US"/>
        </w:rPr>
        <w:t>sino también su evolución”.</w:t>
      </w:r>
      <w:r>
        <w:rPr>
          <w:lang w:val="en-US"/>
        </w:rPr>
        <w:t xml:space="preserve"> </w:t>
      </w:r>
      <w:r>
        <w:rPr>
          <w:lang w:val="en-US"/>
        </w:rPr>
        <w:t xml:space="preserve">En esa perspectiva se integra, por dos ámbitos, los </w:t>
      </w:r>
      <w:r>
        <w:rPr>
          <w:lang w:val="en-US"/>
        </w:rPr>
        <w:t xml:space="preserve">mecanismos de protección y las vías garantistas. </w:t>
      </w:r>
    </w:p>
    <w:p>
      <w:pPr>
        <w:pStyle w:val="style0"/>
        <w:rPr>
          <w:lang w:val="es-ES"/>
        </w:rPr>
      </w:pPr>
    </w:p>
    <w:p>
      <w:pPr>
        <w:pStyle w:val="style0"/>
        <w:rPr>
          <w:b/>
        </w:rPr>
      </w:pPr>
      <w:r>
        <w:rPr>
          <w:b/>
        </w:rPr>
        <w:t>OBJETIVOS GENERALES DE LA ASIGNATURA</w:t>
      </w:r>
    </w:p>
    <w:p>
      <w:pPr>
        <w:pStyle w:val="style0"/>
        <w:numPr>
          <w:ilvl w:val="0"/>
          <w:numId w:val="1"/>
        </w:numPr>
        <w:rPr>
          <w:lang w:val="es-ES"/>
        </w:rPr>
      </w:pPr>
      <w:r>
        <w:rPr>
          <w:lang w:val="es-ES"/>
        </w:rPr>
        <w:t>Definir</w:t>
      </w:r>
      <w:r>
        <w:rPr>
          <w:lang w:val="es-ES"/>
        </w:rPr>
        <w:t xml:space="preserve"> las instituciones jurídicas que comprende el Derecho</w:t>
      </w:r>
      <w:r>
        <w:rPr>
          <w:lang w:val="es-ES"/>
        </w:rPr>
        <w:t xml:space="preserve"> </w:t>
      </w:r>
      <w:r>
        <w:rPr>
          <w:lang w:val="en-US"/>
        </w:rPr>
        <w:t>Procesal Constitucional</w:t>
      </w:r>
      <w:r>
        <w:rPr>
          <w:lang w:val="es-ES"/>
        </w:rPr>
        <w:t>, poniendo de relieve en ello el nexo de las mismas con la garantía del interés público</w:t>
      </w:r>
      <w:r>
        <w:rPr>
          <w:lang w:val="en-US"/>
        </w:rPr>
        <w:t>,</w:t>
      </w:r>
      <w:r>
        <w:rPr>
          <w:lang w:val="es-ES"/>
        </w:rPr>
        <w:t xml:space="preserve"> el respeto a los derechos y libertades de los ciudadanos</w:t>
      </w:r>
      <w:r>
        <w:rPr>
          <w:lang w:val="en-US"/>
        </w:rPr>
        <w:t xml:space="preserve">, defendiendo </w:t>
      </w:r>
      <w:r>
        <w:rPr>
          <w:lang w:val="en-US"/>
        </w:rPr>
        <w:t xml:space="preserve">el texto </w:t>
      </w:r>
      <w:r>
        <w:rPr>
          <w:lang w:val="en-US"/>
        </w:rPr>
        <w:t>constitucional.</w:t>
      </w:r>
    </w:p>
    <w:p>
      <w:pPr>
        <w:pStyle w:val="style0"/>
        <w:numPr>
          <w:ilvl w:val="0"/>
          <w:numId w:val="1"/>
        </w:numPr>
        <w:rPr>
          <w:lang w:val="es-ES"/>
        </w:rPr>
      </w:pPr>
      <w:r>
        <w:rPr>
          <w:lang w:val="en-US"/>
        </w:rPr>
        <w:t>Explicar</w:t>
      </w:r>
      <w:r>
        <w:rPr>
          <w:lang w:val="es-ES"/>
        </w:rPr>
        <w:t xml:space="preserve"> los elementos esenciales que permiten comprender la necesidad de la sujeción </w:t>
      </w:r>
      <w:r>
        <w:rPr>
          <w:lang w:val="en-US"/>
        </w:rPr>
        <w:t xml:space="preserve">del proceso </w:t>
      </w:r>
      <w:r>
        <w:rPr>
          <w:lang w:val="en-US"/>
        </w:rPr>
        <w:t xml:space="preserve">constitucional </w:t>
      </w:r>
      <w:r>
        <w:rPr>
          <w:lang w:val="es-ES"/>
        </w:rPr>
        <w:t xml:space="preserve">y </w:t>
      </w:r>
      <w:r>
        <w:rPr>
          <w:lang w:val="en-US"/>
        </w:rPr>
        <w:t>su re</w:t>
      </w:r>
      <w:r>
        <w:rPr>
          <w:lang w:val="en-US"/>
        </w:rPr>
        <w:t xml:space="preserve">lación con otros </w:t>
      </w:r>
      <w:r>
        <w:rPr>
          <w:lang w:val="en-US"/>
        </w:rPr>
        <w:t>ti</w:t>
      </w:r>
      <w:r>
        <w:rPr>
          <w:lang w:val="en-US"/>
        </w:rPr>
        <w:t>pos de procesos</w:t>
      </w:r>
      <w:r>
        <w:rPr>
          <w:lang w:val="es-ES"/>
        </w:rPr>
        <w:t>.</w:t>
      </w:r>
    </w:p>
    <w:p>
      <w:pPr>
        <w:pStyle w:val="style0"/>
        <w:numPr>
          <w:ilvl w:val="0"/>
          <w:numId w:val="1"/>
        </w:numPr>
        <w:rPr>
          <w:lang w:val="es-ES"/>
        </w:rPr>
      </w:pPr>
      <w:r>
        <w:rPr>
          <w:lang w:val="es-ES"/>
        </w:rPr>
        <w:t>Adquirir las herramientas gnoseológicas básicas – desde la perspectiva que provee el Derecho</w:t>
      </w:r>
      <w:r>
        <w:rPr>
          <w:lang w:val="es-ES"/>
        </w:rPr>
        <w:t xml:space="preserve"> </w:t>
      </w:r>
      <w:r>
        <w:rPr>
          <w:lang w:val="en-US"/>
        </w:rPr>
        <w:t>Procesal</w:t>
      </w:r>
      <w:r>
        <w:rPr>
          <w:lang w:val="en-US"/>
        </w:rPr>
        <w:t xml:space="preserve"> Constitucional</w:t>
      </w:r>
      <w:r>
        <w:rPr>
          <w:lang w:val="es-ES"/>
        </w:rPr>
        <w:t>– para poder evaluar críticamente el marco de ordenación jurídica de l</w:t>
      </w:r>
      <w:r>
        <w:rPr>
          <w:lang w:val="en-US"/>
        </w:rPr>
        <w:t>a norma procesal</w:t>
      </w:r>
      <w:r>
        <w:rPr>
          <w:lang w:val="es-ES"/>
        </w:rPr>
        <w:t xml:space="preserve"> y </w:t>
      </w:r>
      <w:r>
        <w:rPr>
          <w:lang w:val="en-US"/>
        </w:rPr>
        <w:t xml:space="preserve">con </w:t>
      </w:r>
      <w:r>
        <w:rPr>
          <w:lang w:val="es-ES"/>
        </w:rPr>
        <w:t xml:space="preserve">el ejercicio de la función </w:t>
      </w:r>
      <w:r>
        <w:rPr>
          <w:lang w:val="en-US"/>
        </w:rPr>
        <w:t xml:space="preserve">judicial </w:t>
      </w:r>
      <w:r>
        <w:rPr>
          <w:lang w:val="es-ES"/>
        </w:rPr>
        <w:t>(su planteamiento, actuación y realización); y para poder estar en condiciones (desde el punto de vista intelectual) de incidir en su transformación</w:t>
      </w:r>
      <w:r>
        <w:rPr>
          <w:lang w:val="en-US"/>
        </w:rPr>
        <w:t>, p</w:t>
      </w:r>
      <w:r>
        <w:rPr>
          <w:lang w:val="es-ES"/>
        </w:rPr>
        <w:t>erfeccionamiento</w:t>
      </w:r>
      <w:r>
        <w:rPr>
          <w:lang w:val="es-ES"/>
        </w:rPr>
        <w:t xml:space="preserve"> </w:t>
      </w:r>
      <w:r>
        <w:rPr>
          <w:lang w:val="en-US"/>
        </w:rPr>
        <w:t>y aplicaci</w:t>
      </w:r>
      <w:r>
        <w:rPr>
          <w:lang w:val="en-US"/>
        </w:rPr>
        <w:t>ón</w:t>
      </w:r>
      <w:r>
        <w:rPr>
          <w:lang w:val="en-US"/>
        </w:rPr>
        <w:t>.</w:t>
      </w:r>
    </w:p>
    <w:p>
      <w:pPr>
        <w:pStyle w:val="style0"/>
        <w:rPr>
          <w:b/>
        </w:rPr>
      </w:pPr>
      <w:r>
        <w:rPr>
          <w:b/>
        </w:rPr>
        <w:t>CONTENIDOS BÁSICOS DE LA ASIGNATURA</w:t>
      </w:r>
    </w:p>
    <w:p>
      <w:pPr>
        <w:pStyle w:val="style0"/>
        <w:rPr>
          <w:b/>
        </w:rPr>
      </w:pPr>
      <w:r>
        <w:rPr>
          <w:b/>
        </w:rPr>
        <w:t>Conocimientos esenciales a adquirir</w:t>
      </w:r>
    </w:p>
    <w:p>
      <w:pPr>
        <w:pStyle w:val="style0"/>
        <w:spacing w:lineRule="auto" w:line="360"/>
        <w:rPr>
          <w:b w:val="false"/>
          <w:bCs w:val="false"/>
          <w:lang w:val="en-US"/>
        </w:rPr>
      </w:pPr>
      <w:r>
        <w:rPr>
          <w:b w:val="false"/>
          <w:bCs w:val="false"/>
          <w:lang w:val="en-US"/>
        </w:rPr>
        <w:t xml:space="preserve">Las vías garantistas y su despliegue jurisdiccional son cometido del derecho </w:t>
      </w:r>
      <w:r>
        <w:rPr>
          <w:b w:val="false"/>
          <w:bCs w:val="false"/>
          <w:lang w:val="en-US"/>
        </w:rPr>
        <w:t xml:space="preserve">procesal constitucional, disciplina de carácter adjetivo, holístico, integrada por </w:t>
      </w:r>
      <w:r>
        <w:rPr>
          <w:b w:val="false"/>
          <w:bCs w:val="false"/>
          <w:lang w:val="en-US"/>
        </w:rPr>
        <w:t>contenidos del derecho constitucional, el derecho procesal, el derecho inter</w:t>
      </w:r>
      <w:r>
        <w:rPr>
          <w:b w:val="false"/>
          <w:bCs w:val="false"/>
          <w:lang w:val="en-US"/>
        </w:rPr>
        <w:t>nacional de los derechos humanos y el derecho administrativo. Bidart Campos</w:t>
      </w:r>
      <w:r>
        <w:rPr>
          <w:b w:val="false"/>
          <w:bCs w:val="false"/>
          <w:lang w:val="en-US"/>
        </w:rPr>
        <w:t xml:space="preserve"> </w:t>
      </w:r>
      <w:r>
        <w:rPr>
          <w:b w:val="false"/>
          <w:bCs w:val="false"/>
          <w:lang w:val="en-US"/>
        </w:rPr>
        <w:t xml:space="preserve">apunta que “regula el proceso constitucional y tiene por objeto la materia </w:t>
      </w:r>
      <w:r>
        <w:rPr>
          <w:b w:val="false"/>
          <w:bCs w:val="false"/>
          <w:lang w:val="en-US"/>
        </w:rPr>
        <w:t xml:space="preserve">constitucional”.2 Fix-Zamudio señala que es: “la disciplina jurídica, situada dentro del campo del derecho procesal, que se ocupa del estudio sistemático de </w:t>
      </w:r>
      <w:r>
        <w:rPr>
          <w:b w:val="false"/>
          <w:bCs w:val="false"/>
          <w:lang w:val="en-US"/>
        </w:rPr>
        <w:t xml:space="preserve">las instituciones y de los órganos por medio de los cuales pueden resolverse </w:t>
      </w:r>
      <w:r>
        <w:rPr>
          <w:b w:val="false"/>
          <w:bCs w:val="false"/>
          <w:lang w:val="en-US"/>
        </w:rPr>
        <w:t xml:space="preserve">los conflictos relativos a los principios, valores y disposiciones fundamentales, </w:t>
      </w:r>
      <w:r>
        <w:rPr>
          <w:b w:val="false"/>
          <w:bCs w:val="false"/>
          <w:lang w:val="en-US"/>
        </w:rPr>
        <w:t>con el objeto de reparar las violaciones de los mismos”.</w:t>
      </w:r>
      <w:r>
        <w:rPr>
          <w:b w:val="false"/>
          <w:bCs w:val="false"/>
          <w:lang w:val="en-US"/>
        </w:rPr>
        <w:cr/>
      </w:r>
      <w:r>
        <w:rPr>
          <w:b w:val="false"/>
          <w:bCs w:val="false"/>
          <w:lang w:val="en-US"/>
        </w:rPr>
        <w:t>S</w:t>
      </w:r>
      <w:r>
        <w:rPr>
          <w:b w:val="false"/>
          <w:bCs w:val="false"/>
          <w:lang w:val="en-US"/>
        </w:rPr>
        <w:t xml:space="preserve">u contenido abarca, </w:t>
      </w:r>
      <w:r>
        <w:rPr>
          <w:b w:val="false"/>
          <w:bCs w:val="false"/>
          <w:lang w:val="en-US"/>
        </w:rPr>
        <w:t xml:space="preserve">latu sensu: los recursos para demandar la revisión de constitucionalidad de la </w:t>
      </w:r>
      <w:r>
        <w:rPr>
          <w:b w:val="false"/>
          <w:bCs w:val="false"/>
          <w:lang w:val="en-US"/>
        </w:rPr>
        <w:t>norma o acto; la magistratura ante la que se incoan; los procedimientos y dili</w:t>
      </w:r>
      <w:r>
        <w:rPr>
          <w:b w:val="false"/>
          <w:bCs w:val="false"/>
          <w:lang w:val="en-US"/>
        </w:rPr>
        <w:t>g</w:t>
      </w:r>
      <w:r>
        <w:rPr>
          <w:b w:val="false"/>
          <w:bCs w:val="false"/>
          <w:lang w:val="en-US"/>
        </w:rPr>
        <w:t>encias a través de los cuales se dirime la controversia constitucional; los prin</w:t>
      </w:r>
      <w:r>
        <w:rPr>
          <w:b w:val="false"/>
          <w:bCs w:val="false"/>
          <w:lang w:val="en-US"/>
        </w:rPr>
        <w:t>cipios que informan los procesos; las garantías que aseguran la independen</w:t>
      </w:r>
      <w:r>
        <w:rPr>
          <w:b w:val="false"/>
          <w:bCs w:val="false"/>
          <w:lang w:val="en-US"/>
        </w:rPr>
        <w:t>cia de la magistratura y de las partes; el parámetro de constitucionalidad que</w:t>
      </w:r>
      <w:r>
        <w:rPr>
          <w:b w:val="false"/>
          <w:bCs w:val="false"/>
          <w:lang w:val="en-US"/>
        </w:rPr>
        <w:t xml:space="preserve"> </w:t>
      </w:r>
      <w:r>
        <w:rPr>
          <w:b w:val="false"/>
          <w:bCs w:val="false"/>
          <w:lang w:val="en-US"/>
        </w:rPr>
        <w:t xml:space="preserve">tiene en cuenta el juez para realizar el test de constitucionalidad; los métodos </w:t>
      </w:r>
      <w:r>
        <w:rPr>
          <w:b w:val="false"/>
          <w:bCs w:val="false"/>
          <w:lang w:val="en-US"/>
        </w:rPr>
        <w:t>y las técnicas a través de los que se realiza la exégesis constitucional; las tipo</w:t>
      </w:r>
      <w:r>
        <w:rPr>
          <w:b w:val="false"/>
          <w:bCs w:val="false"/>
          <w:lang w:val="en-US"/>
        </w:rPr>
        <w:t>logías de sentencias que emanan de la jurisdicción constitucional, etcétera.</w:t>
      </w:r>
    </w:p>
    <w:p>
      <w:pPr>
        <w:pStyle w:val="style0"/>
        <w:rPr>
          <w:b/>
        </w:rPr>
      </w:pPr>
      <w:r>
        <w:rPr>
          <w:b/>
        </w:rPr>
        <w:t>Habilidades principales a dominar</w:t>
      </w:r>
    </w:p>
    <w:p>
      <w:pPr>
        <w:pStyle w:val="style0"/>
        <w:numPr>
          <w:ilvl w:val="0"/>
          <w:numId w:val="10"/>
        </w:numPr>
        <w:rPr>
          <w:lang w:val="es-ES"/>
        </w:rPr>
      </w:pPr>
      <w:r>
        <w:rPr>
          <w:lang w:val="es-ES"/>
        </w:rPr>
        <w:t xml:space="preserve">Explicar, desde el enfoque teórico-práctico, las instituciones jurídicas que comprende el Derecho </w:t>
      </w:r>
      <w:r>
        <w:rPr>
          <w:lang w:val="en-US"/>
        </w:rPr>
        <w:t>Procesal Constitucional</w:t>
      </w:r>
      <w:r>
        <w:rPr>
          <w:lang w:val="en-US"/>
        </w:rPr>
        <w:t xml:space="preserve">, </w:t>
      </w:r>
      <w:r>
        <w:rPr>
          <w:lang w:val="es-ES"/>
        </w:rPr>
        <w:t>caracterizando sus aspectos esenciales, y considerando la perspectiva de su funcionalidad en relación con l</w:t>
      </w:r>
      <w:r>
        <w:rPr>
          <w:lang w:val="en-US"/>
        </w:rPr>
        <w:t>a protección de</w:t>
      </w:r>
      <w:r>
        <w:rPr>
          <w:lang w:val="en-US"/>
        </w:rPr>
        <w:t xml:space="preserve">l cuerpo constitucional </w:t>
      </w:r>
      <w:r>
        <w:rPr>
          <w:lang w:val="es-ES"/>
        </w:rPr>
        <w:t>y el respeto a los derechos y libertades de los ciudadanos.</w:t>
      </w:r>
    </w:p>
    <w:p>
      <w:pPr>
        <w:pStyle w:val="style0"/>
        <w:numPr>
          <w:ilvl w:val="0"/>
          <w:numId w:val="10"/>
        </w:numPr>
        <w:rPr>
          <w:lang w:val="es-ES"/>
        </w:rPr>
      </w:pPr>
      <w:r>
        <w:rPr>
          <w:lang w:val="es-ES"/>
        </w:rPr>
        <w:t>Inter</w:t>
      </w:r>
      <w:r>
        <w:rPr>
          <w:lang w:val="en-US"/>
        </w:rPr>
        <w:t>gra</w:t>
      </w:r>
      <w:r>
        <w:rPr>
          <w:lang w:val="en-US"/>
        </w:rPr>
        <w:t>r</w:t>
      </w:r>
      <w:r>
        <w:rPr>
          <w:lang w:val="es-ES"/>
        </w:rPr>
        <w:t xml:space="preserve"> el marco jurídico ordenador de</w:t>
      </w:r>
      <w:r>
        <w:rPr>
          <w:lang w:val="en-US"/>
        </w:rPr>
        <w:t xml:space="preserve">l proceso administrativo </w:t>
      </w:r>
      <w:r>
        <w:rPr>
          <w:lang w:val="es-ES"/>
        </w:rPr>
        <w:t xml:space="preserve">y del ejercicio </w:t>
      </w:r>
      <w:r>
        <w:rPr>
          <w:lang w:val="en-US"/>
        </w:rPr>
        <w:t>jurisdicci</w:t>
      </w:r>
      <w:r>
        <w:rPr>
          <w:lang w:val="en-US"/>
        </w:rPr>
        <w:t>onal</w:t>
      </w:r>
      <w:r>
        <w:rPr>
          <w:lang w:val="es-ES"/>
        </w:rPr>
        <w:t>, como sistema, pero también desde las piezas normativas específicas que lo integran, teniendo en cuenta las particularidades de la realidad nacional.</w:t>
      </w:r>
    </w:p>
    <w:p>
      <w:pPr>
        <w:pStyle w:val="style0"/>
        <w:numPr>
          <w:ilvl w:val="0"/>
          <w:numId w:val="10"/>
        </w:numPr>
        <w:rPr>
          <w:lang w:val="es-ES"/>
        </w:rPr>
      </w:pPr>
      <w:r>
        <w:rPr>
          <w:lang w:val="en-US"/>
        </w:rPr>
        <w:t xml:space="preserve">Valorar </w:t>
      </w:r>
      <w:r>
        <w:rPr>
          <w:lang w:val="en-US"/>
        </w:rPr>
        <w:t xml:space="preserve">los </w:t>
      </w:r>
      <w:r>
        <w:rPr>
          <w:lang w:val="es-ES"/>
        </w:rPr>
        <w:t xml:space="preserve">conocimientos adquiridos en el proceso de enseñanza-aprendizaje de otras disciplinas jurídicas, que son de necesaria aplicación en el conocimiento del Derecho </w:t>
      </w:r>
      <w:r>
        <w:rPr>
          <w:lang w:val="en-US"/>
        </w:rPr>
        <w:t>Procesal Constitucional</w:t>
      </w:r>
      <w:r>
        <w:rPr>
          <w:lang w:val="es-ES"/>
        </w:rPr>
        <w:t>; así como integrar los conocimientos adquiridos en la propia asignatura, en función de su percepción y comprensión como subsistema jurídico.</w:t>
      </w:r>
    </w:p>
    <w:p>
      <w:pPr>
        <w:pStyle w:val="style0"/>
        <w:rPr>
          <w:b/>
        </w:rPr>
      </w:pPr>
      <w:r>
        <w:rPr>
          <w:b/>
        </w:rPr>
        <w:t>Valores fundamentales de la carrera a los que tributa</w:t>
      </w:r>
    </w:p>
    <w:p>
      <w:pPr>
        <w:pStyle w:val="style0"/>
        <w:rPr>
          <w:lang w:val="es-ES"/>
        </w:rPr>
      </w:pPr>
      <w:r>
        <w:rPr>
          <w:lang w:val="es-ES"/>
        </w:rPr>
        <w:t xml:space="preserve">Se desarrollan en los estudiantes valores imprescindibles para el adecuado desempeño de los profesionales del Derecho, en el ámbito jurídico o fuera de él, con especial énfasis en los relativos al respecto del ideal de justicia; el respecto al Derecho y al orden </w:t>
      </w:r>
      <w:r>
        <w:rPr>
          <w:lang w:val="en-US"/>
        </w:rPr>
        <w:t>constitucional</w:t>
      </w:r>
      <w:r>
        <w:rPr>
          <w:lang w:val="es-ES"/>
        </w:rPr>
        <w:t xml:space="preserve">; el respecto y defensa del interés público y los derechos y libertades de los ciudadanos; la vocación de servicio a la comunidad y la conciencia pública; la moralidad y transparencia en el actuar público; la responsabilidad en el ámbito del funcionamiento </w:t>
      </w:r>
      <w:r>
        <w:rPr>
          <w:lang w:val="en-US"/>
        </w:rPr>
        <w:t xml:space="preserve">de la </w:t>
      </w:r>
      <w:r>
        <w:rPr>
          <w:lang w:val="en-US"/>
        </w:rPr>
        <w:t>C</w:t>
      </w:r>
      <w:r>
        <w:rPr>
          <w:lang w:val="en-US"/>
        </w:rPr>
        <w:t>onstitución</w:t>
      </w:r>
      <w:r>
        <w:rPr>
          <w:lang w:val="en-US"/>
        </w:rPr>
        <w:t xml:space="preserve"> y</w:t>
      </w:r>
      <w:r>
        <w:rPr>
          <w:lang w:val="en-US"/>
        </w:rPr>
        <w:t xml:space="preserve"> </w:t>
      </w:r>
      <w:r>
        <w:rPr>
          <w:lang w:val="es-ES"/>
        </w:rPr>
        <w:t>la defensa de la independencia y soberanía nacionales; y la participación ciudadana en el espacio de actuación pública como elemento necesario para un ejercicio del poder más funcional.</w:t>
      </w:r>
    </w:p>
    <w:p>
      <w:pPr>
        <w:pStyle w:val="style0"/>
        <w:rPr>
          <w:b/>
          <w:bCs/>
        </w:rPr>
      </w:pPr>
      <w:r>
        <w:rPr>
          <w:b/>
          <w:bCs/>
        </w:rPr>
        <w:t>INDICACIONES METODOLÓGICAS Y DE ORGANIZACIÓN DE LA ASIGNATURA</w:t>
      </w:r>
    </w:p>
    <w:p>
      <w:pPr>
        <w:pStyle w:val="style0"/>
        <w:rPr>
          <w:lang w:val="es-ES"/>
        </w:rPr>
      </w:pPr>
      <w:r>
        <w:rPr>
          <w:lang w:val="es-ES"/>
        </w:rPr>
        <w:t xml:space="preserve">Para cumplir los objetivos de la asignatura, el sistema de habilidades y el de conocimientos, la asignatura deberá impartirse por medio de actividades lectivas presenciales: conferencias, </w:t>
      </w:r>
      <w:r>
        <w:rPr>
          <w:lang w:val="es-ES"/>
        </w:rPr>
        <w:t xml:space="preserve">seminarios y </w:t>
      </w:r>
      <w:r>
        <w:rPr>
          <w:lang w:val="en-US"/>
        </w:rPr>
        <w:t>talleres</w:t>
      </w:r>
      <w:r>
        <w:rPr>
          <w:lang w:val="es-ES"/>
        </w:rPr>
        <w:t xml:space="preserve">. Por lo que el profesor debe potenciar la motivación de los estudiantes por la asignatura y su estudio consciente, salvando las peculiaridades de cada una de esas formas lectivas, según de regulan en el vigente reglamento docente-metodológico. </w:t>
      </w:r>
    </w:p>
    <w:p>
      <w:pPr>
        <w:pStyle w:val="style0"/>
        <w:rPr>
          <w:lang w:val="es-ES"/>
        </w:rPr>
      </w:pPr>
      <w:r>
        <w:rPr>
          <w:lang w:val="es-ES"/>
        </w:rPr>
        <w:t xml:space="preserve">En las conferencias se brindarán las orientaciones básicas para el estudio de los contenidos esenciales y se orientará el estudio independiente para los estudiantes </w:t>
      </w:r>
    </w:p>
    <w:p>
      <w:pPr>
        <w:pStyle w:val="style0"/>
        <w:rPr>
          <w:lang w:val="es-ES"/>
        </w:rPr>
      </w:pPr>
      <w:r>
        <w:rPr>
          <w:lang w:val="es-ES"/>
        </w:rPr>
        <w:t xml:space="preserve">Los seminarios serán el espacio en el que se comprobará el estudio independiente de los estudiantes.  </w:t>
      </w:r>
    </w:p>
    <w:p>
      <w:pPr>
        <w:pStyle w:val="style0"/>
        <w:rPr>
          <w:lang w:val="es-ES"/>
        </w:rPr>
      </w:pPr>
      <w:r>
        <w:rPr>
          <w:lang w:val="es-ES"/>
        </w:rPr>
        <w:t xml:space="preserve">Por su parte las </w:t>
      </w:r>
      <w:r>
        <w:rPr>
          <w:lang w:val="en-US"/>
        </w:rPr>
        <w:t>talleres</w:t>
      </w:r>
      <w:r>
        <w:rPr>
          <w:lang w:val="es-ES"/>
        </w:rPr>
        <w:t xml:space="preserve"> estarán encaminadas a la comprobación de habilidades prácticas y, a juicio del colectivo de asignatura, podrán implementarse en aquellos temas que requieran de la formación y constatación de esas habilidades en los estudiantes; algo que es factible dejar a la valoración oportuna de los profesores.</w:t>
      </w:r>
    </w:p>
    <w:p>
      <w:pPr>
        <w:pStyle w:val="style0"/>
        <w:rPr>
          <w:lang w:val="es-ES"/>
        </w:rPr>
      </w:pPr>
      <w:r>
        <w:rPr>
          <w:lang w:val="es-ES"/>
        </w:rPr>
        <w:t xml:space="preserve">Con respecto a las estrategias curriculares de la Facultad, la asignatura tributa a:  </w:t>
      </w:r>
    </w:p>
    <w:p>
      <w:pPr>
        <w:pStyle w:val="style0"/>
        <w:rPr>
          <w:lang w:val="es-ES"/>
        </w:rPr>
      </w:pPr>
      <w:r>
        <w:rPr>
          <w:lang w:val="es-ES"/>
        </w:rPr>
        <w:t>Sobre la formación en la Computación: La asignatura cuenta con materiales colocados en el espacio de intranet de la Facultad, así como con una carpeta electrónica en la cual se han incluido libros, artículos, legislación y fallos jurisprudenciales, que sirven de complemento para la enseñanza y el estudio de la asignatura, y el desarrollo de las diversas actividades lectivas. Igualmente se contempla la búsqueda en sitios web especializados a fines de mantener el acceso y la actualización de los conocimientos. Asimismo, de coloca el plan de clases, sumarios, orientación bibliográfico pro tema en la intranet a los efectos que el estudiante de seguimiento del desarrollo de la asignatura por esa vía.</w:t>
      </w:r>
    </w:p>
    <w:p>
      <w:pPr>
        <w:pStyle w:val="style0"/>
        <w:rPr>
          <w:lang w:val="es-ES"/>
        </w:rPr>
      </w:pPr>
      <w:r>
        <w:rPr>
          <w:lang w:val="es-ES"/>
        </w:rPr>
        <w:t>Sobre la formación en Idiomas extranjeros: Se debe potenciar en la asignatura el uso de textos en idioma extranjero, y los estudiantes deberán leer y estudiar textos en francés e inglés, preferentemente; aunque también, de ser posible, en italiano, alemán y portugués, por ser los espacios geográficos y culturales -fuera del hispano- de mayor relación con esta rama. Esas lecturas deben dirigirse hacia el conocimiento y uso de los autores clásicos de la materia, de doctrina actualizada, y de la legislación y la jurisprudencia. Esta acción con el idioma resulta necesaria, sobre todo si tomamos en cuenta el origen francés del Derecho</w:t>
      </w:r>
      <w:r>
        <w:rPr>
          <w:lang w:val="es-ES"/>
        </w:rPr>
        <w:t xml:space="preserve"> y la importancia del estudio de la doctrina y los ordenamientos jurídicos comparados. Ello a los fines del conocimiento de la realidad teórico-práctica que presenta el Derecho </w:t>
      </w:r>
      <w:r>
        <w:rPr>
          <w:lang w:val="en-US"/>
        </w:rPr>
        <w:t xml:space="preserve">Procesal Constitucional </w:t>
      </w:r>
      <w:r>
        <w:rPr>
          <w:lang w:val="es-ES"/>
        </w:rPr>
        <w:t xml:space="preserve">en la actualidad, y a través de su evolución, en otros países, y que esos textos sean fuente de conocimiento para arribar a conclusiones acerca del tratamiento y evolución de instituciones jurídico </w:t>
      </w:r>
      <w:r>
        <w:rPr>
          <w:lang w:val="en-US"/>
        </w:rPr>
        <w:t>pro</w:t>
      </w:r>
      <w:r>
        <w:rPr>
          <w:lang w:val="en-US"/>
        </w:rPr>
        <w:t xml:space="preserve">cesales </w:t>
      </w:r>
      <w:r>
        <w:rPr>
          <w:lang w:val="es-ES"/>
        </w:rPr>
        <w:t xml:space="preserve">esenciales para el desarrollo de la materia. Normalmente, esos materiales bibliográficos serán utilizados como bibliografía complementaria, y estimulando su uso además en trabajos </w:t>
      </w:r>
      <w:r>
        <w:rPr>
          <w:lang w:val="es-ES"/>
        </w:rPr>
        <w:t>extraclases</w:t>
      </w:r>
      <w:r>
        <w:rPr>
          <w:lang w:val="es-ES"/>
        </w:rPr>
        <w:t xml:space="preserve"> con este objetivo, los que puede ser objeto de análisis y discusión en clase.</w:t>
      </w:r>
    </w:p>
    <w:p>
      <w:pPr>
        <w:pStyle w:val="style0"/>
        <w:rPr>
          <w:lang w:val="es-ES"/>
        </w:rPr>
      </w:pPr>
      <w:r>
        <w:rPr>
          <w:lang w:val="es-ES"/>
        </w:rPr>
        <w:t xml:space="preserve">Sobre la prevención: Precisamente, a partir de la dimensión ética que subyace en la asignatura y su enseñanza, y del complejo de valores sociales que desde la misma se proyectan y sorbe los que se trabaja, en esta se tiene en miras directa, desde la vocación social, la proyección y fortalecimiento en el estudiante de una conciencia social, de respeto transformador al orden establecido, se repulsa y combate a cualquier manifestación deshonesta en la esfera </w:t>
      </w:r>
      <w:r>
        <w:rPr>
          <w:lang w:val="es-ES"/>
        </w:rPr>
        <w:t>iuspública</w:t>
      </w:r>
      <w:r>
        <w:rPr>
          <w:lang w:val="es-ES"/>
        </w:rPr>
        <w:t>, y de entendimiento de los efectos lesivos para la sociedad que tiene no prevenir conductas antijurídicas e inmorales de los diversos operadores del trafico jurídico-</w:t>
      </w:r>
      <w:r>
        <w:rPr>
          <w:lang w:val="en-US"/>
        </w:rPr>
        <w:t>Constitucional</w:t>
      </w:r>
      <w:r>
        <w:rPr>
          <w:lang w:val="es-ES"/>
        </w:rPr>
        <w:t>.</w:t>
      </w:r>
    </w:p>
    <w:p>
      <w:pPr>
        <w:pStyle w:val="style0"/>
        <w:rPr>
          <w:lang w:val="es-ES"/>
        </w:rPr>
      </w:pPr>
      <w:r>
        <w:rPr>
          <w:lang w:val="es-ES"/>
        </w:rPr>
        <w:t xml:space="preserve">Sobre la formación económica: La asignatura se conecta directamente con el universo económico atendiendo a que buena parte de sus contenidos se relacionan con el espacio de configuración jurídica de la economía y de la intervención </w:t>
      </w:r>
      <w:r>
        <w:rPr>
          <w:lang w:val="en-US"/>
        </w:rPr>
        <w:t xml:space="preserve">Constitucional </w:t>
      </w:r>
      <w:r>
        <w:rPr>
          <w:lang w:val="es-ES"/>
        </w:rPr>
        <w:t>en ella, así como con las técnicas jurídico-</w:t>
      </w:r>
      <w:r>
        <w:rPr>
          <w:lang w:val="en-US"/>
        </w:rPr>
        <w:t xml:space="preserve">Constitucional </w:t>
      </w:r>
      <w:r>
        <w:rPr>
          <w:lang w:val="es-ES"/>
        </w:rPr>
        <w:t>de intervención en el tráfico económico. A partir de ese conocimiento se tributa a la formación de conciencia económica en los estudiantes, se le provee del conocimiento sobre algunos de los principales resortes generales y particulares que operan como expresión de intervención del Estado en el ámbito económico. En las clases se incorporan análisis jurídicos de las cuestiones económicas relacionadas con la Administración Pública</w:t>
      </w:r>
      <w:r>
        <w:rPr>
          <w:lang w:val="es-ES"/>
        </w:rPr>
        <w:t xml:space="preserve"> </w:t>
      </w:r>
      <w:r>
        <w:rPr>
          <w:lang w:val="en-US"/>
        </w:rPr>
        <w:t>y los nuevos actores privados</w:t>
      </w:r>
      <w:r>
        <w:rPr>
          <w:lang w:val="en-US"/>
        </w:rPr>
        <w:t xml:space="preserve">, </w:t>
      </w:r>
      <w:r>
        <w:rPr>
          <w:lang w:val="es-ES"/>
        </w:rPr>
        <w:t xml:space="preserve">a tenor de las decisiones político-económicas que implementa </w:t>
      </w:r>
      <w:r>
        <w:rPr>
          <w:lang w:val="en-US"/>
        </w:rPr>
        <w:t>en la Co</w:t>
      </w:r>
      <w:r>
        <w:rPr>
          <w:lang w:val="en-US"/>
        </w:rPr>
        <w:t>nstitución</w:t>
      </w:r>
      <w:r>
        <w:rPr>
          <w:lang w:val="es-ES"/>
        </w:rPr>
        <w:t xml:space="preserve">, de forma tal que el estudiante </w:t>
      </w:r>
      <w:r>
        <w:rPr>
          <w:lang w:val="en-US"/>
        </w:rPr>
        <w:t>s</w:t>
      </w:r>
      <w:r>
        <w:rPr>
          <w:lang w:val="es-ES"/>
        </w:rPr>
        <w:t>e apropie de esa realidad, pero desde un carácter creador y transformador de esa realidad jurídica, en lo que pueda ser pertinente.</w:t>
      </w:r>
    </w:p>
    <w:p>
      <w:pPr>
        <w:pStyle w:val="style0"/>
        <w:rPr>
          <w:lang w:val="es-ES"/>
        </w:rPr>
      </w:pPr>
      <w:r>
        <w:rPr>
          <w:lang w:val="es-ES"/>
        </w:rPr>
        <w:t xml:space="preserve">Sobre la Historia: La asignatura tiene una importante vinculación con la Historia, en tanto la perspectiva histórica permite la cabal comprensión de muchos de los fenómenos cuya ordenación jurídica se estudia bajo la perspectiva del Derecho </w:t>
      </w:r>
      <w:r>
        <w:rPr>
          <w:lang w:val="en-US"/>
        </w:rPr>
        <w:t>Procesal Constitucional</w:t>
      </w:r>
      <w:r>
        <w:rPr>
          <w:lang w:val="es-ES"/>
        </w:rPr>
        <w:t xml:space="preserve">. Por lo tanto, el análisis de situaciones históricas o la referencia constante a las mismas cuando sea pertinente, como algo forzado sino propio, no es solo un complemente necesario para la mejor enseñanza y el adecuado </w:t>
      </w:r>
      <w:r>
        <w:rPr>
          <w:lang w:val="es-ES"/>
        </w:rPr>
        <w:t xml:space="preserve">aprendizaje del Derecho </w:t>
      </w:r>
      <w:r>
        <w:rPr>
          <w:lang w:val="en-US"/>
        </w:rPr>
        <w:t>Constitucional</w:t>
      </w:r>
      <w:r>
        <w:rPr>
          <w:lang w:val="es-ES"/>
        </w:rPr>
        <w:t>, sino que se convierte en acción clave de imbricación natural con ello y en un método de inexcusable aplicación. De esta forma se potencia el conocimiento de la Historia, la relación Historia-Derecho, en especial.</w:t>
      </w:r>
    </w:p>
    <w:p>
      <w:pPr>
        <w:pStyle w:val="style0"/>
        <w:rPr>
          <w:lang w:val="es-ES"/>
        </w:rPr>
      </w:pPr>
      <w:r>
        <w:rPr>
          <w:lang w:val="es-ES"/>
        </w:rPr>
        <w:t>Sobre la formación ética: La asignatura, a través de todos sus contenidos y actividades, tributa directamente a la formación ética del estudiante, precisamente en una dinámica de valores que pone al descubierto no solo la base axiológica de</w:t>
      </w:r>
      <w:r>
        <w:rPr>
          <w:lang w:val="es-ES"/>
        </w:rPr>
        <w:t xml:space="preserve"> </w:t>
      </w:r>
      <w:r>
        <w:rPr>
          <w:lang w:val="en-US"/>
        </w:rPr>
        <w:t>la Constitución</w:t>
      </w:r>
      <w:r>
        <w:rPr>
          <w:lang w:val="es-ES"/>
        </w:rPr>
        <w:t>, sino de la dinámica Estado-individuo</w:t>
      </w:r>
      <w:r>
        <w:rPr>
          <w:lang w:val="en-US"/>
        </w:rPr>
        <w:t>-</w:t>
      </w:r>
      <w:r>
        <w:rPr>
          <w:lang w:val="en-US"/>
        </w:rPr>
        <w:t>Co</w:t>
      </w:r>
      <w:r>
        <w:rPr>
          <w:lang w:val="en-US"/>
        </w:rPr>
        <w:t>nstitución</w:t>
      </w:r>
      <w:r>
        <w:rPr>
          <w:lang w:val="es-ES"/>
        </w:rPr>
        <w:t xml:space="preserve"> y lo que la misma ha de significar a partir de ese componente axiológico, pero en función del fortalecimiento ético del jurista como actor esencial en ese resorte de relación. La asignatura provee importantes claves de formación en valores ético con proyección social, que deben ser desarrolladas y fortalecidas a cada paso por los docentes y a través de la búsqueda del conocimiento por parte del propio estudiante.</w:t>
      </w:r>
    </w:p>
    <w:p>
      <w:pPr>
        <w:pStyle w:val="style0"/>
        <w:rPr>
          <w:lang w:val="es-ES"/>
        </w:rPr>
      </w:pPr>
      <w:r>
        <w:rPr>
          <w:lang w:val="es-ES"/>
        </w:rPr>
        <w:t xml:space="preserve">Sobre la preparación para la defensa: La asignatura se conecta directamente con al ámbito de la defensa, en tanto provee herramientas de conocimiento directamente aplicable a esa parte de la </w:t>
      </w:r>
      <w:r>
        <w:rPr>
          <w:lang w:val="en-US"/>
        </w:rPr>
        <w:t>defensa de la Constitución</w:t>
      </w:r>
      <w:r>
        <w:rPr>
          <w:lang w:val="es-ES"/>
        </w:rPr>
        <w:t xml:space="preserve">, que, en tanto sector especial, es precisamente la </w:t>
      </w:r>
      <w:r>
        <w:rPr>
          <w:lang w:val="en-US"/>
        </w:rPr>
        <w:t>mili</w:t>
      </w:r>
      <w:r>
        <w:rPr>
          <w:lang w:val="en-US"/>
        </w:rPr>
        <w:t>tar</w:t>
      </w:r>
      <w:r>
        <w:rPr>
          <w:lang w:val="es-ES"/>
        </w:rPr>
        <w:t xml:space="preserve"> (representada en el MINFAR) y de Orden Interior (MININT). En los contenidos, de manera usual, aparecen referencias a este tipo de sector, no solo como noticia sino a efectos de entender el fundamento jurídico-</w:t>
      </w:r>
      <w:r>
        <w:rPr>
          <w:lang w:val="en-US"/>
        </w:rPr>
        <w:t>Constitucional</w:t>
      </w:r>
      <w:r>
        <w:rPr>
          <w:lang w:val="es-ES"/>
        </w:rPr>
        <w:t xml:space="preserve"> de su organización y funcionamiento, en tanto parte especial del contexto general que se trata. Esta conexión es elemento necesario para trabajar en función del entendimiento por parte del estudiante de la importancia que el sector de la defensa adquiere para nuestro país, y en nuestras condiciones histórico-sociales. </w:t>
      </w:r>
    </w:p>
    <w:p>
      <w:pPr>
        <w:pStyle w:val="style0"/>
        <w:rPr>
          <w:lang w:val="es-ES"/>
        </w:rPr>
      </w:pPr>
      <w:r>
        <w:rPr>
          <w:lang w:val="es-ES"/>
        </w:rPr>
        <w:t xml:space="preserve">Sobre la formación básica en la Disciplina de Marxismo: La asignatura tiene en la aplicación del método marxista un pilar esencial para el entendimiento de sus contenidos. De tal suerte, la aplicación de este método, y la alusión y el estudio de los clásicos del marxismo en relación con las cuestiones existenciales relativas a </w:t>
      </w:r>
      <w:r>
        <w:rPr>
          <w:lang w:val="en-US"/>
        </w:rPr>
        <w:t xml:space="preserve">los </w:t>
      </w:r>
      <w:r>
        <w:rPr>
          <w:lang w:val="en-US"/>
        </w:rPr>
        <w:t>Pr</w:t>
      </w:r>
      <w:r>
        <w:rPr>
          <w:lang w:val="en-US"/>
        </w:rPr>
        <w:t>ocesos</w:t>
      </w:r>
      <w:r>
        <w:rPr>
          <w:lang w:val="en-US"/>
        </w:rPr>
        <w:t xml:space="preserve"> Constitucionales</w:t>
      </w:r>
      <w:r>
        <w:rPr>
          <w:lang w:val="es-ES"/>
        </w:rPr>
        <w:t>, en lo que sean pertinente, son recursos necesarios para impartir la asignatura; desde una perspectiva no forzada, sino natural que provee claves de entendimiento del marxismo como prisma de interpretación y transformación jurídica de la sociedad.</w:t>
      </w:r>
    </w:p>
    <w:p>
      <w:pPr>
        <w:pStyle w:val="style0"/>
        <w:rPr>
          <w:b/>
          <w:lang w:val="es-ES"/>
        </w:rPr>
      </w:pPr>
      <w:r>
        <w:rPr>
          <w:b/>
          <w:lang w:val="es-ES"/>
        </w:rPr>
        <w:t>Sistema de evaluación</w:t>
      </w:r>
    </w:p>
    <w:p>
      <w:pPr>
        <w:pStyle w:val="style0"/>
        <w:rPr>
          <w:lang w:val="es-ES"/>
        </w:rPr>
      </w:pPr>
      <w:r>
        <w:rPr>
          <w:lang w:val="es-ES"/>
        </w:rPr>
        <w:t xml:space="preserve">La asignatura se evaluará a través de actividades evaluativas periódicas, trabajos </w:t>
      </w:r>
      <w:r>
        <w:rPr>
          <w:lang w:val="es-ES"/>
        </w:rPr>
        <w:t>extraclases</w:t>
      </w:r>
      <w:r>
        <w:rPr>
          <w:lang w:val="es-ES"/>
        </w:rPr>
        <w:t xml:space="preserve">, un examen </w:t>
      </w:r>
      <w:r>
        <w:rPr>
          <w:lang w:val="es-ES"/>
        </w:rPr>
        <w:t>intrasemestral</w:t>
      </w:r>
      <w:r>
        <w:rPr>
          <w:lang w:val="es-ES"/>
        </w:rPr>
        <w:t xml:space="preserve"> y un examen final.</w:t>
      </w:r>
    </w:p>
    <w:p>
      <w:pPr>
        <w:pStyle w:val="style0"/>
        <w:rPr>
          <w:b/>
          <w:bCs/>
          <w:lang w:val="es-ES"/>
        </w:rPr>
      </w:pPr>
      <w:r>
        <w:rPr>
          <w:b/>
          <w:bCs/>
          <w:lang w:val="es-ES"/>
        </w:rPr>
        <w:t>BIBLIOGRAFÍA</w:t>
      </w:r>
    </w:p>
    <w:p>
      <w:pPr>
        <w:pStyle w:val="style0"/>
        <w:rPr>
          <w:lang w:val="es-ES"/>
        </w:rPr>
      </w:pPr>
    </w:p>
    <w:p>
      <w:pPr>
        <w:pStyle w:val="style0"/>
        <w:rPr/>
      </w:pPr>
      <w:r>
        <w:br w:type="page"/>
      </w:r>
    </w:p>
    <w:sectPr>
      <w:headerReference w:type="default" r:id="rId2"/>
      <w:footerReference w:type="default" r:id="rId3"/>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cc"/>
    <w:family w:val="swiss"/>
    <w:pitch w:val="variable"/>
    <w:sig w:usb0="E0002EFF" w:usb1="C0007843" w:usb2="00000009" w:usb3="00000000" w:csb0="000001FF" w:csb1="00000000"/>
  </w:font>
  <w:font w:name="Times New Roman">
    <w:altName w:val="Times New Roman"/>
    <w:panose1 w:val="02020603050000020304"/>
    <w:charset w:val="cc"/>
    <w:family w:val="roman"/>
    <w:pitch w:val="variable"/>
    <w:sig w:usb0="E0002EFF" w:usb1="C000785B" w:usb2="00000009" w:usb3="00000000" w:csb0="000001FF" w:csb1="00000000"/>
  </w:font>
  <w:font w:name="Calibri">
    <w:altName w:val="Calibri"/>
    <w:panose1 w:val="020f0502020000030204"/>
    <w:charset w:val="cc"/>
    <w:family w:val="swiss"/>
    <w:pitch w:val="variable"/>
    <w:sig w:usb0="E0002AFF" w:usb1="C000247B" w:usb2="00000009" w:usb3="00000000" w:csb0="000001FF" w:csb1="00000000"/>
  </w:font>
  <w:font w:name="Courier New">
    <w:altName w:val="Courier New"/>
    <w:panose1 w:val="02070309020000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cc"/>
    <w:family w:val="swiss"/>
    <w:pitch w:val="variable"/>
    <w:sig w:usb0="E0002A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516AAD2"/>
    <w:lvl w:ilvl="0" w:tplc="0C0A0019">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
    <w:nsid w:val="00000001"/>
    <w:multiLevelType w:val="hybridMultilevel"/>
    <w:tmpl w:val="66009CD4"/>
    <w:lvl w:ilvl="0" w:tplc="4606A78E">
      <w:start w:val="1"/>
      <w:numFmt w:val="decimal"/>
      <w:lvlText w:val="%1."/>
      <w:lvlJc w:val="left"/>
      <w:pPr>
        <w:ind w:left="720" w:hanging="360"/>
      </w:pPr>
      <w:rPr>
        <w:rFonts w:ascii="Arial" w:hAnsi="Arial" w:hint="default"/>
        <w:b w:val="false"/>
        <w:i w:val="false"/>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2"/>
    <w:multiLevelType w:val="hybridMultilevel"/>
    <w:tmpl w:val="D00CE9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3"/>
    <w:multiLevelType w:val="hybridMultilevel"/>
    <w:tmpl w:val="9DD2F2CA"/>
    <w:lvl w:ilvl="0" w:tplc="0C0A000F">
      <w:start w:val="1"/>
      <w:numFmt w:val="bullet"/>
      <w:lvlText w:val="-"/>
      <w:lvlJc w:val="left"/>
      <w:pPr>
        <w:ind w:left="720" w:hanging="360"/>
      </w:pPr>
      <w:rPr>
        <w:rFonts w:ascii="Arial" w:cs="Arial" w:eastAsia="Calibri" w:hAnsi="Arial" w:hint="default"/>
      </w:rPr>
    </w:lvl>
    <w:lvl w:ilvl="1" w:tplc="0C0A0019" w:tentative="1">
      <w:start w:val="1"/>
      <w:numFmt w:val="bullet"/>
      <w:lvlText w:val="o"/>
      <w:lvlJc w:val="left"/>
      <w:pPr>
        <w:ind w:left="1440" w:hanging="360"/>
      </w:pPr>
      <w:rPr>
        <w:rFonts w:ascii="Courier New" w:cs="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cs="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cs="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A7C220A"/>
    <w:lvl w:ilvl="0" w:tplc="0468539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0000005"/>
    <w:multiLevelType w:val="hybridMultilevel"/>
    <w:tmpl w:val="6116FAF8"/>
    <w:lvl w:ilvl="0" w:tplc="6FE894EA">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cs="Courier New" w:hAnsi="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cs="Courier New" w:hAnsi="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cs="Courier New" w:hAnsi="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
    <w:nsid w:val="00000006"/>
    <w:multiLevelType w:val="hybridMultilevel"/>
    <w:tmpl w:val="F23A2376"/>
    <w:lvl w:ilvl="0" w:tplc="0C0A0001">
      <w:start w:val="1"/>
      <w:numFmt w:val="bullet"/>
      <w:lvlText w:val=""/>
      <w:lvlJc w:val="left"/>
      <w:pPr>
        <w:ind w:left="720" w:hanging="360"/>
      </w:pPr>
      <w:rPr>
        <w:rFonts w:ascii="Symbol" w:hAnsi="Symbol" w:hint="default"/>
        <w:b/>
        <w:color w:val="auto"/>
      </w:rPr>
    </w:lvl>
    <w:lvl w:ilvl="1" w:tplc="0C0A0003">
      <w:start w:val="1"/>
      <w:numFmt w:val="bullet"/>
      <w:lvlText w:val="-"/>
      <w:lvlJc w:val="left"/>
      <w:pPr>
        <w:ind w:left="1440" w:hanging="360"/>
      </w:pPr>
      <w:rPr>
        <w:rFonts w:ascii="Arial" w:cs="Arial" w:eastAsia="Calibri"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53A09458"/>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8">
    <w:nsid w:val="00000008"/>
    <w:multiLevelType w:val="hybridMultilevel"/>
    <w:tmpl w:val="8E42EF66"/>
    <w:lvl w:ilvl="0" w:tplc="0C0A0019">
      <w:start w:val="1"/>
      <w:numFmt w:val="decimal"/>
      <w:lvlText w:val="%1."/>
      <w:lvlJc w:val="left"/>
      <w:pPr>
        <w:tabs>
          <w:tab w:val="left" w:leader="none" w:pos="720"/>
        </w:tabs>
        <w:ind w:left="720" w:hanging="360"/>
      </w:pPr>
    </w:lvl>
    <w:lvl w:ilvl="1" w:tplc="0C0A0019">
      <w:start w:val="1"/>
      <w:numFmt w:val="decimal"/>
      <w:lvlText w:val="%2."/>
      <w:lvlJc w:val="left"/>
      <w:pPr>
        <w:tabs>
          <w:tab w:val="left" w:leader="none" w:pos="1440"/>
        </w:tabs>
        <w:ind w:left="1440" w:hanging="360"/>
      </w:pPr>
    </w:lvl>
    <w:lvl w:ilvl="2" w:tplc="0C0A001B">
      <w:start w:val="1"/>
      <w:numFmt w:val="decimal"/>
      <w:lvlText w:val="%3-"/>
      <w:lvlJc w:val="left"/>
      <w:pPr>
        <w:ind w:left="2340" w:hanging="360"/>
      </w:pPr>
      <w:rPr>
        <w:rFonts w:hint="default"/>
      </w:rPr>
    </w:lvl>
    <w:lvl w:ilvl="3" w:tplc="0C0A000F" w:tentative="1">
      <w:start w:val="1"/>
      <w:numFmt w:val="decimal"/>
      <w:lvlText w:val="%4."/>
      <w:lvlJc w:val="left"/>
      <w:pPr>
        <w:tabs>
          <w:tab w:val="left" w:leader="none" w:pos="2880"/>
        </w:tabs>
        <w:ind w:left="2880" w:hanging="360"/>
      </w:pPr>
    </w:lvl>
    <w:lvl w:ilvl="4" w:tplc="0C0A0019" w:tentative="1">
      <w:start w:val="1"/>
      <w:numFmt w:val="lowerLetter"/>
      <w:lvlText w:val="%5."/>
      <w:lvlJc w:val="left"/>
      <w:pPr>
        <w:tabs>
          <w:tab w:val="left" w:leader="none" w:pos="3600"/>
        </w:tabs>
        <w:ind w:left="3600" w:hanging="360"/>
      </w:pPr>
    </w:lvl>
    <w:lvl w:ilvl="5" w:tplc="0C0A001B" w:tentative="1">
      <w:start w:val="1"/>
      <w:numFmt w:val="lowerRoman"/>
      <w:lvlText w:val="%6."/>
      <w:lvlJc w:val="right"/>
      <w:pPr>
        <w:tabs>
          <w:tab w:val="left" w:leader="none" w:pos="4320"/>
        </w:tabs>
        <w:ind w:left="4320" w:hanging="180"/>
      </w:pPr>
    </w:lvl>
    <w:lvl w:ilvl="6" w:tplc="0C0A000F" w:tentative="1">
      <w:start w:val="1"/>
      <w:numFmt w:val="decimal"/>
      <w:lvlText w:val="%7."/>
      <w:lvlJc w:val="left"/>
      <w:pPr>
        <w:tabs>
          <w:tab w:val="left" w:leader="none" w:pos="5040"/>
        </w:tabs>
        <w:ind w:left="5040" w:hanging="360"/>
      </w:pPr>
    </w:lvl>
    <w:lvl w:ilvl="7" w:tplc="0C0A0019" w:tentative="1">
      <w:start w:val="1"/>
      <w:numFmt w:val="lowerLetter"/>
      <w:lvlText w:val="%8."/>
      <w:lvlJc w:val="left"/>
      <w:pPr>
        <w:tabs>
          <w:tab w:val="left" w:leader="none" w:pos="5760"/>
        </w:tabs>
        <w:ind w:left="5760" w:hanging="360"/>
      </w:pPr>
    </w:lvl>
    <w:lvl w:ilvl="8" w:tplc="0C0A001B" w:tentative="1">
      <w:start w:val="1"/>
      <w:numFmt w:val="lowerRoman"/>
      <w:lvlText w:val="%9."/>
      <w:lvlJc w:val="right"/>
      <w:pPr>
        <w:tabs>
          <w:tab w:val="left" w:leader="none" w:pos="6480"/>
        </w:tabs>
        <w:ind w:left="6480" w:hanging="180"/>
      </w:pPr>
    </w:lvl>
  </w:abstractNum>
  <w:abstractNum w:abstractNumId="9">
    <w:nsid w:val="00000009"/>
    <w:multiLevelType w:val="hybridMultilevel"/>
    <w:tmpl w:val="762C0242"/>
    <w:lvl w:ilvl="0" w:tplc="0C0A000F">
      <w:start w:val="1"/>
      <w:numFmt w:val="bullet"/>
      <w:lvlText w:val="-"/>
      <w:lvlJc w:val="left"/>
      <w:pPr>
        <w:ind w:left="720" w:hanging="360"/>
      </w:pPr>
      <w:rPr>
        <w:rFonts w:ascii="Arial" w:cs="Arial" w:eastAsia="Calibri" w:hAnsi="Arial" w:hint="default"/>
      </w:rPr>
    </w:lvl>
    <w:lvl w:ilvl="1" w:tplc="040A000F" w:tentative="1">
      <w:start w:val="1"/>
      <w:numFmt w:val="bullet"/>
      <w:lvlText w:val="o"/>
      <w:lvlJc w:val="left"/>
      <w:pPr>
        <w:ind w:left="1440" w:hanging="360"/>
      </w:pPr>
      <w:rPr>
        <w:rFonts w:ascii="Courier New" w:cs="Courier New" w:hAnsi="Courier New" w:hint="default"/>
      </w:rPr>
    </w:lvl>
    <w:lvl w:ilvl="2" w:tplc="B2A4D398" w:tentative="1">
      <w:start w:val="1"/>
      <w:numFmt w:val="bullet"/>
      <w:lvlText w:val=""/>
      <w:lvlJc w:val="left"/>
      <w:pPr>
        <w:ind w:left="2160" w:hanging="360"/>
      </w:pPr>
      <w:rPr>
        <w:rFonts w:ascii="Wingdings" w:hAnsi="Wingdings" w:hint="default"/>
      </w:rPr>
    </w:lvl>
    <w:lvl w:ilvl="3" w:tplc="040A000F" w:tentative="1">
      <w:start w:val="1"/>
      <w:numFmt w:val="bullet"/>
      <w:lvlText w:val=""/>
      <w:lvlJc w:val="left"/>
      <w:pPr>
        <w:ind w:left="2880" w:hanging="360"/>
      </w:pPr>
      <w:rPr>
        <w:rFonts w:ascii="Symbol" w:hAnsi="Symbol" w:hint="default"/>
      </w:rPr>
    </w:lvl>
    <w:lvl w:ilvl="4" w:tplc="040A0019" w:tentative="1">
      <w:start w:val="1"/>
      <w:numFmt w:val="bullet"/>
      <w:lvlText w:val="o"/>
      <w:lvlJc w:val="left"/>
      <w:pPr>
        <w:ind w:left="3600" w:hanging="360"/>
      </w:pPr>
      <w:rPr>
        <w:rFonts w:ascii="Courier New" w:cs="Courier New" w:hAnsi="Courier New" w:hint="default"/>
      </w:rPr>
    </w:lvl>
    <w:lvl w:ilvl="5" w:tplc="040A001B" w:tentative="1">
      <w:start w:val="1"/>
      <w:numFmt w:val="bullet"/>
      <w:lvlText w:val=""/>
      <w:lvlJc w:val="left"/>
      <w:pPr>
        <w:ind w:left="4320" w:hanging="360"/>
      </w:pPr>
      <w:rPr>
        <w:rFonts w:ascii="Wingdings" w:hAnsi="Wingdings" w:hint="default"/>
      </w:rPr>
    </w:lvl>
    <w:lvl w:ilvl="6" w:tplc="040A000F" w:tentative="1">
      <w:start w:val="1"/>
      <w:numFmt w:val="bullet"/>
      <w:lvlText w:val=""/>
      <w:lvlJc w:val="left"/>
      <w:pPr>
        <w:ind w:left="5040" w:hanging="360"/>
      </w:pPr>
      <w:rPr>
        <w:rFonts w:ascii="Symbol" w:hAnsi="Symbol" w:hint="default"/>
      </w:rPr>
    </w:lvl>
    <w:lvl w:ilvl="7" w:tplc="040A0019" w:tentative="1">
      <w:start w:val="1"/>
      <w:numFmt w:val="bullet"/>
      <w:lvlText w:val="o"/>
      <w:lvlJc w:val="left"/>
      <w:pPr>
        <w:ind w:left="5760" w:hanging="360"/>
      </w:pPr>
      <w:rPr>
        <w:rFonts w:ascii="Courier New" w:cs="Courier New" w:hAnsi="Courier New" w:hint="default"/>
      </w:rPr>
    </w:lvl>
    <w:lvl w:ilvl="8" w:tplc="040A001B"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55E3722"/>
    <w:lvl w:ilvl="0" w:tplc="EBFCB6F6">
      <w:start w:val="1"/>
      <w:numFmt w:val="decimal"/>
      <w:lvlText w:val="%1."/>
      <w:lvlJc w:val="left"/>
      <w:pPr>
        <w:ind w:left="644" w:hanging="360"/>
      </w:pPr>
      <w:rPr>
        <w:rFonts w:hint="default"/>
      </w:rPr>
    </w:lvl>
    <w:lvl w:ilvl="1" w:tplc="72582B3A" w:tentative="1">
      <w:start w:val="1"/>
      <w:numFmt w:val="lowerLetter"/>
      <w:lvlText w:val="%2."/>
      <w:lvlJc w:val="left"/>
      <w:pPr>
        <w:ind w:left="1364" w:hanging="360"/>
      </w:pPr>
    </w:lvl>
    <w:lvl w:ilvl="2" w:tplc="B7D02624" w:tentative="1">
      <w:start w:val="1"/>
      <w:numFmt w:val="lowerRoman"/>
      <w:lvlText w:val="%3."/>
      <w:lvlJc w:val="right"/>
      <w:pPr>
        <w:ind w:left="2084" w:hanging="180"/>
      </w:pPr>
    </w:lvl>
    <w:lvl w:ilvl="3" w:tplc="8E70DAE2" w:tentative="1">
      <w:start w:val="1"/>
      <w:numFmt w:val="decimal"/>
      <w:lvlText w:val="%4."/>
      <w:lvlJc w:val="left"/>
      <w:pPr>
        <w:ind w:left="2804" w:hanging="360"/>
      </w:pPr>
    </w:lvl>
    <w:lvl w:ilvl="4" w:tplc="9404E880" w:tentative="1">
      <w:start w:val="1"/>
      <w:numFmt w:val="lowerLetter"/>
      <w:lvlText w:val="%5."/>
      <w:lvlJc w:val="left"/>
      <w:pPr>
        <w:ind w:left="3524" w:hanging="360"/>
      </w:pPr>
    </w:lvl>
    <w:lvl w:ilvl="5" w:tplc="35D69E36" w:tentative="1">
      <w:start w:val="1"/>
      <w:numFmt w:val="lowerRoman"/>
      <w:lvlText w:val="%6."/>
      <w:lvlJc w:val="right"/>
      <w:pPr>
        <w:ind w:left="4244" w:hanging="180"/>
      </w:pPr>
    </w:lvl>
    <w:lvl w:ilvl="6" w:tplc="20F6DE48" w:tentative="1">
      <w:start w:val="1"/>
      <w:numFmt w:val="decimal"/>
      <w:lvlText w:val="%7."/>
      <w:lvlJc w:val="left"/>
      <w:pPr>
        <w:ind w:left="4964" w:hanging="360"/>
      </w:pPr>
    </w:lvl>
    <w:lvl w:ilvl="7" w:tplc="274E5E92" w:tentative="1">
      <w:start w:val="1"/>
      <w:numFmt w:val="lowerLetter"/>
      <w:lvlText w:val="%8."/>
      <w:lvlJc w:val="left"/>
      <w:pPr>
        <w:ind w:left="5684" w:hanging="360"/>
      </w:pPr>
    </w:lvl>
    <w:lvl w:ilvl="8" w:tplc="9DF42A82" w:tentative="1">
      <w:start w:val="1"/>
      <w:numFmt w:val="lowerRoman"/>
      <w:lvlText w:val="%9."/>
      <w:lvlJc w:val="right"/>
      <w:pPr>
        <w:ind w:left="6404" w:hanging="180"/>
      </w:pPr>
    </w:lvl>
  </w:abstractNum>
  <w:num w:numId="1">
    <w:abstractNumId w:val="2"/>
  </w:num>
  <w:num w:numId="2">
    <w:abstractNumId w:val="7"/>
  </w:num>
  <w:num w:numId="3">
    <w:abstractNumId w:val="0"/>
  </w:num>
  <w:num w:numId="4">
    <w:abstractNumId w:val="5"/>
  </w:num>
  <w:num w:numId="5">
    <w:abstractNumId w:val="9"/>
  </w:num>
  <w:num w:numId="6">
    <w:abstractNumId w:val="6"/>
  </w:num>
  <w:num w:numId="7">
    <w:abstractNumId w:val="8"/>
  </w:num>
  <w:num w:numId="8">
    <w:abstractNumId w:val="10"/>
  </w:num>
  <w:num w:numId="9">
    <w:abstractNumId w:val="1"/>
  </w:num>
  <w:num w:numId="10">
    <w:abstractNumId w:val="4"/>
  </w:num>
  <w:num w:numId="1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MX" w:bidi="ar-SA" w:eastAsia="en-US"/>
      </w:rPr>
    </w:rPrDefault>
    <w:pPrDefault>
      <w:pPr>
        <w:spacing w:after="160" w:lineRule="auto" w:line="259"/>
      </w:pPr>
    </w:pPrDefault>
  </w:docDefaults>
  <w:style w:type="paragraph" w:default="1" w:styleId="style0">
    <w:name w:val="Normal"/>
    <w:next w:val="style0"/>
    <w:qFormat/>
    <w:pPr>
      <w:autoSpaceDE w:val="false"/>
      <w:autoSpaceDN w:val="false"/>
      <w:adjustRightInd w:val="false"/>
      <w:spacing w:before="120" w:after="0" w:lineRule="auto" w:line="240"/>
      <w:jc w:val="both"/>
    </w:pPr>
    <w:rPr>
      <w:rFonts w:ascii="Arial" w:cs="Arial" w:eastAsia="Calibri" w:hAnsi="Arial"/>
      <w:sz w:val="24"/>
      <w:szCs w:val="24"/>
      <w:lang w:val="es-CO" w:eastAsia="es-CO"/>
    </w:rPr>
  </w:style>
  <w:style w:type="paragraph" w:styleId="style4">
    <w:name w:val="heading 4"/>
    <w:basedOn w:val="style0"/>
    <w:next w:val="style0"/>
    <w:link w:val="style4097"/>
    <w:qFormat/>
    <w:uiPriority w:val="9"/>
    <w:pPr>
      <w:keepNext/>
      <w:keepLines/>
      <w:outlineLvl w:val="3"/>
    </w:pPr>
    <w:rPr>
      <w:rFonts w:eastAsia="宋体"/>
      <w:b/>
      <w:iCs/>
      <w:lang w:val="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4 Car"/>
    <w:basedOn w:val="style65"/>
    <w:next w:val="style4097"/>
    <w:link w:val="style4"/>
    <w:uiPriority w:val="9"/>
    <w:rPr>
      <w:rFonts w:ascii="Arial" w:cs="Arial" w:eastAsia="宋体" w:hAnsi="Arial"/>
      <w:b/>
      <w:iCs/>
      <w:sz w:val="24"/>
      <w:szCs w:val="24"/>
      <w:lang w:val="es-ES" w:eastAsia="es-CO"/>
    </w:rPr>
  </w:style>
  <w:style w:type="paragraph" w:styleId="style179">
    <w:name w:val="List Paragraph"/>
    <w:basedOn w:val="style0"/>
    <w:next w:val="style179"/>
    <w:qFormat/>
    <w:uiPriority w:val="34"/>
    <w:pPr>
      <w:spacing w:before="0"/>
      <w:ind w:left="720"/>
      <w:contextualSpacing/>
    </w:pPr>
    <w:rPr>
      <w:rFonts w:ascii="Times New Roman" w:cs="Times New Roman" w:eastAsia="Times New Roman" w:hAnsi="Times New Roman"/>
      <w:lang w:val="es-ES" w:eastAsia="es-ES"/>
    </w:rPr>
  </w:style>
  <w:style w:type="table" w:styleId="style154">
    <w:name w:val="Table Grid"/>
    <w:basedOn w:val="style105"/>
    <w:next w:val="style154"/>
    <w:uiPriority w:val="59"/>
    <w:pPr>
      <w:spacing w:after="0" w:lineRule="auto" w:line="240"/>
    </w:pPr>
    <w:rPr>
      <w:rFonts w:ascii="Arial" w:cs="Times New Roman" w:eastAsia="Calibri" w:hAnsi="Arial"/>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8">
    <w:name w:val="Párrafo normal"/>
    <w:basedOn w:val="style0"/>
    <w:next w:val="style4098"/>
    <w:link w:val="style4099"/>
    <w:uiPriority w:val="99"/>
    <w:pPr>
      <w:widowControl w:val="false"/>
      <w:spacing w:after="120"/>
    </w:pPr>
    <w:rPr>
      <w:rFonts w:ascii="Times New Roman" w:cs="Times New Roman" w:eastAsia="Times New Roman" w:hAnsi="Times New Roman"/>
      <w:lang w:val="es-ES" w:eastAsia="es-ES"/>
    </w:rPr>
  </w:style>
  <w:style w:type="character" w:customStyle="1" w:styleId="style4099">
    <w:name w:val="Párrafo normal Car"/>
    <w:basedOn w:val="style65"/>
    <w:next w:val="style4099"/>
    <w:link w:val="style4098"/>
    <w:uiPriority w:val="99"/>
    <w:rPr>
      <w:rFonts w:ascii="Times New Roman" w:cs="Times New Roman" w:eastAsia="Times New Roman" w:hAnsi="Times New Roman"/>
      <w:sz w:val="24"/>
      <w:szCs w:val="24"/>
      <w:lang w:val="es-ES" w:eastAsia="es-ES"/>
    </w:rPr>
  </w:style>
  <w:style w:type="table" w:customStyle="1" w:styleId="style4100">
    <w:name w:val="Tabla con cuadrícula7"/>
    <w:basedOn w:val="style105"/>
    <w:next w:val="style154"/>
    <w:uiPriority w:val="59"/>
    <w:pPr>
      <w:spacing w:after="0" w:lineRule="auto" w:line="240"/>
    </w:pPr>
    <w:rPr>
      <w:rFonts w:ascii="Arial" w:cs="Times New Roman" w:eastAsia="Calibri" w:hAnsi="Arial"/>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6">
    <w:name w:val="Body Text"/>
    <w:basedOn w:val="style0"/>
    <w:next w:val="style66"/>
    <w:link w:val="style4101"/>
    <w:pPr>
      <w:spacing w:before="0" w:after="120" w:lineRule="auto" w:line="276"/>
    </w:pPr>
    <w:rPr>
      <w:rFonts w:ascii="Calibri" w:cs="Times New Roman" w:eastAsia="Times New Roman" w:hAnsi="Calibri"/>
      <w:sz w:val="22"/>
      <w:szCs w:val="22"/>
      <w:lang w:val="en-US"/>
    </w:rPr>
  </w:style>
  <w:style w:type="character" w:customStyle="1" w:styleId="style4101">
    <w:name w:val="Texto independiente Car"/>
    <w:basedOn w:val="style65"/>
    <w:next w:val="style4101"/>
    <w:link w:val="style66"/>
    <w:rPr>
      <w:rFonts w:ascii="Calibri" w:cs="Times New Roman" w:eastAsia="Times New Roman" w:hAnsi="Calibri"/>
      <w:lang w:val="en-US" w:eastAsia="es-CO"/>
    </w:rPr>
  </w:style>
  <w:style w:type="paragraph" w:styleId="style62">
    <w:name w:val="Title"/>
    <w:basedOn w:val="style0"/>
    <w:next w:val="style62"/>
    <w:link w:val="style4102"/>
    <w:qFormat/>
    <w:pPr>
      <w:autoSpaceDE/>
      <w:autoSpaceDN/>
      <w:adjustRightInd/>
      <w:spacing w:before="0"/>
      <w:jc w:val="center"/>
    </w:pPr>
    <w:rPr>
      <w:rFonts w:cs="Times New Roman" w:eastAsia="Times New Roman"/>
      <w:b/>
      <w:szCs w:val="20"/>
      <w:lang w:val="es-ES" w:eastAsia="es-ES"/>
    </w:rPr>
  </w:style>
  <w:style w:type="character" w:customStyle="1" w:styleId="style4102">
    <w:name w:val="Título Car"/>
    <w:basedOn w:val="style65"/>
    <w:next w:val="style4102"/>
    <w:link w:val="style62"/>
    <w:rPr>
      <w:rFonts w:ascii="Arial" w:cs="Times New Roman" w:eastAsia="Times New Roman" w:hAnsi="Arial"/>
      <w:b/>
      <w:sz w:val="24"/>
      <w:szCs w:val="20"/>
      <w:lang w:val="es-ES" w:eastAsia="es-E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Words>2283</Words>
  <Pages>7</Pages>
  <Characters>12981</Characters>
  <Application>WPS Office</Application>
  <DocSecurity>0</DocSecurity>
  <Paragraphs>123</Paragraphs>
  <ScaleCrop>false</ScaleCrop>
  <LinksUpToDate>false</LinksUpToDate>
  <CharactersWithSpaces>15220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2026-05-04T15:29:17Z</dcterms:created>
  <dc:creator>Andres Perez</dc:creator>
  <lastModifiedBy>23026RN54G</lastModifiedBy>
  <dcterms:modified xsi:type="dcterms:W3CDTF">2026-05-05T03:16:21Z</dcterms:modified>
  <revision>4</revision>
</coreProperties>
</file>

<file path=docProps/custom.xml><?xml version="1.0" encoding="utf-8"?>
<Properties xmlns="http://schemas.openxmlformats.org/officeDocument/2006/custom-properties" xmlns:vt="http://schemas.openxmlformats.org/officeDocument/2006/docPropsVTypes"/>
</file>