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56F25" w14:textId="77777777" w:rsidR="00F75402" w:rsidRPr="00D17E3C" w:rsidRDefault="00F75402" w:rsidP="00D17E3C">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ES"/>
        </w:rPr>
      </w:pPr>
      <w:r w:rsidRPr="00D17E3C">
        <w:rPr>
          <w:rFonts w:ascii="Times New Roman" w:eastAsia="Times New Roman" w:hAnsi="Times New Roman" w:cs="Times New Roman"/>
          <w:b/>
          <w:bCs/>
          <w:kern w:val="36"/>
          <w:sz w:val="48"/>
          <w:szCs w:val="48"/>
          <w:lang w:eastAsia="es-ES"/>
        </w:rPr>
        <w:t>Lección II</w:t>
      </w:r>
    </w:p>
    <w:p w14:paraId="5C45A360" w14:textId="77777777" w:rsidR="00F75402" w:rsidRPr="00D17E3C" w:rsidRDefault="00F75402" w:rsidP="00D17E3C">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D17E3C">
        <w:rPr>
          <w:rFonts w:ascii="Times New Roman" w:eastAsia="Times New Roman" w:hAnsi="Times New Roman" w:cs="Times New Roman"/>
          <w:b/>
          <w:bCs/>
          <w:sz w:val="36"/>
          <w:szCs w:val="36"/>
          <w:lang w:eastAsia="es-ES"/>
        </w:rPr>
        <w:t>Fundamentos constitucionales y legales del proceso de amparo de los derechos constitucionales en Cuba</w:t>
      </w:r>
    </w:p>
    <w:p w14:paraId="769977E8" w14:textId="30EED0B3"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 xml:space="preserve"> CONTENIDO </w:t>
      </w:r>
    </w:p>
    <w:p w14:paraId="7899FDE8" w14:textId="77777777" w:rsidR="00F75402" w:rsidRPr="00D17E3C" w:rsidRDefault="00F75402" w:rsidP="00D17E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Introducción: El tránsito de la Constitución-programa a la Constitución-norma.</w:t>
      </w:r>
    </w:p>
    <w:p w14:paraId="46AEAC96" w14:textId="77777777" w:rsidR="00F75402" w:rsidRPr="00D17E3C" w:rsidRDefault="00F75402" w:rsidP="00D17E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Los procesos en sede constitucional para la defensa de los derechos fundamentales en Cuba: evolución histórica.</w:t>
      </w:r>
    </w:p>
    <w:p w14:paraId="361FC159" w14:textId="77777777" w:rsidR="00F75402" w:rsidRPr="00D17E3C" w:rsidRDefault="00F75402" w:rsidP="00D17E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Las garantías jurisdiccionales y la Constitución de 2019: interrelación y sistema.</w:t>
      </w:r>
    </w:p>
    <w:p w14:paraId="7B49386A" w14:textId="77777777" w:rsidR="00F75402" w:rsidRPr="00D17E3C" w:rsidRDefault="00F75402" w:rsidP="00D17E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proceso de amparo para la defensa de los derechos constitucionales: jurisdicción y competencia.</w:t>
      </w:r>
    </w:p>
    <w:p w14:paraId="4306267B" w14:textId="77777777" w:rsidR="00F75402" w:rsidRPr="00D17E3C" w:rsidRDefault="00F75402" w:rsidP="00D17E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Principios rectores del proceso y para la interpretación de los derechos constitucionales.</w:t>
      </w:r>
    </w:p>
    <w:p w14:paraId="5DFF0CC8" w14:textId="77777777" w:rsidR="00F75402" w:rsidRPr="00D17E3C" w:rsidRDefault="00F75402" w:rsidP="00D17E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Presupuestos jurídicos para la existencia del proceso de amparo.</w:t>
      </w:r>
    </w:p>
    <w:p w14:paraId="1C9A352B" w14:textId="77777777" w:rsidR="00F75402" w:rsidRPr="00D17E3C" w:rsidRDefault="00F75402" w:rsidP="00D17E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Conclusiones: balance y desafíos del amparo en el ordenamiento cubano.</w:t>
      </w:r>
    </w:p>
    <w:p w14:paraId="04627D7F" w14:textId="77777777" w:rsidR="00F75402" w:rsidRPr="00D17E3C" w:rsidRDefault="00F75402" w:rsidP="00D17E3C">
      <w:pPr>
        <w:pStyle w:val="Ttulo2"/>
        <w:jc w:val="both"/>
        <w:rPr>
          <w:sz w:val="24"/>
          <w:szCs w:val="24"/>
        </w:rPr>
      </w:pPr>
      <w:r w:rsidRPr="00D17E3C">
        <w:rPr>
          <w:sz w:val="24"/>
          <w:szCs w:val="24"/>
        </w:rPr>
        <w:t>1. Introducción: El tránsito de la Constitución-programa a la Constitución-norma</w:t>
      </w:r>
    </w:p>
    <w:p w14:paraId="51752357" w14:textId="77777777" w:rsidR="00F75402" w:rsidRPr="00D17E3C" w:rsidRDefault="00F75402" w:rsidP="00D17E3C">
      <w:pPr>
        <w:pStyle w:val="ds-markdown-paragraph"/>
        <w:jc w:val="both"/>
      </w:pPr>
      <w:r w:rsidRPr="00D17E3C">
        <w:t>El estudio del proceso de amparo en Cuba exige situarlo en el marco de una transformación más profunda: el tránsito de una concepción de la Constitución como mero programa político a su consolidación como norma jurídica directa y vinculante. Esta metamorfosis no es exclusiva del constitucionalismo cubano; responde a una evolución general del Derecho Constitucional contemporáneo que, desde la segunda posguerra mundial, ha venido afirmando la fuerza normativa de la Constitución y su carácter de verdadera norma jurídica, superando la visión decimonónica que la reducía a un conjunto de principios orientadores carentes de aplicación directa.</w:t>
      </w:r>
    </w:p>
    <w:p w14:paraId="15D98EE9" w14:textId="77777777" w:rsidR="00F75402" w:rsidRPr="00D17E3C" w:rsidRDefault="00F75402" w:rsidP="00D17E3C">
      <w:pPr>
        <w:pStyle w:val="ds-markdown-paragraph"/>
        <w:jc w:val="both"/>
      </w:pPr>
      <w:r w:rsidRPr="00D17E3C">
        <w:t xml:space="preserve">Durante la vigencia de la Constitución de 1976, la doctrina y la práctica jurídica cubanas asumieron —con las matizaciones que cada cual quiera hacer— que los derechos constitucionales eran directrices, mandatos al legislador, pero no derechos subjetivos accionables directamente ante los tribunales. Esta concepción respondía a una determinada teoría de la Constitución, heredada del constitucionalismo socialista de matriz soviética, que reservaba al legislador la concreción de los derechos y confiaba al control político —no al judicial— la defensa de la supremacía constitucional. La ausencia de una jurisdicción constitucional, salvo el efímero y limitado control concentrado ejercido por el Tribunal Supremo en la década de 1970 conforme a la Ley de Organización del Sistema Judicial de 1973, vaciaba de efectividad el catálogo de derechos. Como ha señalado el profesor Carlos Manuel </w:t>
      </w:r>
      <w:proofErr w:type="spellStart"/>
      <w:r w:rsidRPr="00D17E3C">
        <w:t>Villabella</w:t>
      </w:r>
      <w:proofErr w:type="spellEnd"/>
      <w:r w:rsidRPr="00D17E3C">
        <w:t xml:space="preserve"> Armengol, "la Constitución de 1976 fue más un programa político que una norma jurídica directa, y sus disposiciones sobre derechos requerían inevitablemente de desarrollo legislativo para adquirir eficacia".</w:t>
      </w:r>
    </w:p>
    <w:p w14:paraId="564C2D00" w14:textId="77777777" w:rsidR="00F75402" w:rsidRPr="00D17E3C" w:rsidRDefault="00F75402" w:rsidP="00D17E3C">
      <w:pPr>
        <w:pStyle w:val="ds-markdown-paragraph"/>
        <w:jc w:val="both"/>
      </w:pPr>
      <w:r w:rsidRPr="00D17E3C">
        <w:t xml:space="preserve">Las consecuencias prácticas de este modelo fueron evidentes durante más de cuatro décadas: los ciudadanos carecían de un mecanismo procesal específico para reclamar ante los tribunales la vulneración de sus derechos constitucionales. Existían, ciertamente, vías administrativas y judiciales ordinarias para impugnar actos de la administración o para resolver conflictos entre particulares, pero ninguna de ellas estaba concebida para la tutela directa y preferente de los </w:t>
      </w:r>
      <w:r w:rsidRPr="00D17E3C">
        <w:lastRenderedPageBreak/>
        <w:t xml:space="preserve">derechos fundamentales. El denominado "amparo" regulado en los artículos 393 al 424 de la Ley de Procedimiento Civil, Administrativo, Laboral y Económico de 1977 nada tenía que ver con el amparo constitucional iberoamericano: era un interdicto para la protección de derechos en vía ordinaria, un amparo </w:t>
      </w:r>
      <w:r w:rsidRPr="00D17E3C">
        <w:rPr>
          <w:rStyle w:val="nfasis"/>
        </w:rPr>
        <w:t>civil</w:t>
      </w:r>
      <w:r w:rsidRPr="00D17E3C">
        <w:t xml:space="preserve">, no </w:t>
      </w:r>
      <w:r w:rsidRPr="00D17E3C">
        <w:rPr>
          <w:rStyle w:val="nfasis"/>
        </w:rPr>
        <w:t>constitucional</w:t>
      </w:r>
      <w:r w:rsidRPr="00D17E3C">
        <w:t>. Esta desconexión de la tradición continental europea e iberoamericana explica, en buena medida, las dificultades que hoy enfrenta la implementación del nuevo proceso.</w:t>
      </w:r>
    </w:p>
    <w:p w14:paraId="43674738" w14:textId="77777777" w:rsidR="00F75402" w:rsidRPr="00D17E3C" w:rsidRDefault="00F75402" w:rsidP="00D17E3C">
      <w:pPr>
        <w:pStyle w:val="ds-markdown-paragraph"/>
        <w:jc w:val="both"/>
      </w:pPr>
      <w:r w:rsidRPr="00D17E3C">
        <w:t>La Constitución de 2019, en su Título V, introduce un cambio de paradigma que no es meramente cuantitativo —por la ampliación del catálogo de derechos, que pasa de 12 a más de 70 artículos dedicados a derechos y garantías— sino cualitativamente disruptivo: establece un sistema de garantías. Y en el centro de ese sistema, como su principal engranaje, se sitúa el artículo 99 y su desarrollo legislativo: la Ley 153 de 2022, "Del Proceso de Amparo de los Derechos Constitucionales". Este precepto constitucional reconoce, por primera vez en el constitucionalismo socialista cubano, el derecho de toda persona a reclamar ante los tribunales la restitución de sus derechos constitucionales vulnerados por órganos del Estado, sus directivos, funcionarios o empleados, así como por particulares o entes no estatales. La inclusión de los particulares como posibles sujetos pasivos del amparo constituye, además, un reconocimiento implícito de la eficacia horizontal de los derechos fundamentales (</w:t>
      </w:r>
      <w:proofErr w:type="spellStart"/>
      <w:r w:rsidRPr="00D17E3C">
        <w:rPr>
          <w:rStyle w:val="nfasis"/>
        </w:rPr>
        <w:t>Drittwirkung</w:t>
      </w:r>
      <w:proofErr w:type="spellEnd"/>
      <w:r w:rsidRPr="00D17E3C">
        <w:t>), doctrina ampliamente desarrollada en el Derecho Constitucional comparado.</w:t>
      </w:r>
    </w:p>
    <w:p w14:paraId="6C241099" w14:textId="77777777" w:rsidR="00F75402" w:rsidRPr="00D17E3C" w:rsidRDefault="00F75402" w:rsidP="00D17E3C">
      <w:pPr>
        <w:pStyle w:val="ds-markdown-paragraph"/>
        <w:jc w:val="both"/>
      </w:pPr>
      <w:r w:rsidRPr="00D17E3C">
        <w:t>Como bien señala la profesora Martha Prieto Valdés, "derechos sin garantía son una mera fórmula legal". Esta afirmación, aparentemente sencilla, encierra una profunda verdad: la eficacia de los derechos no depende solo de su reconocimiento formal, sino de la existencia de mecanismos procesales que permitan hacerlos valer cuando son vulnerados. La historia del constitucionalismo demuestra que las declaraciones de derechos, por solemnes que sean, resultan insuficientes si no van acompañadas de garantías jurisdiccionales efectivas. En este sentido, la Ley 153/2022 no es solo una ley procesal más; es el instrumento que dota de eficacia a los derechos constitucionales, convirtiendo la norma suprema en algo más que un catálogo de buenas intenciones.</w:t>
      </w:r>
    </w:p>
    <w:p w14:paraId="3E9DB4F1" w14:textId="77777777" w:rsidR="00F75402" w:rsidRPr="00D17E3C" w:rsidRDefault="00F75402" w:rsidP="00D17E3C">
      <w:pPr>
        <w:pStyle w:val="ds-markdown-paragraph"/>
        <w:jc w:val="both"/>
      </w:pPr>
      <w:r w:rsidRPr="00D17E3C">
        <w:t>El reto que asume el constitucionalismo cubano contemporáneo es precisamente ese: transformar la fórmula legal en realidad forense, asegurando que los derechos reconocidos en la norma suprema puedan ser efectivamente tutelados por los tribunales. Este desafío tiene múltiples dimensiones: una dimensión normativa, que exige interpretar y aplicar la ley de manera coherente con los principios constitucionales; una dimensión institucional, que demanda la especialización de los órganos judiciales y la formación de jueces y abogados en la nueva cultura constitucional; y una dimensión cultural, que requiere un cambio de mentalidad en todos los operadores jurídicos, acostumbrados durante décadas a concebir la Constitución como un programa político y no como una norma directamente aplicable.</w:t>
      </w:r>
    </w:p>
    <w:p w14:paraId="43336907" w14:textId="77777777" w:rsidR="00F75402" w:rsidRPr="00D17E3C" w:rsidRDefault="00F75402" w:rsidP="00D17E3C">
      <w:pPr>
        <w:pStyle w:val="ds-markdown-paragraph"/>
        <w:jc w:val="both"/>
      </w:pPr>
      <w:r w:rsidRPr="00D17E3C">
        <w:t>Esta lección se propone analizar los fundamentos constitucionales y legales de ese proceso, su evolución histórica, su arquitectura normativa y los desafíos que plantea su implementación práctica. Para ello, partiremos de un examen detallado del artículo 99 constitucional y de la Ley 153/2022, para luego adentrarnos en el análisis de la jurisprudencia emergente y en la identificación de los principales problemas interpretativos que se han suscitado en los primeros años de aplicación.</w:t>
      </w:r>
    </w:p>
    <w:p w14:paraId="26510577" w14:textId="37C78D18" w:rsidR="00F75402" w:rsidRPr="00D17E3C" w:rsidRDefault="00F75402" w:rsidP="00D17E3C">
      <w:pPr>
        <w:pStyle w:val="ds-markdown-paragraph"/>
        <w:jc w:val="both"/>
      </w:pPr>
      <w:r w:rsidRPr="00D17E3C">
        <w:lastRenderedPageBreak/>
        <w:t xml:space="preserve">El proceso de amparo constituye la pieza clave del sistema de garantías jurisdiccionales diseñado por la Constitución de 2019, y su estudio requiere comprender tanto su fundamento normativo como su inserción en la evolución histórica de la justicia constitucional en Cuba. No se trata, por tanto, de una simple descripción de normas procesales, sino de un análisis crítico que permita valorar en qué medida este nuevo instrumento está contribuyendo a la efectividad de los derechos fundamentales y qué obstáculos es necesario superar para que su promesa se convierta en realidad. Como advierte el Dr. Jorge </w:t>
      </w:r>
      <w:proofErr w:type="spellStart"/>
      <w:r w:rsidRPr="00D17E3C">
        <w:t>Olver</w:t>
      </w:r>
      <w:proofErr w:type="spellEnd"/>
      <w:r w:rsidRPr="00D17E3C">
        <w:t xml:space="preserve"> </w:t>
      </w:r>
      <w:proofErr w:type="spellStart"/>
      <w:r w:rsidRPr="00D17E3C">
        <w:t>Mondelo</w:t>
      </w:r>
      <w:proofErr w:type="spellEnd"/>
      <w:r w:rsidRPr="00D17E3C">
        <w:t xml:space="preserve"> Tamayo, "el éxito del amparo no se medirá por el número de sentencias que se dicten, sino por su capacidad para hacer efectivos los derechos y para recordar a todos los poderes —públicos y privados— que la Constitución es, en efecto, la norma suprema.</w:t>
      </w:r>
    </w:p>
    <w:p w14:paraId="05B00E4E" w14:textId="77777777" w:rsidR="00F75402" w:rsidRPr="00D17E3C" w:rsidRDefault="00F75402" w:rsidP="00D17E3C">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D17E3C">
        <w:rPr>
          <w:rFonts w:ascii="Times New Roman" w:eastAsia="Times New Roman" w:hAnsi="Times New Roman" w:cs="Times New Roman"/>
          <w:b/>
          <w:bCs/>
          <w:sz w:val="27"/>
          <w:szCs w:val="27"/>
          <w:lang w:eastAsia="es-ES"/>
        </w:rPr>
        <w:t>2. Los procesos en sede constitucional para la defensa de los derechos fundamentales en Cuba: evolución histórica</w:t>
      </w:r>
    </w:p>
    <w:p w14:paraId="4E218700"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Para calibrar la magnitud de lo que significa el artículo 99, es imprescindible un breve excurso histórico. Como advierte el Dr. Jorge </w:t>
      </w:r>
      <w:proofErr w:type="spellStart"/>
      <w:r w:rsidRPr="00D17E3C">
        <w:rPr>
          <w:rFonts w:ascii="Times New Roman" w:eastAsia="Times New Roman" w:hAnsi="Times New Roman" w:cs="Times New Roman"/>
          <w:sz w:val="24"/>
          <w:szCs w:val="24"/>
          <w:lang w:eastAsia="es-ES"/>
        </w:rPr>
        <w:t>Olver</w:t>
      </w:r>
      <w:proofErr w:type="spellEnd"/>
      <w:r w:rsidRPr="00D17E3C">
        <w:rPr>
          <w:rFonts w:ascii="Times New Roman" w:eastAsia="Times New Roman" w:hAnsi="Times New Roman" w:cs="Times New Roman"/>
          <w:sz w:val="24"/>
          <w:szCs w:val="24"/>
          <w:lang w:eastAsia="es-ES"/>
        </w:rPr>
        <w:t xml:space="preserve"> </w:t>
      </w:r>
      <w:proofErr w:type="spellStart"/>
      <w:r w:rsidRPr="00D17E3C">
        <w:rPr>
          <w:rFonts w:ascii="Times New Roman" w:eastAsia="Times New Roman" w:hAnsi="Times New Roman" w:cs="Times New Roman"/>
          <w:sz w:val="24"/>
          <w:szCs w:val="24"/>
          <w:lang w:eastAsia="es-ES"/>
        </w:rPr>
        <w:t>Mondelo</w:t>
      </w:r>
      <w:proofErr w:type="spellEnd"/>
      <w:r w:rsidRPr="00D17E3C">
        <w:rPr>
          <w:rFonts w:ascii="Times New Roman" w:eastAsia="Times New Roman" w:hAnsi="Times New Roman" w:cs="Times New Roman"/>
          <w:sz w:val="24"/>
          <w:szCs w:val="24"/>
          <w:lang w:eastAsia="es-ES"/>
        </w:rPr>
        <w:t xml:space="preserve"> Tamayo, uno de los más lúcidos analistas de esta materia, existe el riesgo de que "obviemos factores y variables de diversa naturaleza —histórica, política, sociológica— que condicionan la postura asumida frente al debate". La historia de la justicia constitucional en Cuba es la historia de una tradición interrumpida y, finalmente, recuperada.</w:t>
      </w:r>
    </w:p>
    <w:p w14:paraId="7744DB78"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2.1. El control difuso de la República (1901-1940)</w:t>
      </w:r>
    </w:p>
    <w:p w14:paraId="7F9F0413" w14:textId="77777777" w:rsidR="00E3083C" w:rsidRPr="00D17E3C" w:rsidRDefault="00E3083C" w:rsidP="00D17E3C">
      <w:pPr>
        <w:pStyle w:val="ds-markdown-paragraph"/>
        <w:spacing w:before="120" w:beforeAutospacing="0" w:after="0" w:afterAutospacing="0"/>
        <w:jc w:val="both"/>
      </w:pPr>
      <w:r w:rsidRPr="00D17E3C">
        <w:t>Nuestra primera experiencia de justicia constitucional nace con la República. La Constitución de 1901, en su artículo 83, atribuyó al Tribunal Supremo la competencia para decidir "sobre la constitucionalidad de las leyes, decretos y reglamentos, cuando fuere objeto de controversia entre partes". Este precepto, aparentemente sencillo, inauguró en Cuba el control judicial de constitucionalidad y situó a nuestro país entre los pioneros del constitucionalismo latinoamericano en esta materia.</w:t>
      </w:r>
    </w:p>
    <w:p w14:paraId="126C5A72" w14:textId="77777777" w:rsidR="00E3083C" w:rsidRPr="00D17E3C" w:rsidRDefault="00E3083C" w:rsidP="00D17E3C">
      <w:pPr>
        <w:pStyle w:val="ds-markdown-paragraph"/>
        <w:spacing w:before="120" w:beforeAutospacing="0" w:after="0" w:afterAutospacing="0"/>
        <w:jc w:val="both"/>
      </w:pPr>
      <w:r w:rsidRPr="00D17E3C">
        <w:t xml:space="preserve">El sistema instaurado en 1901 presentaba características singulares que lo diferenciaban tanto del modelo norteamericano como del europeo. Era, ciertamente, un sistema de </w:t>
      </w:r>
      <w:r w:rsidRPr="00D17E3C">
        <w:rPr>
          <w:rStyle w:val="Textoennegrita"/>
        </w:rPr>
        <w:t>control difuso</w:t>
      </w:r>
      <w:r w:rsidRPr="00D17E3C">
        <w:t xml:space="preserve">, en el sentido de que cualquier juez podía plantear la cuestión de inconstitucionalidad, pero establecía un </w:t>
      </w:r>
      <w:r w:rsidRPr="00D17E3C">
        <w:rPr>
          <w:rStyle w:val="Textoennegrita"/>
        </w:rPr>
        <w:t>monopolio de la declaración</w:t>
      </w:r>
      <w:r w:rsidRPr="00D17E3C">
        <w:t xml:space="preserve"> en manos del Tribunal Supremo. Esto significa que los tribunales inferiores podían apreciar la posible inconstitucionalidad de una norma aplicable al caso, pero no podían declararla por sí mismos; debían elevar la cuestión al Alto Tribunal, que era el único facultado para pronunciarse definitivamente sobre la validez de la ley.</w:t>
      </w:r>
    </w:p>
    <w:p w14:paraId="61D67F89" w14:textId="77777777" w:rsidR="00E3083C" w:rsidRPr="00D17E3C" w:rsidRDefault="00E3083C" w:rsidP="00D17E3C">
      <w:pPr>
        <w:pStyle w:val="ds-markdown-paragraph"/>
        <w:spacing w:before="120" w:beforeAutospacing="0" w:after="0" w:afterAutospacing="0"/>
        <w:jc w:val="both"/>
      </w:pPr>
      <w:r w:rsidRPr="00D17E3C">
        <w:t xml:space="preserve">La Ley del Recurso de Inconstitucionalidad de 1903 desarrolló esta vía procesal, estableciendo los requisitos para su interposición. El recurso requería la lesión de un derecho o interés legítimo como presupuesto de admisibilidad, lo que vinculaba el control de constitucionalidad a la defensa de situaciones jurídicas concretas. Como señala </w:t>
      </w:r>
      <w:proofErr w:type="spellStart"/>
      <w:r w:rsidRPr="00D17E3C">
        <w:t>Pachot</w:t>
      </w:r>
      <w:proofErr w:type="spellEnd"/>
      <w:r w:rsidRPr="00D17E3C">
        <w:t xml:space="preserve"> Zambrana, fue un sistema que "tomó distancia del modelo norteamericano puro al otorgar al Tribunal Supremo potestades </w:t>
      </w:r>
      <w:proofErr w:type="spellStart"/>
      <w:r w:rsidRPr="00D17E3C">
        <w:t>cuasi-normativas</w:t>
      </w:r>
      <w:proofErr w:type="spellEnd"/>
      <w:r w:rsidRPr="00D17E3C">
        <w:t>", pues las decisiones del Alto Tribunal sobre inconstitucionalidad tenían efectos generales, no limitados al caso concreto.</w:t>
      </w:r>
    </w:p>
    <w:p w14:paraId="7CE7867A" w14:textId="77777777" w:rsidR="00E3083C" w:rsidRPr="00D17E3C" w:rsidRDefault="00E3083C" w:rsidP="00D17E3C">
      <w:pPr>
        <w:pStyle w:val="ds-markdown-paragraph"/>
        <w:spacing w:before="120" w:beforeAutospacing="0" w:after="0" w:afterAutospacing="0"/>
        <w:jc w:val="both"/>
      </w:pPr>
      <w:r w:rsidRPr="00D17E3C">
        <w:t xml:space="preserve">Este diseño institucional respondía a una preocupación práctica: evitar la inseguridad jurídica que podría derivarse de decisiones contradictorias de distintos jueces sobre la misma norma. Al </w:t>
      </w:r>
      <w:r w:rsidRPr="00D17E3C">
        <w:lastRenderedPageBreak/>
        <w:t>concentrar en el Tribunal Supremo la facultad de declarar la inconstitucionalidad, se garantizaba la uniformidad interpretativa y se reforzaba la autoridad de la decisión. Al mismo tiempo, se reconocía a los jueces inferiores un papel activo en el control de constitucionalidad, pues eran ellos quienes, en primera instancia, detectaban los posibles conflictos normativos y los elevaban al Tribunal Supremo.</w:t>
      </w:r>
    </w:p>
    <w:p w14:paraId="591F031C" w14:textId="77777777" w:rsidR="00E3083C" w:rsidRPr="00D17E3C" w:rsidRDefault="00E3083C" w:rsidP="00D17E3C">
      <w:pPr>
        <w:pStyle w:val="ds-markdown-paragraph"/>
        <w:spacing w:before="120" w:beforeAutospacing="0" w:after="0" w:afterAutospacing="0"/>
        <w:jc w:val="both"/>
      </w:pPr>
      <w:r w:rsidRPr="00D17E3C">
        <w:t>El sistema funcionó durante las primeras décadas de la República y permitió la consolidación de una incipiente jurisprudencia constitucional. Sin embargo, presentaba limitaciones significativas: solo cabía contra leyes, decretos y reglamentos, no contra actos concretos de autoridad que vulneraran derechos fundamentales. La protección de los derechos frente a actos administrativos o actuaciones materiales del poder público quedaba, por tanto, fuera de su alcance. Esta laguna sería subsanada posteriormente por la Constitución de 1940.</w:t>
      </w:r>
    </w:p>
    <w:p w14:paraId="15C72EB4" w14:textId="77777777" w:rsidR="00E3083C" w:rsidRPr="00D17E3C" w:rsidRDefault="00E3083C" w:rsidP="00D17E3C">
      <w:pPr>
        <w:pStyle w:val="ds-markdown-paragraph"/>
        <w:spacing w:before="120" w:beforeAutospacing="0" w:after="0" w:afterAutospacing="0"/>
        <w:jc w:val="both"/>
      </w:pPr>
      <w:r w:rsidRPr="00D17E3C">
        <w:t>El control difuso de la República (1901-1940) constituye, pues, el primer eslabón de una tradición de justicia constitucional en Cuba. A pesar de sus limitaciones, sentó las bases conceptuales y procesales sobre las que se construiría la experiencia más avanzada del Tribunal de Garantías Constitucionales y Sociales de 1940. Su estudio resulta indispensable para comprender que la actual reinstauración del amparo no es una novedad absoluta, sino la recuperación de un camino que ya había sido transitado con éxito en etapas anteriores de nuestra historia constitucional.</w:t>
      </w:r>
    </w:p>
    <w:p w14:paraId="6EE6406C"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2.2. El Tribunal de Garantías Constitucionales y Sociales de 1940 (1940-1973)</w:t>
      </w:r>
    </w:p>
    <w:p w14:paraId="4A4A8D22" w14:textId="77777777" w:rsidR="00FD2A6E" w:rsidRPr="00D17E3C" w:rsidRDefault="00FD2A6E" w:rsidP="00D17E3C">
      <w:pPr>
        <w:pStyle w:val="ds-markdown-paragraph"/>
        <w:spacing w:before="120" w:beforeAutospacing="0" w:after="0" w:afterAutospacing="0"/>
        <w:jc w:val="both"/>
      </w:pPr>
      <w:r w:rsidRPr="00D17E3C">
        <w:t xml:space="preserve">El hito más relevante en la historia de la justicia constitucional cubana, el que debemos mirar con respeto y del que podemos aprender, es la Constitución de 1940. Como ha señalado la doctrina, este texto constitucional representó un momento de madurez del constitucionalismo cubano, caracterizado por su avanzado contenido social y por la solidez de su arquitectura institucional </w:t>
      </w:r>
    </w:p>
    <w:p w14:paraId="2A88DB19" w14:textId="09E67BD6" w:rsidR="00FD2A6E" w:rsidRPr="00D17E3C" w:rsidRDefault="00FD2A6E" w:rsidP="00D17E3C">
      <w:pPr>
        <w:pStyle w:val="ds-markdown-paragraph"/>
        <w:spacing w:before="120" w:beforeAutospacing="0" w:after="0" w:afterAutospacing="0"/>
        <w:jc w:val="both"/>
      </w:pPr>
      <w:r w:rsidRPr="00D17E3C">
        <w:t xml:space="preserve">El artículo 172 de la Constitución de 1940 creó, en el seno del Tribunal Supremo, una sala especializada: el </w:t>
      </w:r>
      <w:r w:rsidRPr="00D17E3C">
        <w:rPr>
          <w:rStyle w:val="Textoennegrita"/>
        </w:rPr>
        <w:t>Tribunal de Garantías Constitucionales y Sociales (TGCS)</w:t>
      </w:r>
      <w:r w:rsidRPr="00D17E3C">
        <w:t xml:space="preserve">. Compuesto por quince magistrados para asuntos constitucionales, este tribunal conocía de los recursos contra "Leyes, Decretos-leyes, Decretos, resoluciones o actos que nieguen, disminuyan, restrinjan o adulteren los derechos y garantías consignados en esta Constitución". La amplitud de la fórmula es notable: </w:t>
      </w:r>
      <w:r w:rsidRPr="00D17E3C">
        <w:rPr>
          <w:rStyle w:val="Textoennegrita"/>
        </w:rPr>
        <w:t>actos</w:t>
      </w:r>
      <w:r w:rsidRPr="00D17E3C">
        <w:t>, no solo normas. Ello significaba que el TGCS podía conocer tanto de la inconstitucionalidad de las leyes como de los actos concretos de autoridad que vulneraran derechos fundamentales, ejerciendo así una doble función: control abstracto de normas y tutela concreta de derechos.</w:t>
      </w:r>
    </w:p>
    <w:p w14:paraId="5F4A1317" w14:textId="77777777" w:rsidR="00FD2A6E" w:rsidRPr="00D17E3C" w:rsidRDefault="00FD2A6E" w:rsidP="00D17E3C">
      <w:pPr>
        <w:pStyle w:val="ds-markdown-paragraph"/>
        <w:spacing w:before="120" w:beforeAutospacing="0" w:after="0" w:afterAutospacing="0"/>
        <w:jc w:val="both"/>
      </w:pPr>
      <w:r w:rsidRPr="00D17E3C">
        <w:t xml:space="preserve">La creación del TGCS respondió a una influencia del modelo europeo de justicia constitucional, particularmente del Tribunal Constitucional austriaco diseñado por Hans Kelsen, pero adaptado a las particularidades del sistema jurídico cubano </w:t>
      </w:r>
    </w:p>
    <w:p w14:paraId="37CB3E5C" w14:textId="77777777" w:rsidR="00FD2A6E" w:rsidRPr="00D17E3C" w:rsidRDefault="00FD2A6E" w:rsidP="00D17E3C">
      <w:pPr>
        <w:pStyle w:val="ds-markdown-paragraph"/>
        <w:spacing w:before="120" w:beforeAutospacing="0" w:after="0" w:afterAutospacing="0"/>
        <w:jc w:val="both"/>
      </w:pPr>
      <w:r w:rsidRPr="00D17E3C">
        <w:t>. A diferencia del modelo norteamericano de control difuso, que confía la defensa de la Constitución a todos los jueces en procesos ordinarios, el TGCS operaba como un órgano especializado dentro del Poder Judicial, con competencias exclusivas en materia constitucional.</w:t>
      </w:r>
    </w:p>
    <w:p w14:paraId="0B242392" w14:textId="77777777" w:rsidR="00FD2A6E" w:rsidRPr="00D17E3C" w:rsidRDefault="00FD2A6E" w:rsidP="00D17E3C">
      <w:pPr>
        <w:pStyle w:val="ds-markdown-paragraph"/>
        <w:spacing w:before="120" w:beforeAutospacing="0" w:after="0" w:afterAutospacing="0"/>
        <w:jc w:val="both"/>
      </w:pPr>
      <w:r w:rsidRPr="00D17E3C">
        <w:t>El TGCS fue, en la práctica, un auténtico tribunal constitucional que operó durante más de tres décadas. Sus competencias abarcaban:</w:t>
      </w:r>
    </w:p>
    <w:p w14:paraId="04754AD8" w14:textId="77777777" w:rsidR="00FD2A6E" w:rsidRPr="00D17E3C" w:rsidRDefault="00FD2A6E" w:rsidP="00D17E3C">
      <w:pPr>
        <w:pStyle w:val="ds-markdown-paragraph"/>
        <w:numPr>
          <w:ilvl w:val="0"/>
          <w:numId w:val="13"/>
        </w:numPr>
        <w:spacing w:before="120" w:beforeAutospacing="0" w:after="0" w:afterAutospacing="0"/>
        <w:jc w:val="both"/>
      </w:pPr>
      <w:r w:rsidRPr="00D17E3C">
        <w:rPr>
          <w:rStyle w:val="Textoennegrita"/>
        </w:rPr>
        <w:t>El recurso de inconstitucionalidad contra leyes, decretos-leyes y disposiciones generales</w:t>
      </w:r>
      <w:r w:rsidRPr="00D17E3C">
        <w:t xml:space="preserve">, que podía ser interpuesto por veinticinco ciudadanos en ejercicio de la acción </w:t>
      </w:r>
      <w:r w:rsidRPr="00D17E3C">
        <w:lastRenderedPageBreak/>
        <w:t>pública, así como por órganos judiciales que tuvieran dudas sobre la constitucionalidad de una norma aplicable a un caso concreto.</w:t>
      </w:r>
    </w:p>
    <w:p w14:paraId="22C4F9CA" w14:textId="77777777" w:rsidR="00FD2A6E" w:rsidRPr="00D17E3C" w:rsidRDefault="00FD2A6E" w:rsidP="00D17E3C">
      <w:pPr>
        <w:pStyle w:val="ds-markdown-paragraph"/>
        <w:numPr>
          <w:ilvl w:val="0"/>
          <w:numId w:val="13"/>
        </w:numPr>
        <w:spacing w:before="120" w:beforeAutospacing="0" w:after="0" w:afterAutospacing="0"/>
        <w:jc w:val="both"/>
      </w:pPr>
      <w:r w:rsidRPr="00D17E3C">
        <w:rPr>
          <w:rStyle w:val="Textoennegrita"/>
        </w:rPr>
        <w:t>El recurso de amparo de los derechos constitucionales</w:t>
      </w:r>
      <w:r w:rsidRPr="00D17E3C">
        <w:t>, que protegía a los ciudadanos frente a actos de autoridad que vulneraran sus derechos fundamentales, con un procedimiento preferente y sumario.</w:t>
      </w:r>
    </w:p>
    <w:p w14:paraId="79AF927F" w14:textId="77777777" w:rsidR="00FD2A6E" w:rsidRPr="00D17E3C" w:rsidRDefault="00FD2A6E" w:rsidP="00D17E3C">
      <w:pPr>
        <w:pStyle w:val="ds-markdown-paragraph"/>
        <w:numPr>
          <w:ilvl w:val="0"/>
          <w:numId w:val="13"/>
        </w:numPr>
        <w:spacing w:before="120" w:beforeAutospacing="0" w:after="0" w:afterAutospacing="0"/>
        <w:jc w:val="both"/>
      </w:pPr>
      <w:r w:rsidRPr="00D17E3C">
        <w:rPr>
          <w:rStyle w:val="Textoennegrita"/>
        </w:rPr>
        <w:t>El conocimiento de las cuestiones de competencia</w:t>
      </w:r>
      <w:r w:rsidRPr="00D17E3C">
        <w:t xml:space="preserve"> entre los órganos del Estado y entre estos y las provincias y municipios.</w:t>
      </w:r>
    </w:p>
    <w:p w14:paraId="5F94035A" w14:textId="77777777" w:rsidR="00FD2A6E" w:rsidRPr="00D17E3C" w:rsidRDefault="00FD2A6E" w:rsidP="00D17E3C">
      <w:pPr>
        <w:pStyle w:val="ds-markdown-paragraph"/>
        <w:spacing w:before="120" w:beforeAutospacing="0" w:after="0" w:afterAutospacing="0"/>
        <w:jc w:val="both"/>
      </w:pPr>
      <w:r w:rsidRPr="00D17E3C">
        <w:t xml:space="preserve">La existencia del TGCS dotó al ordenamiento cubano de un sistema completo de justicia constitucional, comparable al de los países más avanzados de la época. Como ha señalado la profesora Martha Prieto Valdés, durante este período "se establecieron pautas interpretativas que permitían un control efectivo de la constitucionalidad y una protección real de los derechos fundamentales" </w:t>
      </w:r>
    </w:p>
    <w:p w14:paraId="6D8A53EB" w14:textId="77777777" w:rsidR="00FD2A6E" w:rsidRPr="00D17E3C" w:rsidRDefault="00FD2A6E" w:rsidP="00D17E3C">
      <w:pPr>
        <w:pStyle w:val="ds-markdown-paragraph"/>
        <w:spacing w:before="120" w:beforeAutospacing="0" w:after="0" w:afterAutospacing="0"/>
        <w:jc w:val="both"/>
      </w:pPr>
      <w:r w:rsidRPr="00D17E3C">
        <w:t>Sin embargo, el funcionamiento del TGCS no estuvo exento de tensiones. La inestabilidad política que caracterizó a Cuba entre 1940 y 1952, y especialmente la dictadura de Fulgencio Batista a partir de 1952, afectaron progresivamente la independencia judicial y la eficacia del sistema de garantías constitucionales. A pesar de ello, el TGCS mantuvo su estructura formal hasta 1973.</w:t>
      </w:r>
    </w:p>
    <w:p w14:paraId="6EC250A2" w14:textId="77777777" w:rsidR="00FD2A6E" w:rsidRPr="00D17E3C" w:rsidRDefault="00FD2A6E" w:rsidP="00D17E3C">
      <w:pPr>
        <w:pStyle w:val="ds-markdown-paragraph"/>
        <w:spacing w:before="120" w:beforeAutospacing="0" w:after="0" w:afterAutospacing="0"/>
        <w:jc w:val="both"/>
      </w:pPr>
      <w:r w:rsidRPr="00D17E3C">
        <w:t xml:space="preserve">La desaparición del TGCS se produjo mediante la Ley de Organización del Sistema Judicial (Ley 1250) de 1973, en un contexto de reordenamiento institucional que antecedió a la promulgación de la Constitución de 1976. Esta ley suprimió la jurisdicción constitucional especializada y concentró en la Asamblea Nacional del Poder Popular el control de constitucionalidad de las leyes, en un claro giro hacia el modelo de control político. Como advierte un estudio reciente, "la supresión del Tribunal de Garantías Constitucionales y Sociales no fue un mero reajuste orgánico, sino el cierre de una tradición que tardaría casi medio siglo en reabrirse" </w:t>
      </w:r>
    </w:p>
    <w:p w14:paraId="1BCA4594" w14:textId="77777777" w:rsidR="00FD2A6E" w:rsidRPr="00D17E3C" w:rsidRDefault="00FD2A6E" w:rsidP="00D17E3C">
      <w:pPr>
        <w:pStyle w:val="ds-markdown-paragraph"/>
        <w:spacing w:before="120" w:beforeAutospacing="0" w:after="0" w:afterAutospacing="0"/>
        <w:jc w:val="both"/>
      </w:pPr>
      <w:r w:rsidRPr="00D17E3C">
        <w:t>La experiencia del TGCS resulta hoy de particular relevancia para comprender los desafíos que enfrenta el actual proceso de amparo. Durante más de treinta años, Cuba contó con un órgano especializado en justicia constitucional, con una jurisprudencia desarrollada y con procedimientos específicos para la tutela de los derechos fundamentales. La recuperación de esta memoria histórica es indispensable para valorar adecuadamente el significado de la Constitución de 2019 y de la Ley 153/2022, y para evitar los errores que llevaron a la interrupción de aquella primera experiencia.</w:t>
      </w:r>
    </w:p>
    <w:p w14:paraId="2AB158F2" w14:textId="3141A12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 xml:space="preserve">2.3. El paréntesis </w:t>
      </w:r>
      <w:r w:rsidR="00655EAC" w:rsidRPr="00D17E3C">
        <w:rPr>
          <w:rFonts w:ascii="Times New Roman" w:eastAsia="Times New Roman" w:hAnsi="Times New Roman" w:cs="Times New Roman"/>
          <w:b/>
          <w:bCs/>
          <w:sz w:val="24"/>
          <w:szCs w:val="24"/>
          <w:lang w:eastAsia="es-ES"/>
        </w:rPr>
        <w:t xml:space="preserve">de </w:t>
      </w:r>
      <w:r w:rsidRPr="00D17E3C">
        <w:rPr>
          <w:rFonts w:ascii="Times New Roman" w:eastAsia="Times New Roman" w:hAnsi="Times New Roman" w:cs="Times New Roman"/>
          <w:b/>
          <w:bCs/>
          <w:sz w:val="24"/>
          <w:szCs w:val="24"/>
          <w:lang w:eastAsia="es-ES"/>
        </w:rPr>
        <w:t>1976-2019</w:t>
      </w:r>
    </w:p>
    <w:p w14:paraId="2C86D259" w14:textId="77777777" w:rsidR="00E3083C" w:rsidRPr="00D17E3C" w:rsidRDefault="00E3083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Constitución de 1976, en su texto original, eliminó cualquier forma de jurisdicción constitucional, inaugurando un prolongado paréntesis en la tradición de justicia constitucional cubana que se extendería por más de cuatro décadas. Este vacío no fue accidental, sino que respondía a una concepción específica del papel de la Constitución y de la función judicial en el modelo socialista.</w:t>
      </w:r>
    </w:p>
    <w:p w14:paraId="4B405D53" w14:textId="77777777" w:rsidR="00E3083C" w:rsidRPr="00D17E3C" w:rsidRDefault="00E3083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En el diseño institucional de 1976, no había control judicial de las leyes ni acciones procesales para la tutela de derechos fundamentales. Existía, ciertamente, un control político a cargo de la Asamblea Nacional del Poder Popular, que en su condición de órgano supremo del poder del Estado tenía la facultad de velar por la constitucionalidad de las leyes y disposiciones legales. Sin embargo, este control era de naturaleza política, no jurisdiccional, y se activaba mediante mecanismos parlamentarios que excluían la participación ciudadana directa. Como ha señalado el profesor </w:t>
      </w:r>
      <w:r w:rsidRPr="00D17E3C">
        <w:rPr>
          <w:rFonts w:ascii="Times New Roman" w:eastAsia="Times New Roman" w:hAnsi="Times New Roman" w:cs="Times New Roman"/>
          <w:sz w:val="24"/>
          <w:szCs w:val="24"/>
          <w:lang w:eastAsia="es-ES"/>
        </w:rPr>
        <w:lastRenderedPageBreak/>
        <w:t xml:space="preserve">Carlos Manuel </w:t>
      </w:r>
      <w:proofErr w:type="spellStart"/>
      <w:r w:rsidRPr="00D17E3C">
        <w:rPr>
          <w:rFonts w:ascii="Times New Roman" w:eastAsia="Times New Roman" w:hAnsi="Times New Roman" w:cs="Times New Roman"/>
          <w:sz w:val="24"/>
          <w:szCs w:val="24"/>
          <w:lang w:eastAsia="es-ES"/>
        </w:rPr>
        <w:t>Villabella</w:t>
      </w:r>
      <w:proofErr w:type="spellEnd"/>
      <w:r w:rsidRPr="00D17E3C">
        <w:rPr>
          <w:rFonts w:ascii="Times New Roman" w:eastAsia="Times New Roman" w:hAnsi="Times New Roman" w:cs="Times New Roman"/>
          <w:sz w:val="24"/>
          <w:szCs w:val="24"/>
          <w:lang w:eastAsia="es-ES"/>
        </w:rPr>
        <w:t xml:space="preserve"> Armengol, "el control político de constitucionalidad, por su propia naturaleza, no puede equipararse a un verdadero sistema de justicia constitucional, pues carece de la imparcialidad, la contradicción y las garantías procesales que caracterizan a la función jurisdiccional".</w:t>
      </w:r>
    </w:p>
    <w:p w14:paraId="7F490D71" w14:textId="77777777" w:rsidR="00E3083C" w:rsidRPr="00D17E3C" w:rsidRDefault="00E3083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En el ámbito procesal ordinario, la Ley de Procedimiento Civil, Administrativo, Laboral y Económico de 1977 regulaba un instituto denominado "amparo" en sus artículos 393 al 424, pero esta figura nada tenía que ver con el amparo constitucional iberoamericano. Se trataba de un interdicto para la protección de derechos en vía ordinaria, específicamente diseñado para la defensa de la posesión o de derechos reales frente a perturbaciones de hecho. Era, en puridad, un </w:t>
      </w:r>
      <w:r w:rsidRPr="00D17E3C">
        <w:rPr>
          <w:rFonts w:ascii="Times New Roman" w:eastAsia="Times New Roman" w:hAnsi="Times New Roman" w:cs="Times New Roman"/>
          <w:b/>
          <w:bCs/>
          <w:sz w:val="24"/>
          <w:szCs w:val="24"/>
          <w:lang w:eastAsia="es-ES"/>
        </w:rPr>
        <w:t xml:space="preserve">amparo </w:t>
      </w:r>
      <w:r w:rsidRPr="00D17E3C">
        <w:rPr>
          <w:rFonts w:ascii="Times New Roman" w:eastAsia="Times New Roman" w:hAnsi="Times New Roman" w:cs="Times New Roman"/>
          <w:b/>
          <w:bCs/>
          <w:i/>
          <w:iCs/>
          <w:sz w:val="24"/>
          <w:szCs w:val="24"/>
          <w:lang w:eastAsia="es-ES"/>
        </w:rPr>
        <w:t>civil</w:t>
      </w:r>
      <w:r w:rsidRPr="00D17E3C">
        <w:rPr>
          <w:rFonts w:ascii="Times New Roman" w:eastAsia="Times New Roman" w:hAnsi="Times New Roman" w:cs="Times New Roman"/>
          <w:b/>
          <w:bCs/>
          <w:sz w:val="24"/>
          <w:szCs w:val="24"/>
          <w:lang w:eastAsia="es-ES"/>
        </w:rPr>
        <w:t xml:space="preserve">, no </w:t>
      </w:r>
      <w:r w:rsidRPr="00D17E3C">
        <w:rPr>
          <w:rFonts w:ascii="Times New Roman" w:eastAsia="Times New Roman" w:hAnsi="Times New Roman" w:cs="Times New Roman"/>
          <w:b/>
          <w:bCs/>
          <w:i/>
          <w:iCs/>
          <w:sz w:val="24"/>
          <w:szCs w:val="24"/>
          <w:lang w:eastAsia="es-ES"/>
        </w:rPr>
        <w:t>constitucional</w:t>
      </w:r>
      <w:r w:rsidRPr="00D17E3C">
        <w:rPr>
          <w:rFonts w:ascii="Times New Roman" w:eastAsia="Times New Roman" w:hAnsi="Times New Roman" w:cs="Times New Roman"/>
          <w:sz w:val="24"/>
          <w:szCs w:val="24"/>
          <w:lang w:eastAsia="es-ES"/>
        </w:rPr>
        <w:t>, que operaba en el ámbito de las relaciones entre particulares y carecía de toda conexión con la tutela de los derechos fundamentales frente a los poderes públicos.</w:t>
      </w:r>
    </w:p>
    <w:p w14:paraId="3095B584" w14:textId="77777777" w:rsidR="00E3083C" w:rsidRPr="00D17E3C" w:rsidRDefault="00E3083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doctrina cubana de la época fue consciente de esta distinción. El profesor Mendieta y Núñez, en su análisis del proceso civil cubano, advertía que "el amparo regulado en nuestra ley procesal no es más que un interdicto para recuperar o retener la posesión, sin ninguna relación con la protección de los derechos constitucionales". Esta precisión dogmática, sin embargo, no impedía que en la práctica forense se generaran confusiones terminológicas que dificultaban la comprensión de lo que realmente significaba un proceso constitucional de amparo.</w:t>
      </w:r>
    </w:p>
    <w:p w14:paraId="7A616064" w14:textId="77777777" w:rsidR="00E3083C" w:rsidRPr="00D17E3C" w:rsidRDefault="00E3083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desconexión de la tradición continental europea e iberoamericana durante este período es crucial para entender el desafío actual. Durante 46 años, los jueces cubanos se formaron y ejercieron su función en un sistema donde la Constitución no era considerada una norma directamente aplicable, donde no existían mecanismos procesales para la tutela de derechos fundamentales y donde el control de constitucionalidad era una atribución exclusiva del parlamento, no de los tribunales. Como advierte el Dr. Jorge </w:t>
      </w:r>
      <w:proofErr w:type="spellStart"/>
      <w:r w:rsidRPr="00D17E3C">
        <w:rPr>
          <w:rFonts w:ascii="Times New Roman" w:eastAsia="Times New Roman" w:hAnsi="Times New Roman" w:cs="Times New Roman"/>
          <w:sz w:val="24"/>
          <w:szCs w:val="24"/>
          <w:lang w:eastAsia="es-ES"/>
        </w:rPr>
        <w:t>Olver</w:t>
      </w:r>
      <w:proofErr w:type="spellEnd"/>
      <w:r w:rsidRPr="00D17E3C">
        <w:rPr>
          <w:rFonts w:ascii="Times New Roman" w:eastAsia="Times New Roman" w:hAnsi="Times New Roman" w:cs="Times New Roman"/>
          <w:sz w:val="24"/>
          <w:szCs w:val="24"/>
          <w:lang w:eastAsia="es-ES"/>
        </w:rPr>
        <w:t xml:space="preserve"> </w:t>
      </w:r>
      <w:proofErr w:type="spellStart"/>
      <w:r w:rsidRPr="00D17E3C">
        <w:rPr>
          <w:rFonts w:ascii="Times New Roman" w:eastAsia="Times New Roman" w:hAnsi="Times New Roman" w:cs="Times New Roman"/>
          <w:sz w:val="24"/>
          <w:szCs w:val="24"/>
          <w:lang w:eastAsia="es-ES"/>
        </w:rPr>
        <w:t>Mondelo</w:t>
      </w:r>
      <w:proofErr w:type="spellEnd"/>
      <w:r w:rsidRPr="00D17E3C">
        <w:rPr>
          <w:rFonts w:ascii="Times New Roman" w:eastAsia="Times New Roman" w:hAnsi="Times New Roman" w:cs="Times New Roman"/>
          <w:sz w:val="24"/>
          <w:szCs w:val="24"/>
          <w:lang w:eastAsia="es-ES"/>
        </w:rPr>
        <w:t xml:space="preserve"> Tamayo, "los jueces cubanos formados durante ese largo paréntesis no solo carecían de herramientas de justicia constitucional; carecían de la </w:t>
      </w:r>
      <w:r w:rsidRPr="00D17E3C">
        <w:rPr>
          <w:rFonts w:ascii="Times New Roman" w:eastAsia="Times New Roman" w:hAnsi="Times New Roman" w:cs="Times New Roman"/>
          <w:i/>
          <w:iCs/>
          <w:sz w:val="24"/>
          <w:szCs w:val="24"/>
          <w:lang w:eastAsia="es-ES"/>
        </w:rPr>
        <w:t>cultura</w:t>
      </w:r>
      <w:r w:rsidRPr="00D17E3C">
        <w:rPr>
          <w:rFonts w:ascii="Times New Roman" w:eastAsia="Times New Roman" w:hAnsi="Times New Roman" w:cs="Times New Roman"/>
          <w:sz w:val="24"/>
          <w:szCs w:val="24"/>
          <w:lang w:eastAsia="es-ES"/>
        </w:rPr>
        <w:t xml:space="preserve"> de la justicia constitucional".</w:t>
      </w:r>
    </w:p>
    <w:p w14:paraId="04BBDB8F" w14:textId="77777777" w:rsidR="00E3083C" w:rsidRPr="00D17E3C" w:rsidRDefault="00E3083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Esta ausencia de cultura constitucional se manifiesta en múltiples dimensiones. En primer lugar, en la dificultad para concebir la Constitución como norma jurídica directamente aplicable, superando la visión programática heredada. En segundo lugar, en la falta de familiaridad con técnicas interpretativas propias del derecho constitucional, como la ponderación, el principio de proporcionalidad o la interpretación conforme. En tercer lugar, en la resistencia a ejercer un control difuso de constitucionalidad, inaplicando normas contrarias a la Constitución en casos concretos. Y, finalmente, en la tendencia a resolver los conflictos desde una perspectiva estrictamente legalista, sin considerar las dimensiones constitucionales que puedan estar involucradas.</w:t>
      </w:r>
    </w:p>
    <w:p w14:paraId="35E2C0E9" w14:textId="77777777" w:rsidR="00E3083C" w:rsidRPr="00D17E3C" w:rsidRDefault="00E3083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reinstauración del amparo en 2019 no implicaba solo la creación de un nuevo proceso; implicaba la necesidad de formar a los operadores jurídicos en una nueva forma de entender y aplicar el derecho. La Ley 153/2022 no puede, por sí sola, transformar la cultura jurídica; requiere jueces que sepan interpretar el principio de progresividad, fiscales que actúen con diligencia en defensa de la legalidad constitucional, abogados que conozcan la técnica del amparo y una ciudadanía que sepa que tiene este derecho y cómo ejercerlo.</w:t>
      </w:r>
    </w:p>
    <w:p w14:paraId="570F7AD1" w14:textId="3DD0135C" w:rsidR="00E3083C" w:rsidRPr="00D17E3C" w:rsidRDefault="00E3083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profesora Martha Prieto Valdés ha insistido en esta idea: "el éxito del amparo no depende solo de la calidad de la ley, sino de la capacidad de los operadores jurídicos para apropiarse de sus </w:t>
      </w:r>
      <w:r w:rsidRPr="00D17E3C">
        <w:rPr>
          <w:rFonts w:ascii="Times New Roman" w:eastAsia="Times New Roman" w:hAnsi="Times New Roman" w:cs="Times New Roman"/>
          <w:sz w:val="24"/>
          <w:szCs w:val="24"/>
          <w:lang w:eastAsia="es-ES"/>
        </w:rPr>
        <w:lastRenderedPageBreak/>
        <w:t>principios y aplicarlos con audacia y creatividad. Cuarenta y seis años de paréntesis no se superan en un día; requieren un esfuerzo sostenido de formación, de reflexión crítica y de construcción de una nueva práctica forense". El paréntesis (1976-2019) constituye, pues, el antecedente inmediato que explica tanto las potencialidades como las limitaciones del actual proceso de amparo, y su estudio resulta indispensable para comprender los desafíos que enfrenta su implementación efectiva.</w:t>
      </w:r>
    </w:p>
    <w:p w14:paraId="0D4F673E" w14:textId="6124352E" w:rsidR="00655EAC" w:rsidRPr="00D17E3C" w:rsidRDefault="00655EAC" w:rsidP="00D17E3C">
      <w:pPr>
        <w:pStyle w:val="ds-markdown-paragraph"/>
        <w:jc w:val="both"/>
      </w:pPr>
      <w:r w:rsidRPr="00D17E3C">
        <w:t>La Constitución de 2019, en su artículo 99, restablece la garantía jurisdiccional de los derechos, marcando un punto de inflexión en el constitucionalismo cubano que pone fin al prolongado paréntesis iniciado en 1973. Este precepto constitucional no se limita a reconocer un derecho abstracto a la tutela, sino que diseña las líneas maestras de un proceso específico: "La persona a la que se le vulneren los derechos consagrados en esta Constitución y, como consecuencia, sufriere daños o perjuicios por los órganos del Estado, sus directivos, funcionarios o empleados, con motivo de la acción u omisión indebida de sus funciones, así como por particulares o por entes no estatales, puede reclamar ante los tribunales la restitución de los derechos y obtener, de conformidad con la ley, la correspondiente reparación o indemnización".</w:t>
      </w:r>
    </w:p>
    <w:p w14:paraId="3A38792F"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redacción del artículo 99 revela varias decisiones fundamentales del constituyente. En primer lugar, la opción por un modelo de </w:t>
      </w:r>
      <w:r w:rsidRPr="00D17E3C">
        <w:rPr>
          <w:rFonts w:ascii="Times New Roman" w:eastAsia="Times New Roman" w:hAnsi="Times New Roman" w:cs="Times New Roman"/>
          <w:b/>
          <w:bCs/>
          <w:sz w:val="24"/>
          <w:szCs w:val="24"/>
          <w:lang w:eastAsia="es-ES"/>
        </w:rPr>
        <w:t>amparo integral</w:t>
      </w:r>
      <w:r w:rsidRPr="00D17E3C">
        <w:rPr>
          <w:rFonts w:ascii="Times New Roman" w:eastAsia="Times New Roman" w:hAnsi="Times New Roman" w:cs="Times New Roman"/>
          <w:sz w:val="24"/>
          <w:szCs w:val="24"/>
          <w:lang w:eastAsia="es-ES"/>
        </w:rPr>
        <w:t xml:space="preserve"> que protege todos los derechos constitucionales, sin distinciones entre derechos civiles, políticos, económicos, sociales o culturales. Esta amplitud, que supera las restricciones de otros ordenamientos que limitan el amparo a un núcleo duro de derechos fundamentales, plantea desafíos interpretativos significativos, especialmente en relación con la </w:t>
      </w:r>
      <w:proofErr w:type="spellStart"/>
      <w:r w:rsidRPr="00D17E3C">
        <w:rPr>
          <w:rFonts w:ascii="Times New Roman" w:eastAsia="Times New Roman" w:hAnsi="Times New Roman" w:cs="Times New Roman"/>
          <w:sz w:val="24"/>
          <w:szCs w:val="24"/>
          <w:lang w:eastAsia="es-ES"/>
        </w:rPr>
        <w:t>justiciabilidad</w:t>
      </w:r>
      <w:proofErr w:type="spellEnd"/>
      <w:r w:rsidRPr="00D17E3C">
        <w:rPr>
          <w:rFonts w:ascii="Times New Roman" w:eastAsia="Times New Roman" w:hAnsi="Times New Roman" w:cs="Times New Roman"/>
          <w:sz w:val="24"/>
          <w:szCs w:val="24"/>
          <w:lang w:eastAsia="es-ES"/>
        </w:rPr>
        <w:t xml:space="preserve"> inmediata de los derechos sociales que requieren prestaciones positivas del Estado. En segundo lugar, la inclusión de los </w:t>
      </w:r>
      <w:r w:rsidRPr="00D17E3C">
        <w:rPr>
          <w:rFonts w:ascii="Times New Roman" w:eastAsia="Times New Roman" w:hAnsi="Times New Roman" w:cs="Times New Roman"/>
          <w:b/>
          <w:bCs/>
          <w:sz w:val="24"/>
          <w:szCs w:val="24"/>
          <w:lang w:eastAsia="es-ES"/>
        </w:rPr>
        <w:t>particulares y entes no estatales</w:t>
      </w:r>
      <w:r w:rsidRPr="00D17E3C">
        <w:rPr>
          <w:rFonts w:ascii="Times New Roman" w:eastAsia="Times New Roman" w:hAnsi="Times New Roman" w:cs="Times New Roman"/>
          <w:sz w:val="24"/>
          <w:szCs w:val="24"/>
          <w:lang w:eastAsia="es-ES"/>
        </w:rPr>
        <w:t xml:space="preserve"> como posibles sujetos pasivos del amparo constituye un reconocimiento implícito de la eficacia horizontal de los derechos fundamentales (</w:t>
      </w:r>
      <w:proofErr w:type="spellStart"/>
      <w:r w:rsidRPr="00D17E3C">
        <w:rPr>
          <w:rFonts w:ascii="Times New Roman" w:eastAsia="Times New Roman" w:hAnsi="Times New Roman" w:cs="Times New Roman"/>
          <w:i/>
          <w:iCs/>
          <w:sz w:val="24"/>
          <w:szCs w:val="24"/>
          <w:lang w:eastAsia="es-ES"/>
        </w:rPr>
        <w:t>Drittwirkung</w:t>
      </w:r>
      <w:proofErr w:type="spellEnd"/>
      <w:r w:rsidRPr="00D17E3C">
        <w:rPr>
          <w:rFonts w:ascii="Times New Roman" w:eastAsia="Times New Roman" w:hAnsi="Times New Roman" w:cs="Times New Roman"/>
          <w:sz w:val="24"/>
          <w:szCs w:val="24"/>
          <w:lang w:eastAsia="es-ES"/>
        </w:rPr>
        <w:t xml:space="preserve">), doctrina ampliamente desarrollada en el Derecho Constitucional comparado que extiende la protección constitucional a las relaciones entre privados. En tercer lugar, la exigencia de un </w:t>
      </w:r>
      <w:r w:rsidRPr="00D17E3C">
        <w:rPr>
          <w:rFonts w:ascii="Times New Roman" w:eastAsia="Times New Roman" w:hAnsi="Times New Roman" w:cs="Times New Roman"/>
          <w:b/>
          <w:bCs/>
          <w:sz w:val="24"/>
          <w:szCs w:val="24"/>
          <w:lang w:eastAsia="es-ES"/>
        </w:rPr>
        <w:t>daño o perjuicio</w:t>
      </w:r>
      <w:r w:rsidRPr="00D17E3C">
        <w:rPr>
          <w:rFonts w:ascii="Times New Roman" w:eastAsia="Times New Roman" w:hAnsi="Times New Roman" w:cs="Times New Roman"/>
          <w:sz w:val="24"/>
          <w:szCs w:val="24"/>
          <w:lang w:eastAsia="es-ES"/>
        </w:rPr>
        <w:t xml:space="preserve"> como presupuesto de la acción, aunque la redacción no es del todo afortunada al no mencionar expresamente la amenaza de vulneración, que también debería ser tutelable mediante medidas cautelares.</w:t>
      </w:r>
    </w:p>
    <w:p w14:paraId="238DDABD"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remisión final del artículo 99 a la ley ("de conformidad con la ley") implica una reserva de ley procesal que habilita al legislador para configurar los detalles del proceso. Esta habilitación fue ejercida mediante la </w:t>
      </w:r>
      <w:r w:rsidRPr="00D17E3C">
        <w:rPr>
          <w:rFonts w:ascii="Times New Roman" w:eastAsia="Times New Roman" w:hAnsi="Times New Roman" w:cs="Times New Roman"/>
          <w:b/>
          <w:bCs/>
          <w:sz w:val="24"/>
          <w:szCs w:val="24"/>
          <w:lang w:eastAsia="es-ES"/>
        </w:rPr>
        <w:t>Ley No. 153 de 2022, "Del Proceso de Amparo de los Derechos Constitucionales"</w:t>
      </w:r>
      <w:r w:rsidRPr="00D17E3C">
        <w:rPr>
          <w:rFonts w:ascii="Times New Roman" w:eastAsia="Times New Roman" w:hAnsi="Times New Roman" w:cs="Times New Roman"/>
          <w:sz w:val="24"/>
          <w:szCs w:val="24"/>
          <w:lang w:eastAsia="es-ES"/>
        </w:rPr>
        <w:t xml:space="preserve">, publicada en la </w:t>
      </w:r>
      <w:r w:rsidRPr="00D17E3C">
        <w:rPr>
          <w:rFonts w:ascii="Times New Roman" w:eastAsia="Times New Roman" w:hAnsi="Times New Roman" w:cs="Times New Roman"/>
          <w:i/>
          <w:iCs/>
          <w:sz w:val="24"/>
          <w:szCs w:val="24"/>
          <w:lang w:eastAsia="es-ES"/>
        </w:rPr>
        <w:t>Gaceta Oficial de la República de Cuba</w:t>
      </w:r>
      <w:r w:rsidRPr="00D17E3C">
        <w:rPr>
          <w:rFonts w:ascii="Times New Roman" w:eastAsia="Times New Roman" w:hAnsi="Times New Roman" w:cs="Times New Roman"/>
          <w:sz w:val="24"/>
          <w:szCs w:val="24"/>
          <w:lang w:eastAsia="es-ES"/>
        </w:rPr>
        <w:t>, edición ordinaria No. 74, de 15 de julio de 2022, entrando en vigor ese mismo día. El proceso legislativo que condujo a su aprobación fue objeto de amplio debate en la Asamblea Nacional del Poder Popular, con participación de académicos, jueces, fiscales y abogados, lo que permitió incorporar diversas perspectivas y ajustar el texto a las necesidades prácticas.</w:t>
      </w:r>
    </w:p>
    <w:p w14:paraId="140D5643"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Ley 153/2022 desarrolla el mandato constitucional con un total de 44 artículos estructurados en varios capítulos. Como señalan los magistrados Carlos Manuel Díaz </w:t>
      </w:r>
      <w:proofErr w:type="spellStart"/>
      <w:r w:rsidRPr="00D17E3C">
        <w:rPr>
          <w:rFonts w:ascii="Times New Roman" w:eastAsia="Times New Roman" w:hAnsi="Times New Roman" w:cs="Times New Roman"/>
          <w:sz w:val="24"/>
          <w:szCs w:val="24"/>
          <w:lang w:eastAsia="es-ES"/>
        </w:rPr>
        <w:t>Tenreiro</w:t>
      </w:r>
      <w:proofErr w:type="spellEnd"/>
      <w:r w:rsidRPr="00D17E3C">
        <w:rPr>
          <w:rFonts w:ascii="Times New Roman" w:eastAsia="Times New Roman" w:hAnsi="Times New Roman" w:cs="Times New Roman"/>
          <w:sz w:val="24"/>
          <w:szCs w:val="24"/>
          <w:lang w:eastAsia="es-ES"/>
        </w:rPr>
        <w:t xml:space="preserve"> y </w:t>
      </w:r>
      <w:proofErr w:type="spellStart"/>
      <w:r w:rsidRPr="00D17E3C">
        <w:rPr>
          <w:rFonts w:ascii="Times New Roman" w:eastAsia="Times New Roman" w:hAnsi="Times New Roman" w:cs="Times New Roman"/>
          <w:sz w:val="24"/>
          <w:szCs w:val="24"/>
          <w:lang w:eastAsia="es-ES"/>
        </w:rPr>
        <w:t>Maryla</w:t>
      </w:r>
      <w:proofErr w:type="spellEnd"/>
      <w:r w:rsidRPr="00D17E3C">
        <w:rPr>
          <w:rFonts w:ascii="Times New Roman" w:eastAsia="Times New Roman" w:hAnsi="Times New Roman" w:cs="Times New Roman"/>
          <w:sz w:val="24"/>
          <w:szCs w:val="24"/>
          <w:lang w:eastAsia="es-ES"/>
        </w:rPr>
        <w:t xml:space="preserve"> Pérez Bernal, del Tribunal Supremo Popular, en un artículo publicado en la </w:t>
      </w:r>
      <w:r w:rsidRPr="00D17E3C">
        <w:rPr>
          <w:rFonts w:ascii="Times New Roman" w:eastAsia="Times New Roman" w:hAnsi="Times New Roman" w:cs="Times New Roman"/>
          <w:i/>
          <w:iCs/>
          <w:sz w:val="24"/>
          <w:szCs w:val="24"/>
          <w:lang w:eastAsia="es-ES"/>
        </w:rPr>
        <w:t>Revista Justicia y Derecho</w:t>
      </w:r>
      <w:r w:rsidRPr="00D17E3C">
        <w:rPr>
          <w:rFonts w:ascii="Times New Roman" w:eastAsia="Times New Roman" w:hAnsi="Times New Roman" w:cs="Times New Roman"/>
          <w:sz w:val="24"/>
          <w:szCs w:val="24"/>
          <w:lang w:eastAsia="es-ES"/>
        </w:rPr>
        <w:t xml:space="preserve">, se trata de una "institución procesal concebida para la tutela de derechos constitucionales y cuyo propósito es permitir que estos puedan ser defendidos en sede judicial de manera efectiva, lograr su restitución y el resarcimiento de los daños y perjuicios causados, sean aquellos materiales o </w:t>
      </w:r>
      <w:r w:rsidRPr="00D17E3C">
        <w:rPr>
          <w:rFonts w:ascii="Times New Roman" w:eastAsia="Times New Roman" w:hAnsi="Times New Roman" w:cs="Times New Roman"/>
          <w:sz w:val="24"/>
          <w:szCs w:val="24"/>
          <w:lang w:eastAsia="es-ES"/>
        </w:rPr>
        <w:lastRenderedPageBreak/>
        <w:t>morales". Este reconocimiento por parte de los máximos responsables de la Sala de Amparo del Tribunal Supremo otorga a la ley una autoridad interpretativa de primer orden.</w:t>
      </w:r>
    </w:p>
    <w:p w14:paraId="5EB2F465"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Entre las innovaciones más significativas de la Ley 153/2022 cabe destacar:</w:t>
      </w:r>
    </w:p>
    <w:p w14:paraId="1256BF67"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creación de las Salas de Amparo</w:t>
      </w:r>
      <w:r w:rsidRPr="00D17E3C">
        <w:rPr>
          <w:rFonts w:ascii="Times New Roman" w:eastAsia="Times New Roman" w:hAnsi="Times New Roman" w:cs="Times New Roman"/>
          <w:sz w:val="24"/>
          <w:szCs w:val="24"/>
          <w:lang w:eastAsia="es-ES"/>
        </w:rPr>
        <w:t xml:space="preserve"> en los tribunales provinciales y en el Tribunal Supremo Popular, dando cumplimiento a lo dispuesto en la Ley 140/2021 "De los Tribunales de Justicia". Estas salas especializadas tienen competencia exclusiva para conocer de los procesos de amparo, lo que garantiza un grado de especialización indispensable para la correcta aplicación del derecho constitucional. Sin embargo, a diferencia de otros países que han optado por crear tribunales constitucionales separados de la jurisdicción ordinaria, el modelo cubano integra las Salas de Amparo en la estructura judicial existente, lo que facilita la articulación con otras </w:t>
      </w:r>
      <w:proofErr w:type="gramStart"/>
      <w:r w:rsidRPr="00D17E3C">
        <w:rPr>
          <w:rFonts w:ascii="Times New Roman" w:eastAsia="Times New Roman" w:hAnsi="Times New Roman" w:cs="Times New Roman"/>
          <w:sz w:val="24"/>
          <w:szCs w:val="24"/>
          <w:lang w:eastAsia="es-ES"/>
        </w:rPr>
        <w:t>jurisdicciones</w:t>
      </w:r>
      <w:proofErr w:type="gramEnd"/>
      <w:r w:rsidRPr="00D17E3C">
        <w:rPr>
          <w:rFonts w:ascii="Times New Roman" w:eastAsia="Times New Roman" w:hAnsi="Times New Roman" w:cs="Times New Roman"/>
          <w:sz w:val="24"/>
          <w:szCs w:val="24"/>
          <w:lang w:eastAsia="es-ES"/>
        </w:rPr>
        <w:t xml:space="preserve"> pero plantea desafíos en términos de independencia y especialización.</w:t>
      </w:r>
    </w:p>
    <w:p w14:paraId="24F99DCC"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regulación de la jurisdicción y competencia</w:t>
      </w:r>
      <w:r w:rsidRPr="00D17E3C">
        <w:rPr>
          <w:rFonts w:ascii="Times New Roman" w:eastAsia="Times New Roman" w:hAnsi="Times New Roman" w:cs="Times New Roman"/>
          <w:sz w:val="24"/>
          <w:szCs w:val="24"/>
          <w:lang w:eastAsia="es-ES"/>
        </w:rPr>
        <w:t xml:space="preserve"> en el artículo 5, que establece el principio de subsidiariedad como regla general y la excepción de trascendencia jurídico-social como vía de acceso al amparo cuando existan otras vías judiciales. Este diseño, inspirado en el derecho comparado, busca equilibrar la necesidad de proteger los derechos fundamentales con la preservación de los procesos ordinarios y la evitación de la congestión judicial. Como hemos analizado en epígrafes anteriores, la interpretación de la "trascendencia jurídico-social" se ha convertido en el principal desafío interpretativo de la ley.</w:t>
      </w:r>
    </w:p>
    <w:p w14:paraId="17276A9C"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consagración de principios rectores</w:t>
      </w:r>
      <w:r w:rsidRPr="00D17E3C">
        <w:rPr>
          <w:rFonts w:ascii="Times New Roman" w:eastAsia="Times New Roman" w:hAnsi="Times New Roman" w:cs="Times New Roman"/>
          <w:sz w:val="24"/>
          <w:szCs w:val="24"/>
          <w:lang w:eastAsia="es-ES"/>
        </w:rPr>
        <w:t xml:space="preserve"> en el artículo 5.3 y concordantes, entre los que destaca el principio </w:t>
      </w:r>
      <w:r w:rsidRPr="00D17E3C">
        <w:rPr>
          <w:rFonts w:ascii="Times New Roman" w:eastAsia="Times New Roman" w:hAnsi="Times New Roman" w:cs="Times New Roman"/>
          <w:i/>
          <w:iCs/>
          <w:sz w:val="24"/>
          <w:szCs w:val="24"/>
          <w:lang w:eastAsia="es-ES"/>
        </w:rPr>
        <w:t>pro homine</w:t>
      </w:r>
      <w:r w:rsidRPr="00D17E3C">
        <w:rPr>
          <w:rFonts w:ascii="Times New Roman" w:eastAsia="Times New Roman" w:hAnsi="Times New Roman" w:cs="Times New Roman"/>
          <w:sz w:val="24"/>
          <w:szCs w:val="24"/>
          <w:lang w:eastAsia="es-ES"/>
        </w:rPr>
        <w:t xml:space="preserve"> como criterio hermenéutico fundamental. Este principio, recogido en el Derecho Internacional de los Derechos Humanos, exige que las normas se interpreten y apliquen del modo que más favorezca a la persona y al respeto a la dignidad humana. Su inclusión expresa en la ley constituye un avance significativo y una guía indispensable para jueces y abogados.</w:t>
      </w:r>
    </w:p>
    <w:p w14:paraId="5E31B1CB"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regulación de las medidas cautelares</w:t>
      </w:r>
      <w:r w:rsidRPr="00D17E3C">
        <w:rPr>
          <w:rFonts w:ascii="Times New Roman" w:eastAsia="Times New Roman" w:hAnsi="Times New Roman" w:cs="Times New Roman"/>
          <w:sz w:val="24"/>
          <w:szCs w:val="24"/>
          <w:lang w:eastAsia="es-ES"/>
        </w:rPr>
        <w:t xml:space="preserve"> en el artículo 16, que faculta al tribunal para adoptar, de oficio o a instancia de parte, las medidas necesarias para asegurar la efectividad de la sentencia y evitar que el proceso pierda su finalidad. Esta previsión es esencial en un proceso concebido para la tutela urgente de derechos fundamentales, donde la espera a la resolución definitiva podría provocar daños irreparables.</w:t>
      </w:r>
    </w:p>
    <w:p w14:paraId="337EB1C2"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El establecimiento de plazos breves</w:t>
      </w:r>
      <w:r w:rsidRPr="00D17E3C">
        <w:rPr>
          <w:rFonts w:ascii="Times New Roman" w:eastAsia="Times New Roman" w:hAnsi="Times New Roman" w:cs="Times New Roman"/>
          <w:sz w:val="24"/>
          <w:szCs w:val="24"/>
          <w:lang w:eastAsia="es-ES"/>
        </w:rPr>
        <w:t xml:space="preserve"> y de un procedimiento preferente, expedito y concentrado, que incluye la posibilidad de celebrar audiencia oral (artículo 28) y la obligación de resolver en un término perentorio. La celeridad procesal no es aquí un mero adorno retórico, sino una exigencia derivada de la propia naturaleza del amparo como mecanismo de tutela urgente.</w:t>
      </w:r>
    </w:p>
    <w:p w14:paraId="1E76205E"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evolución histórica de la justicia constitucional en Cuba muestra un patrón de avances, interrupciones y recuperaciones. El proceso de amparo de 2019 no surge de la nada; conecta con una tradición que hunde sus raíces en la Constitución de 1940 y que, tras un largo paréntesis, reaparece para dotar de efectividad a los derechos fundamentales. Como ha señalado la profesora Amanda Laura Prieto Valdés, "la ley que desarrolla el proceso de amparo para la defensa de los derechos constitucionales en Cuba está marcada por ser expresión del mandato constitucional de dotar de mayores garantías a las personas, a partir de la concepción de un procedimiento caracterizado por su celeridad, el papel activo que han de tener los tribunales de justicia, la </w:t>
      </w:r>
      <w:r w:rsidRPr="00D17E3C">
        <w:rPr>
          <w:rFonts w:ascii="Times New Roman" w:eastAsia="Times New Roman" w:hAnsi="Times New Roman" w:cs="Times New Roman"/>
          <w:sz w:val="24"/>
          <w:szCs w:val="24"/>
          <w:lang w:eastAsia="es-ES"/>
        </w:rPr>
        <w:lastRenderedPageBreak/>
        <w:t>participación de las partes en igualdad de condiciones, con una adecuada simplificación de los trámites, la oralidad y la inmediación como sus principios rectores".</w:t>
      </w:r>
    </w:p>
    <w:p w14:paraId="34C4752A"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Esta recuperación implica no solo la reinstauración de un proceso, sino la reconstrucción de una cultura jurídica que había permanecido latente durante casi cinco décadas. El desafío actual consiste en consolidar esta tradición recuperada, asegurando que la experiencia histórica del Tribunal de Garantías Constitucionales y Sociales sirva como referente y punto de partida para el desarrollo de una sólida jurisprudencia constitucional. Como advierte el Dr. Jorge </w:t>
      </w:r>
      <w:proofErr w:type="spellStart"/>
      <w:r w:rsidRPr="00D17E3C">
        <w:rPr>
          <w:rFonts w:ascii="Times New Roman" w:eastAsia="Times New Roman" w:hAnsi="Times New Roman" w:cs="Times New Roman"/>
          <w:sz w:val="24"/>
          <w:szCs w:val="24"/>
          <w:lang w:eastAsia="es-ES"/>
        </w:rPr>
        <w:t>Olver</w:t>
      </w:r>
      <w:proofErr w:type="spellEnd"/>
      <w:r w:rsidRPr="00D17E3C">
        <w:rPr>
          <w:rFonts w:ascii="Times New Roman" w:eastAsia="Times New Roman" w:hAnsi="Times New Roman" w:cs="Times New Roman"/>
          <w:sz w:val="24"/>
          <w:szCs w:val="24"/>
          <w:lang w:eastAsia="es-ES"/>
        </w:rPr>
        <w:t xml:space="preserve"> </w:t>
      </w:r>
      <w:proofErr w:type="spellStart"/>
      <w:r w:rsidRPr="00D17E3C">
        <w:rPr>
          <w:rFonts w:ascii="Times New Roman" w:eastAsia="Times New Roman" w:hAnsi="Times New Roman" w:cs="Times New Roman"/>
          <w:sz w:val="24"/>
          <w:szCs w:val="24"/>
          <w:lang w:eastAsia="es-ES"/>
        </w:rPr>
        <w:t>Mondelo</w:t>
      </w:r>
      <w:proofErr w:type="spellEnd"/>
      <w:r w:rsidRPr="00D17E3C">
        <w:rPr>
          <w:rFonts w:ascii="Times New Roman" w:eastAsia="Times New Roman" w:hAnsi="Times New Roman" w:cs="Times New Roman"/>
          <w:sz w:val="24"/>
          <w:szCs w:val="24"/>
          <w:lang w:eastAsia="es-ES"/>
        </w:rPr>
        <w:t xml:space="preserve"> Tamayo, "el éxito del amparo no se medirá por el número de sentencias que se dicten, sino por su capacidad para hacer efectivos los derechos y para recordar a todos los poderes —públicos y privados— que la Constitución es, en efecto, la norma suprema".</w:t>
      </w:r>
    </w:p>
    <w:p w14:paraId="6FCF9CE1"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entrada en vigor de la Ley 153/2022 ha generado una creciente actividad judicial en materia de amparo, con demandas que abarcan las más diversas materias: desde restricciones migratorias hasta cortes de suministro eléctrico, pasando por conflictos de vivienda, cuestiones laborales y actuaciones de la administración pública. Esta diversidad de objetos procesales evidencia la potencialidad del amparo como instrumento de tutela de derechos, pero también plantea la necesidad de criterios interpretativos claros que eviten tanto la banalización del proceso como su uso meramente subsidiario.</w:t>
      </w:r>
    </w:p>
    <w:p w14:paraId="0AC24EAA" w14:textId="77777777" w:rsidR="00655EAC"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Tribunal Supremo Popular, a través de su Sala de Amparo, ha comenzado a dictar los primeros pronunciamientos que sientan las bases de una doctrina constitucional. La Sentencia No. 12-2024-1800-3430, de 22 de octubre de 2024, constituye el pronunciamiento de más alto nivel sobre la materia y fija criterios esenciales sobre la interpretación del artículo 5.2 y el concepto de trascendencia jurídico-social. Esta labor hermenéutica del máximo tribunal resulta indispensable para orientar la actuación de los tribunales inferiores y para dotar de seguridad jurídica a los justiciables.</w:t>
      </w:r>
    </w:p>
    <w:p w14:paraId="1E484352" w14:textId="59719037" w:rsidR="00F75402" w:rsidRPr="00D17E3C" w:rsidRDefault="00655EAC"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En definitiva, la recuperación de la justicia constitucional mediante la Constitución de 2019 y la Ley 153/2022 representa un hito en el constitucionalismo cubano. Este proceso de recuperación se inserta en una tradición histórica que, con avances y retrocesos, ha buscado dotar de efectividad a los derechos fundamentales y asegurar la supremacía de la Constitución. El camino recorrido desde 1901 hasta nuestros días muestra que la justicia constitucional es una conquista que requiere constante vigilancia y perfeccionamiento. La tarea que tenemos por delante, como académicos y como operadores jurídicos, es contribuir a que esta conquista se consolide y se traduzca en una protección efectiva de los derechos de todas las personas.</w:t>
      </w:r>
    </w:p>
    <w:p w14:paraId="554B5709" w14:textId="77777777" w:rsidR="00F75402" w:rsidRPr="00D17E3C" w:rsidRDefault="00F75402" w:rsidP="00D17E3C">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D17E3C">
        <w:rPr>
          <w:rFonts w:ascii="Times New Roman" w:eastAsia="Times New Roman" w:hAnsi="Times New Roman" w:cs="Times New Roman"/>
          <w:b/>
          <w:bCs/>
          <w:sz w:val="27"/>
          <w:szCs w:val="27"/>
          <w:lang w:eastAsia="es-ES"/>
        </w:rPr>
        <w:t>3. Las garantías jurisdiccionales y la Constitución de 2019: interrelación y sistema</w:t>
      </w:r>
    </w:p>
    <w:p w14:paraId="4656E197"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Constitución de 2019 no se limita a reconocer derechos; establece un </w:t>
      </w:r>
      <w:r w:rsidRPr="00D17E3C">
        <w:rPr>
          <w:rFonts w:ascii="Times New Roman" w:eastAsia="Times New Roman" w:hAnsi="Times New Roman" w:cs="Times New Roman"/>
          <w:b/>
          <w:bCs/>
          <w:sz w:val="24"/>
          <w:szCs w:val="24"/>
          <w:lang w:eastAsia="es-ES"/>
        </w:rPr>
        <w:t>sistema de garantías</w:t>
      </w:r>
      <w:r w:rsidRPr="00D17E3C">
        <w:rPr>
          <w:rFonts w:ascii="Times New Roman" w:eastAsia="Times New Roman" w:hAnsi="Times New Roman" w:cs="Times New Roman"/>
          <w:sz w:val="24"/>
          <w:szCs w:val="24"/>
          <w:lang w:eastAsia="es-ES"/>
        </w:rPr>
        <w:t xml:space="preserve"> que opera en múltiples niveles. Comprender la interrelación entre estas garantías es esencial para situar correctamente el proceso de amparo.</w:t>
      </w:r>
    </w:p>
    <w:p w14:paraId="0E193839"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3.1. El Título V: "Derechos, Deberes y Garantías"</w:t>
      </w:r>
    </w:p>
    <w:p w14:paraId="2782CD9C"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lastRenderedPageBreak/>
        <w:t>La Constitución de 2019 dedica su Título V a regular no solo los derechos, sino también las garantías para su protección, en una sistemática que refleja la influencia del neoconstitucionalismo y del Derecho Internacional de los Derechos Humanos. Esta ubicación sistemática no es casual: al situar las garantías en el mismo título que los derechos, el constituyente cubano expresa la idea de que derechos y garantías son realidades inseparables, dos caras de una misma moneda. Como bien señala la profesora Martha Prieto Valdés, "derechos sin garantía son una mera fórmula legal". El Título V viene a subsanar esa carencia, dotando al ordenamiento de un sistema articulado de protección.</w:t>
      </w:r>
    </w:p>
    <w:p w14:paraId="6016A546"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Las garantías previstas en la Constitución pueden clasificarse en tres categorías interrelacionadas, cada una de las cuales opera en un nivel </w:t>
      </w:r>
      <w:proofErr w:type="gramStart"/>
      <w:r w:rsidRPr="00D17E3C">
        <w:rPr>
          <w:rFonts w:ascii="Times New Roman" w:eastAsia="Times New Roman" w:hAnsi="Times New Roman" w:cs="Times New Roman"/>
          <w:sz w:val="24"/>
          <w:szCs w:val="24"/>
          <w:lang w:eastAsia="es-ES"/>
        </w:rPr>
        <w:t>distinto</w:t>
      </w:r>
      <w:proofErr w:type="gramEnd"/>
      <w:r w:rsidRPr="00D17E3C">
        <w:rPr>
          <w:rFonts w:ascii="Times New Roman" w:eastAsia="Times New Roman" w:hAnsi="Times New Roman" w:cs="Times New Roman"/>
          <w:sz w:val="24"/>
          <w:szCs w:val="24"/>
          <w:lang w:eastAsia="es-ES"/>
        </w:rPr>
        <w:t xml:space="preserve"> pero convergen en el objetivo común de asegurar la efectividad de los derechos fundamentales.</w:t>
      </w:r>
    </w:p>
    <w:p w14:paraId="5FCF52D5"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Garantías normativas</w:t>
      </w:r>
    </w:p>
    <w:p w14:paraId="2FA99E81"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Las garantías normativas son aquellas que operan en el plano de la producción y aplicación del derecho, asegurando la primacía de la Constitución y la sujeción de todos los poderes a ella. La principal garantía normativa es la </w:t>
      </w:r>
      <w:r w:rsidRPr="00D17E3C">
        <w:rPr>
          <w:rFonts w:ascii="Times New Roman" w:eastAsia="Times New Roman" w:hAnsi="Times New Roman" w:cs="Times New Roman"/>
          <w:b/>
          <w:bCs/>
          <w:sz w:val="24"/>
          <w:szCs w:val="24"/>
          <w:lang w:eastAsia="es-ES"/>
        </w:rPr>
        <w:t>supremacía constitucional</w:t>
      </w:r>
      <w:r w:rsidRPr="00D17E3C">
        <w:rPr>
          <w:rFonts w:ascii="Times New Roman" w:eastAsia="Times New Roman" w:hAnsi="Times New Roman" w:cs="Times New Roman"/>
          <w:sz w:val="24"/>
          <w:szCs w:val="24"/>
          <w:lang w:eastAsia="es-ES"/>
        </w:rPr>
        <w:t>, consagrada en el artículo 7: "La Constitución es la norma jurídica suprema. Todos están obligados a cumplirla. Las disposiciones y actos de los órganos del Estado, sus directivos, funcionarios y empleados, así como de las organizaciones, las entidades y los individuos, se ajustan a lo que esta dispone". Este precepto establece la jerarquía normativa de la Constitución y su carácter vinculante para todos, sin excepción. La supremacía constitucional no es una mera declaración retórica; tiene consecuencias jurídicas concretas: cualquier norma o acto que contradiga la Constitución es inválido y debe ser inaplicado o expulsado del ordenamiento.</w:t>
      </w:r>
    </w:p>
    <w:p w14:paraId="19328EA3"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El </w:t>
      </w:r>
      <w:r w:rsidRPr="00D17E3C">
        <w:rPr>
          <w:rFonts w:ascii="Times New Roman" w:eastAsia="Times New Roman" w:hAnsi="Times New Roman" w:cs="Times New Roman"/>
          <w:b/>
          <w:bCs/>
          <w:sz w:val="24"/>
          <w:szCs w:val="24"/>
          <w:lang w:eastAsia="es-ES"/>
        </w:rPr>
        <w:t>principio de legalidad</w:t>
      </w:r>
      <w:r w:rsidRPr="00D17E3C">
        <w:rPr>
          <w:rFonts w:ascii="Times New Roman" w:eastAsia="Times New Roman" w:hAnsi="Times New Roman" w:cs="Times New Roman"/>
          <w:sz w:val="24"/>
          <w:szCs w:val="24"/>
          <w:lang w:eastAsia="es-ES"/>
        </w:rPr>
        <w:t>, recogido en el artículo 9, complementa la supremacía constitucional al exigir que "los órganos del Estado, sus directivos, funcionarios y empleados, actúen dentro de los límites de sus respectivas competencias y se ajusten a la ley". Este principio, que constituye una de las bases del Estado de Derecho, somete la actuación de los poderes públicos al imperio de la ley y, en última instancia, de la Constitución. La legalidad no es solo un límite negativo (lo que no se puede hacer), sino también un mandato positivo (lo que se debe hacer) que orienta la actuación de los poderes públicos hacia la realización de los fines constitucionales.</w:t>
      </w:r>
    </w:p>
    <w:p w14:paraId="4396B98A"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Otra garantía normativa fundamental es el </w:t>
      </w:r>
      <w:r w:rsidRPr="00D17E3C">
        <w:rPr>
          <w:rFonts w:ascii="Times New Roman" w:eastAsia="Times New Roman" w:hAnsi="Times New Roman" w:cs="Times New Roman"/>
          <w:b/>
          <w:bCs/>
          <w:sz w:val="24"/>
          <w:szCs w:val="24"/>
          <w:lang w:eastAsia="es-ES"/>
        </w:rPr>
        <w:t>principio de irretroactividad de la ley</w:t>
      </w:r>
      <w:r w:rsidRPr="00D17E3C">
        <w:rPr>
          <w:rFonts w:ascii="Times New Roman" w:eastAsia="Times New Roman" w:hAnsi="Times New Roman" w:cs="Times New Roman"/>
          <w:sz w:val="24"/>
          <w:szCs w:val="24"/>
          <w:lang w:eastAsia="es-ES"/>
        </w:rPr>
        <w:t>, salvo en materia penal cuando sea favorable al reo (artículo 95), que protege la seguridad jurídica y la confianza legítima de los ciudadanos en el ordenamiento.</w:t>
      </w:r>
    </w:p>
    <w:p w14:paraId="0858B110"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Sobre el artículo 95, los profesores Juan Mendoza Díaz y </w:t>
      </w:r>
      <w:proofErr w:type="spellStart"/>
      <w:r w:rsidRPr="00D17E3C">
        <w:rPr>
          <w:rFonts w:ascii="Times New Roman" w:eastAsia="Times New Roman" w:hAnsi="Times New Roman" w:cs="Times New Roman"/>
          <w:sz w:val="24"/>
          <w:szCs w:val="24"/>
          <w:lang w:eastAsia="es-ES"/>
        </w:rPr>
        <w:t>Mayda</w:t>
      </w:r>
      <w:proofErr w:type="spellEnd"/>
      <w:r w:rsidRPr="00D17E3C">
        <w:rPr>
          <w:rFonts w:ascii="Times New Roman" w:eastAsia="Times New Roman" w:hAnsi="Times New Roman" w:cs="Times New Roman"/>
          <w:sz w:val="24"/>
          <w:szCs w:val="24"/>
          <w:lang w:eastAsia="es-ES"/>
        </w:rPr>
        <w:t xml:space="preserve"> </w:t>
      </w:r>
      <w:proofErr w:type="spellStart"/>
      <w:r w:rsidRPr="00D17E3C">
        <w:rPr>
          <w:rFonts w:ascii="Times New Roman" w:eastAsia="Times New Roman" w:hAnsi="Times New Roman" w:cs="Times New Roman"/>
          <w:sz w:val="24"/>
          <w:szCs w:val="24"/>
          <w:lang w:eastAsia="es-ES"/>
        </w:rPr>
        <w:t>Goite</w:t>
      </w:r>
      <w:proofErr w:type="spellEnd"/>
      <w:r w:rsidRPr="00D17E3C">
        <w:rPr>
          <w:rFonts w:ascii="Times New Roman" w:eastAsia="Times New Roman" w:hAnsi="Times New Roman" w:cs="Times New Roman"/>
          <w:sz w:val="24"/>
          <w:szCs w:val="24"/>
          <w:lang w:eastAsia="es-ES"/>
        </w:rPr>
        <w:t xml:space="preserve"> Pierre han realizado un análisis exhaustivo en su estudio "El debido proceso penal en el modelo constitucional cubano", publicado en la </w:t>
      </w:r>
      <w:r w:rsidRPr="00D17E3C">
        <w:rPr>
          <w:rFonts w:ascii="Times New Roman" w:eastAsia="Times New Roman" w:hAnsi="Times New Roman" w:cs="Times New Roman"/>
          <w:i/>
          <w:iCs/>
          <w:sz w:val="24"/>
          <w:szCs w:val="24"/>
          <w:lang w:eastAsia="es-ES"/>
        </w:rPr>
        <w:t>Revista Universidad de La Habana</w:t>
      </w:r>
      <w:r w:rsidRPr="00D17E3C">
        <w:rPr>
          <w:rFonts w:ascii="Times New Roman" w:eastAsia="Times New Roman" w:hAnsi="Times New Roman" w:cs="Times New Roman"/>
          <w:sz w:val="24"/>
          <w:szCs w:val="24"/>
          <w:lang w:eastAsia="es-ES"/>
        </w:rPr>
        <w:t xml:space="preserve">. Estos autores destacan que la Constitución de 2019 regula, por primera vez en la historia constitucional cubana, la garantía del debido proceso penal, cumplimentando así "muchas de las aspiraciones de la doctrina constitucional y procesal cubana". Mendoza y </w:t>
      </w:r>
      <w:proofErr w:type="spellStart"/>
      <w:r w:rsidRPr="00D17E3C">
        <w:rPr>
          <w:rFonts w:ascii="Times New Roman" w:eastAsia="Times New Roman" w:hAnsi="Times New Roman" w:cs="Times New Roman"/>
          <w:sz w:val="24"/>
          <w:szCs w:val="24"/>
          <w:lang w:eastAsia="es-ES"/>
        </w:rPr>
        <w:t>Goite</w:t>
      </w:r>
      <w:proofErr w:type="spellEnd"/>
      <w:r w:rsidRPr="00D17E3C">
        <w:rPr>
          <w:rFonts w:ascii="Times New Roman" w:eastAsia="Times New Roman" w:hAnsi="Times New Roman" w:cs="Times New Roman"/>
          <w:sz w:val="24"/>
          <w:szCs w:val="24"/>
          <w:lang w:eastAsia="es-ES"/>
        </w:rPr>
        <w:t xml:space="preserve"> explican que el artículo 95, en sus diferentes incisos, consagra un conjunto de "garantías privilegiadas, que el legislador ordinario debe respetar e instrumentar en las leyes procesales y que, por el rango que tienen, pueden ser también aplicadas de forma directa". Siguiendo la teoría de Luigi Ferrajoli, los autores cubanos subrayan que esta separación entre derechos y garantías es indispensable, pues "un derecho fundamental reconocido, pero no justiciable, no es más que una declaración retórica". El artículo 95 se convierte así en un parámetro </w:t>
      </w:r>
      <w:r w:rsidRPr="00D17E3C">
        <w:rPr>
          <w:rFonts w:ascii="Times New Roman" w:eastAsia="Times New Roman" w:hAnsi="Times New Roman" w:cs="Times New Roman"/>
          <w:sz w:val="24"/>
          <w:szCs w:val="24"/>
          <w:lang w:eastAsia="es-ES"/>
        </w:rPr>
        <w:lastRenderedPageBreak/>
        <w:t>hermenéutico fundamental para todos los procesos, incluido el de amparo, pues establece los estándares mínimos que deben respetarse en cualquier actuación jurisdiccional.</w:t>
      </w:r>
    </w:p>
    <w:p w14:paraId="4D8D62B1"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profesora Martha Prieto Valdés, al analizar el sistema de garantías constitucionales, enfatiza que "la supremacía constitucional, el principio de legalidad y la irretroactividad de la ley constituyen la base sobre la que se asienta todo el edificio de protección de derechos". Estos principios, por su propia naturaleza, no requieren desarrollo legislativo para ser eficaces; son directamente aplicables por los tribunales y deben orientar la interpretación de todo el ordenamiento jurídico.</w:t>
      </w:r>
    </w:p>
    <w:p w14:paraId="440FFCC3"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Garantías institucionales</w:t>
      </w:r>
    </w:p>
    <w:p w14:paraId="3460A439"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Las garantías institucionales se refieren a la existencia de órganos y estructuras estatales diseñadas para asegurar la protección de los derechos y el control de la legalidad. La principal garantía institucional es la </w:t>
      </w:r>
      <w:r w:rsidRPr="00D17E3C">
        <w:rPr>
          <w:rFonts w:ascii="Times New Roman" w:eastAsia="Times New Roman" w:hAnsi="Times New Roman" w:cs="Times New Roman"/>
          <w:b/>
          <w:bCs/>
          <w:sz w:val="24"/>
          <w:szCs w:val="24"/>
          <w:lang w:eastAsia="es-ES"/>
        </w:rPr>
        <w:t>independencia judicial</w:t>
      </w:r>
      <w:r w:rsidRPr="00D17E3C">
        <w:rPr>
          <w:rFonts w:ascii="Times New Roman" w:eastAsia="Times New Roman" w:hAnsi="Times New Roman" w:cs="Times New Roman"/>
          <w:sz w:val="24"/>
          <w:szCs w:val="24"/>
          <w:lang w:eastAsia="es-ES"/>
        </w:rPr>
        <w:t>, consagrada en el artículo 148: "Los tribunales de justicia ejercen la función judicial con independencia y solo están sometidos a la ley". Esta independencia es presupuesto indispensable para que los jueces puedan actuar como verdaderos garantes de los derechos frente a los poderes públicos y los particulares. Sin jueces independientes, la tutela judicial de derechos se convierte en una ficción.</w:t>
      </w:r>
    </w:p>
    <w:p w14:paraId="7A89014F"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profesora Marta Moreno Cruz, en sus estudios sobre la función judicial, ha señalado que "la independencia judicial no es un privilegio de los jueces, sino una garantía de los ciudadanos". Esta perspectiva, centrada en el justiciable, resulta esencial para comprender el sentido último de las garantías institucionales: no existen por sí mismas, sino al servicio de la protección efectiva de los derechos.</w:t>
      </w:r>
    </w:p>
    <w:p w14:paraId="75043566"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w:t>
      </w:r>
      <w:proofErr w:type="gramStart"/>
      <w:r w:rsidRPr="00D17E3C">
        <w:rPr>
          <w:rFonts w:ascii="Times New Roman" w:eastAsia="Times New Roman" w:hAnsi="Times New Roman" w:cs="Times New Roman"/>
          <w:b/>
          <w:bCs/>
          <w:sz w:val="24"/>
          <w:szCs w:val="24"/>
          <w:lang w:eastAsia="es-ES"/>
        </w:rPr>
        <w:t>Fiscalía General</w:t>
      </w:r>
      <w:proofErr w:type="gramEnd"/>
      <w:r w:rsidRPr="00D17E3C">
        <w:rPr>
          <w:rFonts w:ascii="Times New Roman" w:eastAsia="Times New Roman" w:hAnsi="Times New Roman" w:cs="Times New Roman"/>
          <w:b/>
          <w:bCs/>
          <w:sz w:val="24"/>
          <w:szCs w:val="24"/>
          <w:lang w:eastAsia="es-ES"/>
        </w:rPr>
        <w:t xml:space="preserve"> de la República</w:t>
      </w:r>
      <w:r w:rsidRPr="00D17E3C">
        <w:rPr>
          <w:rFonts w:ascii="Times New Roman" w:eastAsia="Times New Roman" w:hAnsi="Times New Roman" w:cs="Times New Roman"/>
          <w:sz w:val="24"/>
          <w:szCs w:val="24"/>
          <w:lang w:eastAsia="es-ES"/>
        </w:rPr>
        <w:t xml:space="preserve"> constituye otra garantía institucional de primer orden. El artículo 156 le atribuye la función de "ejercer el control de la legalidad" y "velar por el estricto cumplimiento de la Constitución, las leyes y demás disposiciones legales". La Fiscalía actúa como órgano imparcial que, sin perjuicio de su dependencia orgánica, debe velar por la correcta aplicación del derecho y la protección de los derechos ciudadanos. En el proceso de amparo, la Fiscalía tiene legitimación activa para interponer demanda en defensa de intereses públicos (artículo 10 de la Ley 153/2022), y su dictamen es preceptivo en todos los procesos (artículo 28).</w:t>
      </w:r>
    </w:p>
    <w:p w14:paraId="3D817414"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profesor Julio Antonio Fernández Estrada, en su análisis sobre el Ministerio Fiscal en el nuevo modelo constitucional, destaca que "la Fiscalía se configura como un órgano de garantías, no como una mera prolongación del poder ejecutivo". Esta función garantista resulta particularmente relevante en el proceso de amparo, donde la intervención fiscal puede equilibrar la posición de las partes y asegurar la correcta aplicación de la ley.</w:t>
      </w:r>
    </w:p>
    <w:p w14:paraId="2A4EFE01"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Otras garantías institucionales incluyen la </w:t>
      </w:r>
      <w:r w:rsidRPr="00D17E3C">
        <w:rPr>
          <w:rFonts w:ascii="Times New Roman" w:eastAsia="Times New Roman" w:hAnsi="Times New Roman" w:cs="Times New Roman"/>
          <w:b/>
          <w:bCs/>
          <w:sz w:val="24"/>
          <w:szCs w:val="24"/>
          <w:lang w:eastAsia="es-ES"/>
        </w:rPr>
        <w:t>Defensoría del Pueblo</w:t>
      </w:r>
      <w:r w:rsidRPr="00D17E3C">
        <w:rPr>
          <w:rFonts w:ascii="Times New Roman" w:eastAsia="Times New Roman" w:hAnsi="Times New Roman" w:cs="Times New Roman"/>
          <w:sz w:val="24"/>
          <w:szCs w:val="24"/>
          <w:lang w:eastAsia="es-ES"/>
        </w:rPr>
        <w:t xml:space="preserve">, aunque su creación y regulación se remiten a ley ordinaria, y los </w:t>
      </w:r>
      <w:r w:rsidRPr="00D17E3C">
        <w:rPr>
          <w:rFonts w:ascii="Times New Roman" w:eastAsia="Times New Roman" w:hAnsi="Times New Roman" w:cs="Times New Roman"/>
          <w:b/>
          <w:bCs/>
          <w:sz w:val="24"/>
          <w:szCs w:val="24"/>
          <w:lang w:eastAsia="es-ES"/>
        </w:rPr>
        <w:t>órganos de control administrativo</w:t>
      </w:r>
      <w:r w:rsidRPr="00D17E3C">
        <w:rPr>
          <w:rFonts w:ascii="Times New Roman" w:eastAsia="Times New Roman" w:hAnsi="Times New Roman" w:cs="Times New Roman"/>
          <w:sz w:val="24"/>
          <w:szCs w:val="24"/>
          <w:lang w:eastAsia="es-ES"/>
        </w:rPr>
        <w:t xml:space="preserve"> que, en el ámbito de sus competencias, velan por la legalidad de la actuación administrativa. La profesora Prieto Valdés ha insistido en la necesidad de desarrollar estas instituciones para completar el sistema de garantías previsto en la Constitución.</w:t>
      </w:r>
    </w:p>
    <w:p w14:paraId="337344EE"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Garantías procesales</w:t>
      </w:r>
    </w:p>
    <w:p w14:paraId="68282CC2"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Las garantías procesales son aquellas que operan en el seno del proceso judicial, asegurando que los derechos puedan ser efectivamente tutelados por los tribunales. El </w:t>
      </w:r>
      <w:r w:rsidRPr="00D17E3C">
        <w:rPr>
          <w:rFonts w:ascii="Times New Roman" w:eastAsia="Times New Roman" w:hAnsi="Times New Roman" w:cs="Times New Roman"/>
          <w:b/>
          <w:bCs/>
          <w:sz w:val="24"/>
          <w:szCs w:val="24"/>
          <w:lang w:eastAsia="es-ES"/>
        </w:rPr>
        <w:t>derecho de acceso a la justicia</w:t>
      </w:r>
      <w:r w:rsidRPr="00D17E3C">
        <w:rPr>
          <w:rFonts w:ascii="Times New Roman" w:eastAsia="Times New Roman" w:hAnsi="Times New Roman" w:cs="Times New Roman"/>
          <w:sz w:val="24"/>
          <w:szCs w:val="24"/>
          <w:lang w:eastAsia="es-ES"/>
        </w:rPr>
        <w:t xml:space="preserve">, consagrado en el artículo 92, establece que "toda persona tiene derecho a obtener una tutela efectiva de los órganos judiciales". Este derecho no se limita a la posibilidad formal de acudir </w:t>
      </w:r>
      <w:r w:rsidRPr="00D17E3C">
        <w:rPr>
          <w:rFonts w:ascii="Times New Roman" w:eastAsia="Times New Roman" w:hAnsi="Times New Roman" w:cs="Times New Roman"/>
          <w:sz w:val="24"/>
          <w:szCs w:val="24"/>
          <w:lang w:eastAsia="es-ES"/>
        </w:rPr>
        <w:lastRenderedPageBreak/>
        <w:t>a los tribunales, sino que exige que el proceso sea efectivo, es decir, que proporcione una protección real y oportuna al derecho vulnerado.</w:t>
      </w:r>
    </w:p>
    <w:p w14:paraId="684A078F"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Los profesores Mendoza Díaz y </w:t>
      </w:r>
      <w:proofErr w:type="spellStart"/>
      <w:r w:rsidRPr="00D17E3C">
        <w:rPr>
          <w:rFonts w:ascii="Times New Roman" w:eastAsia="Times New Roman" w:hAnsi="Times New Roman" w:cs="Times New Roman"/>
          <w:sz w:val="24"/>
          <w:szCs w:val="24"/>
          <w:lang w:eastAsia="es-ES"/>
        </w:rPr>
        <w:t>Goite</w:t>
      </w:r>
      <w:proofErr w:type="spellEnd"/>
      <w:r w:rsidRPr="00D17E3C">
        <w:rPr>
          <w:rFonts w:ascii="Times New Roman" w:eastAsia="Times New Roman" w:hAnsi="Times New Roman" w:cs="Times New Roman"/>
          <w:sz w:val="24"/>
          <w:szCs w:val="24"/>
          <w:lang w:eastAsia="es-ES"/>
        </w:rPr>
        <w:t xml:space="preserve"> Pierre, en su análisis sobre el debido proceso, vinculan estrechamente el acceso a la justicia con la efectividad de los derechos: "El derecho de acceso a los órganos judiciales constituye la garantía primaria, pues sin él los restantes derechos procesales carecen de operatividad". Esta observación es particularmente relevante en el contexto del amparo, donde el filtro de admisibilidad del artículo 5.2 puede convertirse, si se interpreta restrictivamente, en una barrera que limite precisamente ese acceso.</w:t>
      </w:r>
    </w:p>
    <w:p w14:paraId="7B10E72A"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El </w:t>
      </w:r>
      <w:r w:rsidRPr="00D17E3C">
        <w:rPr>
          <w:rFonts w:ascii="Times New Roman" w:eastAsia="Times New Roman" w:hAnsi="Times New Roman" w:cs="Times New Roman"/>
          <w:b/>
          <w:bCs/>
          <w:sz w:val="24"/>
          <w:szCs w:val="24"/>
          <w:lang w:eastAsia="es-ES"/>
        </w:rPr>
        <w:t>debido proceso</w:t>
      </w:r>
      <w:r w:rsidRPr="00D17E3C">
        <w:rPr>
          <w:rFonts w:ascii="Times New Roman" w:eastAsia="Times New Roman" w:hAnsi="Times New Roman" w:cs="Times New Roman"/>
          <w:sz w:val="24"/>
          <w:szCs w:val="24"/>
          <w:lang w:eastAsia="es-ES"/>
        </w:rPr>
        <w:t>, regulado en el artículo 94, garantiza que "toda persona tiene derecho a ser oída en un plazo razonable y con las debidas garantías por un tribunal competente, independiente e imparcial". Este precepto recoge las garantías esenciales del proceso: el derecho a ser oído, a presentar pruebas, a una resolución fundada, a recurrir, y a un proceso sin dilaciones indebidas. El debido proceso constituye el cauce a través del cual se realizan los demás derechos procesales y su vulneración puede ser, a su vez, objeto de amparo.</w:t>
      </w:r>
    </w:p>
    <w:p w14:paraId="52813DE1"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Mendoza y </w:t>
      </w:r>
      <w:proofErr w:type="spellStart"/>
      <w:r w:rsidRPr="00D17E3C">
        <w:rPr>
          <w:rFonts w:ascii="Times New Roman" w:eastAsia="Times New Roman" w:hAnsi="Times New Roman" w:cs="Times New Roman"/>
          <w:sz w:val="24"/>
          <w:szCs w:val="24"/>
          <w:lang w:eastAsia="es-ES"/>
        </w:rPr>
        <w:t>Goite</w:t>
      </w:r>
      <w:proofErr w:type="spellEnd"/>
      <w:r w:rsidRPr="00D17E3C">
        <w:rPr>
          <w:rFonts w:ascii="Times New Roman" w:eastAsia="Times New Roman" w:hAnsi="Times New Roman" w:cs="Times New Roman"/>
          <w:sz w:val="24"/>
          <w:szCs w:val="24"/>
          <w:lang w:eastAsia="es-ES"/>
        </w:rPr>
        <w:t xml:space="preserve"> realizan una distinción fundamental entre el debido proceso como garantía genérica y las garantías específicas que lo integran. El artículo 94, señalan, "no se limita a enunciar principios abstractos, sino que establece un catálogo de derechos concretos: defensa, igualdad de armas, plazo razonable, motivación de las resoluciones, entre otros". Esta concreción normativa facilita su aplicación directa por los tribunales y permite que los ciudadanos puedan invocarlos en cualquier tipo de proceso.</w:t>
      </w:r>
    </w:p>
    <w:p w14:paraId="432FB1E3"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Finalmente, el </w:t>
      </w:r>
      <w:r w:rsidRPr="00D17E3C">
        <w:rPr>
          <w:rFonts w:ascii="Times New Roman" w:eastAsia="Times New Roman" w:hAnsi="Times New Roman" w:cs="Times New Roman"/>
          <w:b/>
          <w:bCs/>
          <w:sz w:val="24"/>
          <w:szCs w:val="24"/>
          <w:lang w:eastAsia="es-ES"/>
        </w:rPr>
        <w:t>proceso de amparo</w:t>
      </w:r>
      <w:r w:rsidRPr="00D17E3C">
        <w:rPr>
          <w:rFonts w:ascii="Times New Roman" w:eastAsia="Times New Roman" w:hAnsi="Times New Roman" w:cs="Times New Roman"/>
          <w:sz w:val="24"/>
          <w:szCs w:val="24"/>
          <w:lang w:eastAsia="es-ES"/>
        </w:rPr>
        <w:t>, regulado en el artículo 99, constituye la garantía procesal específica para la tutela de los derechos constitucionales. Como hemos visto, este precepto establece las líneas maestras de un proceso preferente, expedito y concentrado, cuyo desarrollo legislativo se ha realizado mediante la Ley 153/2022. La profesora Amanda Laura Prieto Valdés, en su estudio sobre esta ley, destaca que "el proceso de amparo se ha previsto para que toda persona a la que se le vulneren los derechos reconocidos en la Constitución de la República, que no tenga una vía de defensa en procesos judiciales de otra materia, pueda reclamar ante los tribunales la restitución de los derechos y obtener la correspondiente reparación o indemnización".</w:t>
      </w:r>
    </w:p>
    <w:p w14:paraId="17C82071"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El profesor Carlos Manuel </w:t>
      </w:r>
      <w:proofErr w:type="spellStart"/>
      <w:r w:rsidRPr="00D17E3C">
        <w:rPr>
          <w:rFonts w:ascii="Times New Roman" w:eastAsia="Times New Roman" w:hAnsi="Times New Roman" w:cs="Times New Roman"/>
          <w:sz w:val="24"/>
          <w:szCs w:val="24"/>
          <w:lang w:eastAsia="es-ES"/>
        </w:rPr>
        <w:t>Villabella</w:t>
      </w:r>
      <w:proofErr w:type="spellEnd"/>
      <w:r w:rsidRPr="00D17E3C">
        <w:rPr>
          <w:rFonts w:ascii="Times New Roman" w:eastAsia="Times New Roman" w:hAnsi="Times New Roman" w:cs="Times New Roman"/>
          <w:sz w:val="24"/>
          <w:szCs w:val="24"/>
          <w:lang w:eastAsia="es-ES"/>
        </w:rPr>
        <w:t xml:space="preserve"> Armengol, al analizar el sistema de garantías de la Constitución de 2019, ofrece una valoración global que conviene tener presente: "El sistema de garantías representa un avance significativo respecto al texto de 1976, pero su efectividad dependerá de la voluntad política y de la capacidad de los operadores jurídicos para hacerlo realidad". Esta advertencia es particularmente relevante en relación con el amparo: la existencia de garantías normativas e institucionales no basta; se requiere una cultura jurídica que las asuma y las aplique.</w:t>
      </w:r>
    </w:p>
    <w:p w14:paraId="739153C2"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interrelación entre estas tres categorías de garantías —normativas, institucionales y procesales— es esencial para comprender el sistema constitucional cubano. Las garantías normativas aseguran la primacía de la Constitución; las garantías institucionales proporcionan los órganos encargados de velar por su cumplimiento; y las garantías procesales ofrecen los cauces a través de los cuales los ciudadanos pueden hacer valer sus derechos. El proceso de amparo se sitúa en la confluencia de todas ellas: es una garantía procesal que presupone las garantías normativas (la Constitución como norma suprema) y se apoya en las garantías institucionales (tribunales independientes y Fiscalía).</w:t>
      </w:r>
    </w:p>
    <w:p w14:paraId="294728F9" w14:textId="77777777" w:rsidR="00D1214D" w:rsidRPr="00D17E3C" w:rsidRDefault="00D1214D" w:rsidP="00D17E3C">
      <w:pPr>
        <w:spacing w:before="120"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lastRenderedPageBreak/>
        <w:t>La profesora Martha Prieto Valdés, en sus estudios sobre las funciones de la Constitución, ha insistido en que "el aseguramiento de la observancia del mandato constitucional requiere de la instrumentación de controles eficaces de constitucionalidad para verificar la actuación del representante superior, como los de legalidad respecto al resto de los órganos de poder y de administración". La tarea de construir esa cultura de garantías es, precisamente, uno de los desafíos centrales del constitucionalismo cubano contemporáneo, y en ella la aplicación del debido proceso del artículo 95 y la correcta articulación de las garantías procesales juegan un papel determinante.</w:t>
      </w:r>
    </w:p>
    <w:p w14:paraId="77631123"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3.2. La dualidad de vías: Artículo 98 vs. Artículo 99</w:t>
      </w:r>
    </w:p>
    <w:p w14:paraId="7467E24D" w14:textId="77777777" w:rsidR="008E3B09" w:rsidRPr="00D17E3C" w:rsidRDefault="008E3B09" w:rsidP="00D17E3C">
      <w:pPr>
        <w:pStyle w:val="ds-markdown-paragraph"/>
        <w:jc w:val="both"/>
      </w:pPr>
      <w:r w:rsidRPr="00D17E3C">
        <w:t>Uno de los puntos más debatidos en la doctrina y en la práctica forense es la relación entre el artículo 98 y el artículo 99 de la Constitución. Ambos preceptos garantizan derechos, pero operan en planos distintos que es necesario diferenciar para evitar confusiones procesales que pueden determinar el éxito o fracaso de una pretensión jurídica.</w:t>
      </w:r>
    </w:p>
    <w:p w14:paraId="50619E08" w14:textId="77777777" w:rsidR="008E3B09" w:rsidRPr="00D17E3C" w:rsidRDefault="008E3B09" w:rsidP="00D17E3C">
      <w:pPr>
        <w:pStyle w:val="ds-markdown-paragraph"/>
        <w:jc w:val="both"/>
      </w:pPr>
      <w:r w:rsidRPr="00D17E3C">
        <w:t xml:space="preserve">El </w:t>
      </w:r>
      <w:r w:rsidRPr="00D17E3C">
        <w:rPr>
          <w:rStyle w:val="Textoennegrita"/>
        </w:rPr>
        <w:t>artículo 98</w:t>
      </w:r>
      <w:r w:rsidRPr="00D17E3C">
        <w:t xml:space="preserve"> dispone: "La ley establece los recursos contra las resoluciones definitivas de los tribunales, a fin de garantizar el derecho a la tutela judicial efectiva. Toda persona tiene derecho a interponerlos, de conformidad con la ley". Este precepto reconoce el derecho a recurrir las decisiones judiciales, pero lo hace con una remisión expresa a la ley ordinaria para su configuración. Se trata de una garantía </w:t>
      </w:r>
      <w:r w:rsidRPr="00D17E3C">
        <w:rPr>
          <w:rStyle w:val="Textoennegrita"/>
        </w:rPr>
        <w:t>intraprocesal</w:t>
      </w:r>
      <w:r w:rsidRPr="00D17E3C">
        <w:t>, que se resuelve dentro de la propia jurisdicción mediante los recursos ordinarios y extraordinarios previstos en las leyes procesales: apelación, casación, revisión, entre otros. El artículo 98 es, por tanto, el fundamento constitucional del sistema de recursos y garantiza que toda persona pueda impugnar las resoluciones judiciales que considere lesivas, pero siempre dentro del cauce procesal establecido.</w:t>
      </w:r>
    </w:p>
    <w:p w14:paraId="4BF86EB3" w14:textId="77777777" w:rsidR="008E3B09" w:rsidRPr="00D17E3C" w:rsidRDefault="008E3B09" w:rsidP="00D17E3C">
      <w:pPr>
        <w:pStyle w:val="ds-markdown-paragraph"/>
        <w:jc w:val="both"/>
      </w:pPr>
      <w:r w:rsidRPr="00D17E3C">
        <w:t xml:space="preserve">El </w:t>
      </w:r>
      <w:r w:rsidRPr="00D17E3C">
        <w:rPr>
          <w:rStyle w:val="Textoennegrita"/>
        </w:rPr>
        <w:t>artículo 99</w:t>
      </w:r>
      <w:r w:rsidRPr="00D17E3C">
        <w:t xml:space="preserve">, por su parte, establece el derecho a reclamar </w:t>
      </w:r>
      <w:r w:rsidRPr="00D17E3C">
        <w:rPr>
          <w:rStyle w:val="Textoennegrita"/>
        </w:rPr>
        <w:t>extraprocesalmente</w:t>
      </w:r>
      <w:r w:rsidRPr="00D17E3C">
        <w:t>, cuando la vulneración proviene de un órgano del Estado, un funcionario o un particular, con independencia de que exista o no un proceso judicial previo. Su texto es más amplio y no se limita a los recursos judiciales: "La persona a la que se le vulneren los derechos consagrados en esta Constitución y, como consecuencia, sufriere daños o perjuicios por los órganos del Estado, sus directivos, funcionarios o empleados, con motivo de la acción u omisión indebida de sus funciones, así como por particulares o por entes no estatales, puede reclamar ante los tribunales la restitución de los derechos y obtener, de conformidad con la ley, la correspondiente reparación o indemnización". Este precepto constituye la puerta de entrada al proceso de amparo constitucional, concebido como un proceso autónomo, no como un recurso contra decisiones judiciales.</w:t>
      </w:r>
    </w:p>
    <w:p w14:paraId="14BBA20C" w14:textId="77777777" w:rsidR="008E3B09" w:rsidRPr="00D17E3C" w:rsidRDefault="008E3B09" w:rsidP="00D17E3C">
      <w:pPr>
        <w:pStyle w:val="ds-markdown-paragraph"/>
        <w:jc w:val="both"/>
      </w:pPr>
      <w:r w:rsidRPr="00D17E3C">
        <w:t>La distinción entre ambas vías tiene implicaciones prácticas de enorme relevancia. El artículo 98 opera dentro del proceso judicial ya existente: se trata de impugnar una resolución dictada por un tribunal, alegando que es contraria a derecho. El control se realiza por el tribunal superior, dentro de la misma jurisdicción, y el objeto del recurso es la propia decisión judicial. Por el contrario, el artículo 99 inicia un proceso nuevo, ante una jurisdicción distinta (la Sala de Amparo), y su objeto no es la decisión judicial, sino el acto u omisión de la autoridad o particular que ha vulnerado el derecho constitucional, con independencia de que exista o no un proceso previo.</w:t>
      </w:r>
    </w:p>
    <w:p w14:paraId="7D4451BD" w14:textId="77777777" w:rsidR="008E3B09" w:rsidRPr="00D17E3C" w:rsidRDefault="008E3B09" w:rsidP="00D17E3C">
      <w:pPr>
        <w:pStyle w:val="ds-markdown-paragraph"/>
        <w:jc w:val="both"/>
      </w:pPr>
      <w:r w:rsidRPr="00D17E3C">
        <w:t xml:space="preserve">La profesora Martha Prieto Valdés, en su análisis sobre las garantías constitucionales, ha insistido en que "confundir ambas vías puede llevar a situaciones de indefensión, pues quien pretenda impugnar una sentencia mediante amparo verá su demanda inadmitida por falta de jurisdicción, </w:t>
      </w:r>
      <w:r w:rsidRPr="00D17E3C">
        <w:lastRenderedPageBreak/>
        <w:t>mientras que quien intente recurrir un acto administrativo lesivo mediante los recursos ordinarios puede perder la oportunidad de obtener una tutela preferente y expedita". Esta advertencia cobra especial relevancia a la luz de los primeros autos dictados por las Salas de Amparo, que han inadmitido numerosas demandas precisamente por esta confusión.</w:t>
      </w:r>
    </w:p>
    <w:p w14:paraId="4100C662" w14:textId="77777777" w:rsidR="008E3B09" w:rsidRPr="00D17E3C" w:rsidRDefault="008E3B09" w:rsidP="00D17E3C">
      <w:pPr>
        <w:pStyle w:val="ds-markdown-paragraph"/>
        <w:jc w:val="both"/>
      </w:pPr>
      <w:r w:rsidRPr="00D17E3C">
        <w:t xml:space="preserve">Un ejemplo paradigmático se encuentra en la </w:t>
      </w:r>
      <w:r w:rsidRPr="00D17E3C">
        <w:rPr>
          <w:rStyle w:val="Textoennegrita"/>
        </w:rPr>
        <w:t>Sentencia No. 12-2024-1800-3430</w:t>
      </w:r>
      <w:r w:rsidRPr="00D17E3C">
        <w:t xml:space="preserve"> del Tribunal Supremo Popular, de 22 de octubre de 2024. En este caso, la parte recurrente pretendía impugnar mediante amparo la inejecución de una resolución administrativa de vivienda, alegando vulneración de derechos constitucionales. El Tribunal Supremo desestimó el recurso y confirmó la inadmisión, argumentando que el conflicto era, en esencia, un problema de ejecución de una decisión administrativa, para lo que estaba reservado su conocimiento en otro orden jurisdiccional (lo contencioso-administrativo). Esta decisión reafirma que el amparo no puede utilizarse como vía supletoria para resolver cuestiones que tienen su cauce procesal específico, ya sea en la jurisdicción ordinaria (artículo 98) o en la contencioso-administrativa.</w:t>
      </w:r>
    </w:p>
    <w:p w14:paraId="55C767DB" w14:textId="77777777" w:rsidR="008E3B09" w:rsidRPr="00D17E3C" w:rsidRDefault="008E3B09" w:rsidP="00D17E3C">
      <w:pPr>
        <w:pStyle w:val="ds-markdown-paragraph"/>
        <w:jc w:val="both"/>
      </w:pPr>
      <w:r w:rsidRPr="00D17E3C">
        <w:t xml:space="preserve">El profesor Carlos Manuel </w:t>
      </w:r>
      <w:proofErr w:type="spellStart"/>
      <w:r w:rsidRPr="00D17E3C">
        <w:t>Villabella</w:t>
      </w:r>
      <w:proofErr w:type="spellEnd"/>
      <w:r w:rsidRPr="00D17E3C">
        <w:t xml:space="preserve"> Armengol, al analizar esta dualidad, ha señalado que "la Constitución de 2019 distingue nítidamente entre la garantía de los recursos judiciales (artículo 98) y la garantía del amparo constitucional (artículo 99). Esta distinción no es accidental, sino que responde a la diferente naturaleza de los bienes jurídicos protegidos: en un caso, la corrección de la decisión judicial; en el otro, la protección del derecho constitucional frente a cualquier autoridad o particular". Esta perspectiva ayuda a comprender que el amparo no es una "</w:t>
      </w:r>
      <w:proofErr w:type="spellStart"/>
      <w:r w:rsidRPr="00D17E3C">
        <w:t>supercasación</w:t>
      </w:r>
      <w:proofErr w:type="spellEnd"/>
      <w:r w:rsidRPr="00D17E3C">
        <w:t>" ni una tercera instancia, sino un proceso con identidad propia.</w:t>
      </w:r>
    </w:p>
    <w:p w14:paraId="5DE8169F" w14:textId="77777777" w:rsidR="008E3B09" w:rsidRPr="00D17E3C" w:rsidRDefault="008E3B09" w:rsidP="00D17E3C">
      <w:pPr>
        <w:pStyle w:val="ds-markdown-paragraph"/>
        <w:jc w:val="both"/>
      </w:pPr>
      <w:r w:rsidRPr="00D17E3C">
        <w:t>La correcta delimitación entre ambas vías resulta esencial para evitar lo que la doctrina ha denominado "desnaturalización del amparo". Si se permitiera utilizar el amparo para impugnar decisiones judiciales, se convertiría en un recurso más, desvirtuando su naturaleza de proceso constitucional autónomo y generando una indeseable dualidad de vías que podría afectar la seguridad jurídica. Por ello, tanto la ley como la jurisprudencia han sido claras en mantener esta distinción.</w:t>
      </w:r>
    </w:p>
    <w:p w14:paraId="2BB8B857" w14:textId="77777777" w:rsidR="008E3B09" w:rsidRPr="00D17E3C" w:rsidRDefault="008E3B09" w:rsidP="00D17E3C">
      <w:pPr>
        <w:pStyle w:val="ds-markdown-paragraph"/>
        <w:jc w:val="both"/>
      </w:pPr>
      <w:r w:rsidRPr="00D17E3C">
        <w:t>La Ley 153/2022, en su artículo 3, excluye expresamente de su ámbito "las reclamaciones por inconformidad con decisiones judiciales adoptadas en procesos judiciales en cualquier materia, que deberán ventilarse mediante los recursos previstos en las leyes procesales". Esta disposición legal refuerza la distinción constitucional y cierra la puerta a cualquier intento de utilizar el amparo como recurso contra decisiones judiciales.</w:t>
      </w:r>
    </w:p>
    <w:p w14:paraId="6884AEA1" w14:textId="77777777" w:rsidR="008E3B09" w:rsidRPr="00D17E3C" w:rsidRDefault="008E3B09" w:rsidP="00D17E3C">
      <w:pPr>
        <w:pStyle w:val="ds-markdown-paragraph"/>
        <w:jc w:val="both"/>
      </w:pPr>
      <w:r w:rsidRPr="00D17E3C">
        <w:t>La profesora Amanda Laura Prieto Valdés, en su estudio sobre el proceso de amparo, ofrece una síntesis clarificadora: "El artículo 98 y el artículo 99 son, respectivamente, la garantía de los recursos y la garantía del amparo. Ambas son necesarias y se complementan, pero no se superponen. La primera asegura que las decisiones judiciales puedan ser revisadas; la segunda asegura que los derechos constitucionales puedan ser protegidos frente a cualquier vulneración, provenga de donde provenga. Su correcta articulación es esencial para la coherencia del sistema de garantías constitucionales".</w:t>
      </w:r>
    </w:p>
    <w:p w14:paraId="452C4C33" w14:textId="77777777" w:rsidR="008E3B09" w:rsidRPr="00D17E3C" w:rsidRDefault="008E3B09" w:rsidP="00D17E3C">
      <w:pPr>
        <w:pStyle w:val="ds-markdown-paragraph"/>
        <w:jc w:val="both"/>
      </w:pPr>
      <w:r w:rsidRPr="00D17E3C">
        <w:t xml:space="preserve">En la práctica forense, esta distinción exige del abogado un análisis cuidadoso de la naturaleza de la pretensión. Si lo que se impugna es una resolución judicial, el cauce adecuado son los recursos ordinarios o extraordinarios previstos en las leyes procesales, al amparo del artículo 98. Si lo que </w:t>
      </w:r>
      <w:r w:rsidRPr="00D17E3C">
        <w:lastRenderedPageBreak/>
        <w:t>se reclama es la vulneración de un derecho constitucional por un acto u omisión de una autoridad o particular, con independencia de que exista o no un proceso judicial previo, el cauce adecuado es el proceso de amparo del artículo 99. Confundir ambas vías no solo conduce a la inadmisión de la demanda, sino que puede provocar la pérdida de plazos y oportunidades procesales irreparables.</w:t>
      </w:r>
    </w:p>
    <w:p w14:paraId="4F742814" w14:textId="77777777" w:rsidR="008E3B09" w:rsidRPr="00D17E3C" w:rsidRDefault="008E3B09" w:rsidP="00D17E3C">
      <w:pPr>
        <w:pStyle w:val="ds-markdown-paragraph"/>
        <w:jc w:val="both"/>
      </w:pPr>
      <w:r w:rsidRPr="00D17E3C">
        <w:t>La jurisprudencia del Tribunal Supremo, especialmente a través de la Sala de Amparo, está llamada a desempeñar un papel fundamental en la delimitación de esta frontera. La Sentencia 12/2024 constituye un primer paso en esa dirección, pero serán necesarios pronunciamientos ulteriores que aborden los múltiples supuestos de posible confluencia entre ambas vías. Mientras tanto, la doctrina y la práctica forense deben seguir profundizando en el análisis de esta dualidad, contribuyendo a la construcción de un sistema coherente de garantías constitucionales.</w:t>
      </w:r>
    </w:p>
    <w:p w14:paraId="423B8803"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correcta distinción entre ambas vías es esencial para evitar confusiones jurisdiccionales. El amparo no es un recurso contra decisiones judiciales —eso corresponde al artículo 98 y a las leyes procesales ordinarias—, sino un proceso autónomo para la tutela de derechos constitucionales vulnerados por actos u omisiones de autoridades o particulares.</w:t>
      </w:r>
    </w:p>
    <w:p w14:paraId="00DDAF77"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3.3. El sistema de garantías en su conjunto</w:t>
      </w:r>
    </w:p>
    <w:p w14:paraId="276D82C8" w14:textId="77777777" w:rsidR="00BA7F35" w:rsidRPr="00D17E3C" w:rsidRDefault="00BA7F35" w:rsidP="00D17E3C">
      <w:pPr>
        <w:pStyle w:val="ds-markdown-paragraph"/>
        <w:jc w:val="both"/>
      </w:pPr>
      <w:r w:rsidRPr="00D17E3C">
        <w:t>El proceso de amparo no opera en el vacío. Constituye una pieza dentro de un entramado normativo e institucional más amplio que la Constitución de 2019 ha diseñado para asegurar la protección efectiva de los derechos fundamentales. Comprender este sistema en su conjunto resulta indispensable para valorar adecuadamente el alcance y los límites del amparo, así como para identificar las interconexiones y complementariedades entre las distintas vías de protección.</w:t>
      </w:r>
    </w:p>
    <w:p w14:paraId="2F3EFF4F" w14:textId="77777777" w:rsidR="00BA7F35" w:rsidRPr="00D17E3C" w:rsidRDefault="00BA7F35" w:rsidP="00D17E3C">
      <w:pPr>
        <w:pStyle w:val="ds-markdown-paragraph"/>
        <w:jc w:val="both"/>
      </w:pPr>
      <w:r w:rsidRPr="00D17E3C">
        <w:t>La profesora Martha Prieto Valdés, al analizar las garantías constitucionales, ha insistido en que "el sistema de garantías no es una suma de mecanismos aislados, sino una estructura articulada donde cada pieza cumple una función específica y se relaciona con las demás". Esta visión sistémica permite superar aproximaciones fragmentarias que consideran cada garantía de manera independiente, perdiendo de vista las sinergias y tensiones que surgen de su interacción.</w:t>
      </w:r>
    </w:p>
    <w:p w14:paraId="1ED54C92" w14:textId="77777777" w:rsidR="00BA7F35" w:rsidRPr="00D17E3C" w:rsidRDefault="00BA7F35" w:rsidP="00D17E3C">
      <w:pPr>
        <w:pStyle w:val="ds-markdown-paragraph"/>
        <w:jc w:val="both"/>
      </w:pPr>
      <w:r w:rsidRPr="00D17E3C">
        <w:rPr>
          <w:rStyle w:val="Textoennegrita"/>
        </w:rPr>
        <w:t>La Ley 140/2021 "De los Tribunales de Justicia"</w:t>
      </w:r>
    </w:p>
    <w:p w14:paraId="77E752D4" w14:textId="77777777" w:rsidR="00BA7F35" w:rsidRPr="00D17E3C" w:rsidRDefault="00BA7F35" w:rsidP="00D17E3C">
      <w:pPr>
        <w:pStyle w:val="ds-markdown-paragraph"/>
        <w:jc w:val="both"/>
      </w:pPr>
      <w:r w:rsidRPr="00D17E3C">
        <w:t xml:space="preserve">La Ley 140, de 7 de diciembre de 2021, constituye el primer pilar del sistema de garantías jurisdiccionales. Su artículo 47 crea las </w:t>
      </w:r>
      <w:r w:rsidRPr="00D17E3C">
        <w:rPr>
          <w:rStyle w:val="Textoennegrita"/>
        </w:rPr>
        <w:t>Salas de Amparo de los Derechos Constitucionales</w:t>
      </w:r>
      <w:r w:rsidRPr="00D17E3C">
        <w:t xml:space="preserve"> en los tribunales provinciales populares y en el Tribunal Supremo Popular, dotando al sistema de órganos especializados para el conocimiento de esta materia. Esta creación responde al mandato constitucional de garantizar una tutela efectiva y especializada de los derechos fundamentales. La existencia de salas dedicadas exclusivamente al amparo permite concentrar el conocimiento de esta materia en jueces con formación específica y dedicación preferente, lo que resulta esencial para el desarrollo de una jurisprudencia coherente en materia constitucional.</w:t>
      </w:r>
    </w:p>
    <w:p w14:paraId="00618E66" w14:textId="77777777" w:rsidR="00BA7F35" w:rsidRPr="00D17E3C" w:rsidRDefault="00BA7F35" w:rsidP="00D17E3C">
      <w:pPr>
        <w:pStyle w:val="ds-markdown-paragraph"/>
        <w:jc w:val="both"/>
      </w:pPr>
      <w:r w:rsidRPr="00D17E3C">
        <w:t xml:space="preserve">La Ley 140 no se limita a crear las Salas de Amparo; establece también los principios de organización y funcionamiento del sistema judicial: la independencia judicial (artículo 8), la sujeción exclusiva a la ley (artículo 9) y las garantías de imparcialidad de los jueces (artículos 10-15). Todos estos principios son presupuestos indispensables para que el proceso de amparo pueda desarrollarse con las debidas garantías. Como ha señalado el profesor </w:t>
      </w:r>
      <w:proofErr w:type="spellStart"/>
      <w:r w:rsidRPr="00D17E3C">
        <w:t>Villabella</w:t>
      </w:r>
      <w:proofErr w:type="spellEnd"/>
      <w:r w:rsidRPr="00D17E3C">
        <w:t xml:space="preserve"> Armengol, "sin </w:t>
      </w:r>
      <w:r w:rsidRPr="00D17E3C">
        <w:lastRenderedPageBreak/>
        <w:t>jueces independientes y sometidos únicamente al imperio de la ley, la tutela judicial de derechos se convierte en una ficción".</w:t>
      </w:r>
    </w:p>
    <w:p w14:paraId="39A08A70" w14:textId="77777777" w:rsidR="00BA7F35" w:rsidRPr="00D17E3C" w:rsidRDefault="00BA7F35" w:rsidP="00D17E3C">
      <w:pPr>
        <w:pStyle w:val="ds-markdown-paragraph"/>
        <w:jc w:val="both"/>
      </w:pPr>
      <w:r w:rsidRPr="00D17E3C">
        <w:rPr>
          <w:rStyle w:val="Textoennegrita"/>
        </w:rPr>
        <w:t>La Ley 141/2021 "Código de Procesos"</w:t>
      </w:r>
    </w:p>
    <w:p w14:paraId="5EEBCB0C" w14:textId="77777777" w:rsidR="00BA7F35" w:rsidRPr="00D17E3C" w:rsidRDefault="00BA7F35" w:rsidP="00D17E3C">
      <w:pPr>
        <w:pStyle w:val="ds-markdown-paragraph"/>
        <w:jc w:val="both"/>
      </w:pPr>
      <w:r w:rsidRPr="00D17E3C">
        <w:t xml:space="preserve">El Código de Procesos, también de 7 de diciembre de 2021, desempeña un papel fundamental en el sistema de garantías. Su artículo 2 establece un principio de enorme relevancia: "Los tribunales aplican directamente la Constitución de la República. Las normas contenidas en los tratados internacionales vigentes para Cuba, en materia de derechos humanos, son de aplicación directa por los tribunales". Este precepto consagra la </w:t>
      </w:r>
      <w:r w:rsidRPr="00D17E3C">
        <w:rPr>
          <w:rStyle w:val="Textoennegrita"/>
        </w:rPr>
        <w:t>aplicación directa de la Constitución</w:t>
      </w:r>
      <w:r w:rsidRPr="00D17E3C">
        <w:t xml:space="preserve"> y de los tratados internacionales de derechos humanos, superando la concepción programática que había predominado durante la vigencia de la Constitución de 1976.</w:t>
      </w:r>
    </w:p>
    <w:p w14:paraId="16D963DA" w14:textId="77777777" w:rsidR="00BA7F35" w:rsidRPr="00D17E3C" w:rsidRDefault="00BA7F35" w:rsidP="00D17E3C">
      <w:pPr>
        <w:pStyle w:val="ds-markdown-paragraph"/>
        <w:jc w:val="both"/>
      </w:pPr>
      <w:r w:rsidRPr="00D17E3C">
        <w:t>El profesor Juan Mendoza Díaz, en sus estudios sobre la reforma procesal cubana, ha subrayado la importancia de este artículo: "La aplicación directa de la Constitución significa que los jueces pueden y deben utilizarla como parámetro de validez de las normas inferiores y como fundamento inmediato de sus decisiones, sin necesidad de que exista una ley de desarrollo que mediatice su eficacia". Esta posibilidad, que el Código de Procesos reconoce explícitamente, abre la puerta a un control difuso de constitucionalidad en el que cualquier juez puede inaplicar una norma contraria a la Constitución en el caso concreto.</w:t>
      </w:r>
    </w:p>
    <w:p w14:paraId="2CD86987" w14:textId="77777777" w:rsidR="00BA7F35" w:rsidRPr="00D17E3C" w:rsidRDefault="00BA7F35" w:rsidP="00D17E3C">
      <w:pPr>
        <w:pStyle w:val="ds-markdown-paragraph"/>
        <w:jc w:val="both"/>
      </w:pPr>
      <w:r w:rsidRPr="00D17E3C">
        <w:t>El Código de Procesos establece también los principios generales que informan todos los procesos: dirección judicial (artículo 3), celeridad (artículo 4), concentración (artículo 5), inmediación (artículo 6), publicidad (artículo 7), entre otros. Estos principios, aunque desarrollados para los procesos ordinarios, resultan igualmente aplicables al amparo en lo no previsto por su ley especial, y contribuyen a garantizar un proceso justo y efectivo.</w:t>
      </w:r>
    </w:p>
    <w:p w14:paraId="055536E4" w14:textId="4C665007" w:rsidR="00BA7F35" w:rsidRPr="00D17E3C" w:rsidRDefault="00D17E3C" w:rsidP="00D17E3C">
      <w:pPr>
        <w:pStyle w:val="ds-markdown-paragraph"/>
        <w:jc w:val="both"/>
      </w:pPr>
      <w:r w:rsidRPr="00D17E3C">
        <w:t>La doctrina</w:t>
      </w:r>
      <w:r w:rsidR="00BA7F35" w:rsidRPr="00D17E3C">
        <w:t xml:space="preserve"> al analizar la relación entre el Código de Procesos y la Ley de Amparo, señala que "existe una relación de supletoriedad entre ambas normas: el Código de Procesos se aplica al amparo en todo lo no regulado expresamente por la Ley 153/2022, siempre que sus disposiciones sean compatibles con la naturaleza preferente, expedita y concentrada de este proceso". Esta relación de supletoriedad evita lagunas y asegura la coherencia del sistema procesal.</w:t>
      </w:r>
    </w:p>
    <w:p w14:paraId="312769F3" w14:textId="77777777" w:rsidR="00BA7F35" w:rsidRPr="00D17E3C" w:rsidRDefault="00BA7F35" w:rsidP="00D17E3C">
      <w:pPr>
        <w:pStyle w:val="ds-markdown-paragraph"/>
        <w:jc w:val="both"/>
      </w:pPr>
      <w:r w:rsidRPr="00D17E3C">
        <w:rPr>
          <w:rStyle w:val="Textoennegrita"/>
        </w:rPr>
        <w:t>La Ley 153/2022 "Del Proceso de Amparo de los Derechos Constitucionales"</w:t>
      </w:r>
    </w:p>
    <w:p w14:paraId="50184DB1" w14:textId="77777777" w:rsidR="00BA7F35" w:rsidRPr="00D17E3C" w:rsidRDefault="00BA7F35" w:rsidP="00D17E3C">
      <w:pPr>
        <w:pStyle w:val="ds-markdown-paragraph"/>
        <w:jc w:val="both"/>
      </w:pPr>
      <w:r w:rsidRPr="00D17E3C">
        <w:t>La Ley 153 constituye, obviamente, el núcleo del sistema de garantías en lo que respecta a la tutela específica de los derechos constitucionales. Como hemos analizado en epígrafes anteriores, esta ley regula el proceso de amparo en sus aspectos esenciales: jurisdicción y competencia (artículos 1-5), legitimación (artículos 10-11), procedimiento (artículos 13-32), medidas cautelares (artículo 16), recursos (artículos 33-36) y ejecución de sentencias (artículos 37-39). Su diseño responde a la necesidad de contar con un proceso ágil y efectivo para la protección de derechos fundamentales.</w:t>
      </w:r>
    </w:p>
    <w:p w14:paraId="4F6964E7" w14:textId="77777777" w:rsidR="00BA7F35" w:rsidRPr="00D17E3C" w:rsidRDefault="00BA7F35" w:rsidP="00D17E3C">
      <w:pPr>
        <w:pStyle w:val="ds-markdown-paragraph"/>
        <w:jc w:val="both"/>
      </w:pPr>
      <w:r w:rsidRPr="00D17E3C">
        <w:t xml:space="preserve">La profesora Amanda Laura Prieto Valdés, en su estudio sobre esta ley, destaca que "la Ley 153/2022 desarrolla el mandato constitucional del artículo 99 con un diseño procesal que busca equilibrar la necesidad de tutela urgente con las exigencias del debido proceso". Este equilibrio se manifiesta en instituciones como el plazo de 90 días para interponer la demanda (artículo 14), que </w:t>
      </w:r>
      <w:r w:rsidRPr="00D17E3C">
        <w:lastRenderedPageBreak/>
        <w:t>es relativamente amplio en el derecho comparado, o la posibilidad de adoptar medidas cautelares de oficio (artículo 16), que refuerza el papel activo del juez en la protección de derechos.</w:t>
      </w:r>
    </w:p>
    <w:p w14:paraId="1950D773" w14:textId="2C22CA25" w:rsidR="00BA7F35" w:rsidRPr="00D17E3C" w:rsidRDefault="00BA7F35" w:rsidP="00D17E3C">
      <w:pPr>
        <w:pStyle w:val="ds-markdown-paragraph"/>
        <w:jc w:val="both"/>
      </w:pPr>
      <w:r w:rsidRPr="00D17E3C">
        <w:t xml:space="preserve">La Ley 153 establece también los principios rectores del proceso de amparo: preferencia, rapidez concentración, oralidad e inmediación (artículo 4). Estos principios, que reiteran y especifican los del Código de Procesos, responden a la naturaleza urgente de la tutela constitucional y deben orientar toda la actuación judicial en esta materia. La preferencia garantiza que los asuntos de amparo tengan prioridad sobre otros; la </w:t>
      </w:r>
      <w:proofErr w:type="spellStart"/>
      <w:r w:rsidRPr="00D17E3C">
        <w:t>expeditez</w:t>
      </w:r>
      <w:proofErr w:type="spellEnd"/>
      <w:r w:rsidRPr="00D17E3C">
        <w:t xml:space="preserve"> asegura que los plazos sean breves; la concentración permite resolver el conflicto en el menor tiempo posible; y la oralidad e inmediación facilitan la comprensión directa del conflicto por parte del juez.</w:t>
      </w:r>
    </w:p>
    <w:p w14:paraId="4D660EF9" w14:textId="77777777" w:rsidR="00BA7F35" w:rsidRPr="00D17E3C" w:rsidRDefault="00BA7F35" w:rsidP="00D17E3C">
      <w:pPr>
        <w:pStyle w:val="ds-markdown-paragraph"/>
        <w:jc w:val="both"/>
      </w:pPr>
      <w:r w:rsidRPr="00D17E3C">
        <w:rPr>
          <w:rStyle w:val="Textoennegrita"/>
        </w:rPr>
        <w:t>La Ley 167/2023 "Del Sistema de Atención a las Quejas y Peticiones"</w:t>
      </w:r>
    </w:p>
    <w:p w14:paraId="5F594923" w14:textId="77777777" w:rsidR="00BA7F35" w:rsidRPr="00D17E3C" w:rsidRDefault="00BA7F35" w:rsidP="00D17E3C">
      <w:pPr>
        <w:pStyle w:val="ds-markdown-paragraph"/>
        <w:jc w:val="both"/>
      </w:pPr>
      <w:r w:rsidRPr="00D17E3C">
        <w:t>La Ley 167, de 2023, desarrolla el artículo 61 de la Constitución, que reconoce el derecho de toda persona a "dirigir quejas y peticiones a las autoridades, funcionarios y empleados públicos, y a recibir la atención y respuesta correspondientes en un plazo razonable, de conformidad con la ley". Esta ley establece el procedimiento administrativo para la atención de quejas y peticiones, y resulta de particular relevancia para el amparo por dos razones fundamentales.</w:t>
      </w:r>
    </w:p>
    <w:p w14:paraId="7F57A604" w14:textId="77777777" w:rsidR="00BA7F35" w:rsidRPr="00D17E3C" w:rsidRDefault="00BA7F35" w:rsidP="00D17E3C">
      <w:pPr>
        <w:pStyle w:val="ds-markdown-paragraph"/>
        <w:jc w:val="both"/>
      </w:pPr>
      <w:r w:rsidRPr="00D17E3C">
        <w:t>En primer lugar, porque el agotamiento de la vía administrativa puede constituir, en determinados casos, un presupuesto para acudir al amparo. Aunque la Ley 153 no exige el agotamiento previo de la vía administrativa como requisito de admisibilidad —a diferencia de otros ordenamientos—, la existencia de una respuesta administrativa puede ser relevante para determinar si existe o no otra vía de defensa y para valorar la trascendencia del caso. La jurisprudencia del Tribunal Supremo ha comenzado a considerar estos elementos en sus decisiones sobre admisibilidad.</w:t>
      </w:r>
    </w:p>
    <w:p w14:paraId="6088F3A4" w14:textId="77777777" w:rsidR="00BA7F35" w:rsidRPr="00D17E3C" w:rsidRDefault="00BA7F35" w:rsidP="00D17E3C">
      <w:pPr>
        <w:pStyle w:val="ds-markdown-paragraph"/>
        <w:jc w:val="both"/>
      </w:pPr>
      <w:r w:rsidRPr="00D17E3C">
        <w:t>En segundo lugar, porque la propia actuación de la administración en la atención de quejas y peticiones puede ser objeto de amparo si vulnera derechos constitucionales. La Ley 167 establece los plazos y procedimientos para dar respuesta a los ciudadanos, y su incumplimiento puede constituir una vulneración del derecho de petición susceptible de ser protegida mediante amparo. Esta interconexión entre la vía administrativa y la constitucional refuerza la unidad del sistema de garantías.</w:t>
      </w:r>
    </w:p>
    <w:p w14:paraId="00F7D517" w14:textId="77777777" w:rsidR="00BA7F35" w:rsidRPr="00D17E3C" w:rsidRDefault="00BA7F35" w:rsidP="00D17E3C">
      <w:pPr>
        <w:pStyle w:val="ds-markdown-paragraph"/>
        <w:jc w:val="both"/>
      </w:pPr>
      <w:r w:rsidRPr="00D17E3C">
        <w:rPr>
          <w:rStyle w:val="Textoennegrita"/>
        </w:rPr>
        <w:t>La articulación del sistema</w:t>
      </w:r>
    </w:p>
    <w:p w14:paraId="3EB68628" w14:textId="77777777" w:rsidR="00BA7F35" w:rsidRPr="00D17E3C" w:rsidRDefault="00BA7F35" w:rsidP="00D17E3C">
      <w:pPr>
        <w:pStyle w:val="ds-markdown-paragraph"/>
        <w:jc w:val="both"/>
      </w:pPr>
      <w:r w:rsidRPr="00D17E3C">
        <w:t>El sistema de garantías diseñado por la Constitución de 2019 articula distintas vías de protección que operan de manera coordinada. El proceso de amparo ocupa un lugar central, pero no exclusivo, en la tutela de los derechos fundamentales. Junto a él existen otras vías que pueden ser igualmente efectivas y que, en muchos casos, deben ser agotadas antes de acudir al amparo o pueden ser alternativas preferentes.</w:t>
      </w:r>
    </w:p>
    <w:p w14:paraId="7B458C36" w14:textId="77777777" w:rsidR="00BA7F35" w:rsidRPr="00D17E3C" w:rsidRDefault="00BA7F35" w:rsidP="00D17E3C">
      <w:pPr>
        <w:pStyle w:val="ds-markdown-paragraph"/>
        <w:jc w:val="both"/>
      </w:pPr>
      <w:r w:rsidRPr="00D17E3C">
        <w:t xml:space="preserve">La relación entre estas distintas vías no es siempre sencilla. Como ha advertido el profesor </w:t>
      </w:r>
      <w:proofErr w:type="spellStart"/>
      <w:r w:rsidRPr="00D17E3C">
        <w:t>Villabella</w:t>
      </w:r>
      <w:proofErr w:type="spellEnd"/>
      <w:r w:rsidRPr="00D17E3C">
        <w:t xml:space="preserve"> Armengol, "existen tensiones y posibles solapamientos entre las distintas jurisdicciones y procedimientos, que requieren una interpretación sistemática y coherente para evitar lagunas o duplicidades". Estas tensiones se manifiestan especialmente en la relación entre el proceso administrativo y el amparo, como hemos analizado al estudiar el artículo 5.2 de la Ley 153 y la jurisprudencia del Tribunal Supremo.</w:t>
      </w:r>
    </w:p>
    <w:p w14:paraId="3620FD90" w14:textId="77777777" w:rsidR="00BA7F35" w:rsidRPr="00D17E3C" w:rsidRDefault="00BA7F35" w:rsidP="00D17E3C">
      <w:pPr>
        <w:pStyle w:val="ds-markdown-paragraph"/>
        <w:jc w:val="both"/>
      </w:pPr>
      <w:r w:rsidRPr="00D17E3C">
        <w:lastRenderedPageBreak/>
        <w:t>La Sentencia No. 12-2024-1800-3430 del Tribunal Supremo Popular ha contribuido a clarificar esta relación al afirmar que "cuando existe una vía de defensa propia en otro orden jurisdiccional, el amparo solo procede si concurre trascendencia jurídico-social". Este criterio, que establece una regla clara de subsidiariedad, debe ser aplicado por todos los tribunales para asegurar la coherencia del sistema y evitar que el amparo se convierta en una vía paralela que desnaturalice los procesos ordinarios.</w:t>
      </w:r>
    </w:p>
    <w:p w14:paraId="2AAC403A" w14:textId="77777777" w:rsidR="00BA7F35" w:rsidRPr="00D17E3C" w:rsidRDefault="00BA7F35" w:rsidP="00D17E3C">
      <w:pPr>
        <w:pStyle w:val="ds-markdown-paragraph"/>
        <w:jc w:val="both"/>
      </w:pPr>
      <w:r w:rsidRPr="00D17E3C">
        <w:t>La doctrina ha señalado también la necesidad de desarrollar otras garantías aún pendientes, como el control de constitucionalidad de las leyes, actualmente reservado a la Asamblea Nacional del Poder Popular mediante procedimientos políticos. La ausencia de un control judicial concentrado de la constitucionalidad limita la capacidad del sistema para expulsar del ordenamiento las normas contrarias a la Constitución, y traslada al amparo una presión que excede su naturaleza de proceso para la tutela de derechos subjetivos. Como advierte la profesora Martha Prieto Valdés, "el completamiento del sistema de garantías requiere avanzar hacia un control de constitucionalidad efectivo, que permita a los tribunales ejercer un control pleno sobre la legislación".</w:t>
      </w:r>
    </w:p>
    <w:p w14:paraId="2D28AC6A" w14:textId="77777777" w:rsidR="00BA7F35" w:rsidRPr="00D17E3C" w:rsidRDefault="00BA7F35" w:rsidP="00D17E3C">
      <w:pPr>
        <w:pStyle w:val="ds-markdown-paragraph"/>
        <w:jc w:val="both"/>
      </w:pPr>
      <w:r w:rsidRPr="00D17E3C">
        <w:t>La profesora Prieto Valdés, al valorar el sistema en su conjunto, concluye que "la Constitución de 2019 ha sentado las bases para un sistema de garantías robusto y articulado. Su desarrollo legislativo, aunque todavía incompleto en algunos aspectos, ha proporcionado los instrumentos necesarios para que los derechos constitucionales puedan ser efectivamente tutelados. Corresponde ahora a los operadores jurídicos —jueces, fiscales, abogados— hacer realidad este diseño normativo, aplicando las leyes con audacia y creatividad, y contribuyendo a la construcción de una cultura de protección de los derechos fundamentales".</w:t>
      </w:r>
    </w:p>
    <w:p w14:paraId="0C6B32F5" w14:textId="77777777" w:rsidR="00BA7F35" w:rsidRPr="00D17E3C" w:rsidRDefault="00BA7F35" w:rsidP="00D17E3C">
      <w:pPr>
        <w:pStyle w:val="ds-markdown-paragraph"/>
        <w:jc w:val="both"/>
      </w:pPr>
      <w:r w:rsidRPr="00D17E3C">
        <w:t>El sistema de garantías no es, por tanto, un conjunto estático de normas, sino una realidad dinámica que se construye día a día en la práctica forense. Su eficacia última dependerá de la capacidad de todos los actores involucrados para comprender sus interconexiones, aprovechar sus potencialidades y superar sus limitaciones. El proceso de amparo, como pieza central de este sistema, tiene ante sí el desafío de demostrar que puede ser un instrumento efectivo de protección de derechos, contribuyendo así a la consolidación del Estado de Derecho en Cuba.</w:t>
      </w:r>
    </w:p>
    <w:p w14:paraId="1580D38D" w14:textId="77777777" w:rsidR="00F75402" w:rsidRPr="00D17E3C" w:rsidRDefault="00F75402" w:rsidP="00D17E3C">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D17E3C">
        <w:rPr>
          <w:rFonts w:ascii="Times New Roman" w:eastAsia="Times New Roman" w:hAnsi="Times New Roman" w:cs="Times New Roman"/>
          <w:b/>
          <w:bCs/>
          <w:sz w:val="27"/>
          <w:szCs w:val="27"/>
          <w:lang w:eastAsia="es-ES"/>
        </w:rPr>
        <w:t>4. El proceso de amparo para la defensa de los derechos constitucionales: jurisdicción y competencia</w:t>
      </w:r>
    </w:p>
    <w:p w14:paraId="0A4085E4"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Ley 153/2022 establece un diseño preciso de la jurisdicción y competencia en materia de amparo constitucional. Su correcta comprensión es esencial para la práctica forense.</w:t>
      </w:r>
    </w:p>
    <w:p w14:paraId="685D421C"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4.1. La jurisdicción: el artículo 5.2 y el dilema de la subsidiariedad</w:t>
      </w:r>
    </w:p>
    <w:p w14:paraId="4CD78BFB" w14:textId="77777777" w:rsidR="00C61CA3" w:rsidRPr="00D17E3C" w:rsidRDefault="00C61CA3" w:rsidP="00D17E3C">
      <w:pPr>
        <w:pStyle w:val="Ttulo2"/>
        <w:jc w:val="both"/>
      </w:pPr>
      <w:r w:rsidRPr="00D17E3C">
        <w:t>4.1. La jurisdicción: el artículo 5.2 y el dilema de la subsidiariedad</w:t>
      </w:r>
    </w:p>
    <w:p w14:paraId="0421FF2B" w14:textId="77777777" w:rsidR="00C61CA3" w:rsidRPr="00D17E3C" w:rsidRDefault="00C61CA3" w:rsidP="00D17E3C">
      <w:pPr>
        <w:pStyle w:val="ds-markdown-paragraph"/>
        <w:jc w:val="both"/>
      </w:pPr>
      <w:r w:rsidRPr="00D17E3C">
        <w:t xml:space="preserve">El artículo 5.2 de la Ley 153 es, probablemente, el precepto más complejo y relevante de toda la ley. Su redacción, que ha sido objeto de múltiples análisis y debates en la doctrina cubana, establece un modelo de amparo que busca equilibrar la necesidad de proteger los derechos fundamentales </w:t>
      </w:r>
      <w:r w:rsidRPr="00D17E3C">
        <w:lastRenderedPageBreak/>
        <w:t>con la preservación de los procesos ordinarios como cauces naturales para la solución de conflictos jurídicos. El precepto dispone textualmente:</w:t>
      </w:r>
    </w:p>
    <w:p w14:paraId="2746C613" w14:textId="77777777" w:rsidR="00C61CA3" w:rsidRPr="00D17E3C" w:rsidRDefault="00C61CA3" w:rsidP="00D17E3C">
      <w:pPr>
        <w:pStyle w:val="ds-markdown-paragraph"/>
        <w:jc w:val="both"/>
      </w:pPr>
      <w:r w:rsidRPr="00D17E3C">
        <w:t xml:space="preserve">"Corresponde a los tribunales de esta jurisdicción conocer de las demandas que se establezcan por la vulneración de los derechos consagrados en la Constitución de la República, </w:t>
      </w:r>
      <w:r w:rsidRPr="00D17E3C">
        <w:rPr>
          <w:rStyle w:val="Textoennegrita"/>
        </w:rPr>
        <w:t>que no tengan una vía de defensa propia en procesos judiciales de otra materia; salvo cuando, por la trascendencia jurídico-social de la vulneración alegada, se requiera de una actuación urgente y preferente</w:t>
      </w:r>
      <w:r w:rsidRPr="00D17E3C">
        <w:t>."</w:t>
      </w:r>
    </w:p>
    <w:p w14:paraId="61299C3E" w14:textId="77777777" w:rsidR="00C61CA3" w:rsidRPr="00D17E3C" w:rsidRDefault="00C61CA3" w:rsidP="00D17E3C">
      <w:pPr>
        <w:pStyle w:val="ds-markdown-paragraph"/>
        <w:jc w:val="both"/>
      </w:pPr>
      <w:r w:rsidRPr="00D17E3C">
        <w:t xml:space="preserve">La estructura de este precepto revela una opción legislativa clara: el amparo se configura como un proceso </w:t>
      </w:r>
      <w:r w:rsidRPr="00D17E3C">
        <w:rPr>
          <w:rStyle w:val="Textoennegrita"/>
        </w:rPr>
        <w:t>subsidiario</w:t>
      </w:r>
      <w:r w:rsidRPr="00D17E3C">
        <w:t>, es decir, como un remedio al que solo cabe acudir cuando no existen otros mecanismos judiciales para la defensa del derecho. Esta opción, común en el derecho comparado —presente, por ejemplo, en el artículo 53.2 de la Constitución Española y en el desarrollo del recurso de amparo ante el Tribunal Constitucional—, responde a la necesidad de evitar que el amparo se convierta en una vía paralela que desnaturalice los procesos ordinarios y termine por absorber conflictos que tienen su cauce natural en otras jurisdicciones.</w:t>
      </w:r>
    </w:p>
    <w:p w14:paraId="145BF275" w14:textId="77777777" w:rsidR="00C61CA3" w:rsidRPr="00D17E3C" w:rsidRDefault="00C61CA3" w:rsidP="00D17E3C">
      <w:pPr>
        <w:pStyle w:val="ds-markdown-paragraph"/>
        <w:jc w:val="both"/>
      </w:pPr>
      <w:r w:rsidRPr="00D17E3C">
        <w:t>La profesora Martha Prieto Valdés, al analizar este precepto, ha señalado que "el legislador cubano ha optado por un modelo de amparo subsidiario que busca preservar la naturaleza excepcional del proceso constitucional. El amparo no puede convertirse en una suerte de '</w:t>
      </w:r>
      <w:proofErr w:type="spellStart"/>
      <w:r w:rsidRPr="00D17E3C">
        <w:t>superproceso</w:t>
      </w:r>
      <w:proofErr w:type="spellEnd"/>
      <w:r w:rsidRPr="00D17E3C">
        <w:t>' al que quepa acudir ante cualquier vulneración, con independencia de la existencia de otros cauces. Su función es complementaria y residual: actúa cuando los demás mecanismos han resultado insuficientes o inidóneos para proteger el derecho".</w:t>
      </w:r>
    </w:p>
    <w:p w14:paraId="2671369E" w14:textId="77777777" w:rsidR="00C61CA3" w:rsidRPr="00D17E3C" w:rsidRDefault="00C61CA3" w:rsidP="00D17E3C">
      <w:pPr>
        <w:pStyle w:val="ds-markdown-paragraph"/>
        <w:jc w:val="both"/>
      </w:pPr>
      <w:r w:rsidRPr="00D17E3C">
        <w:t xml:space="preserve">Esta opción legislativa tiene una justificación profunda. Como ha explicado el profesor </w:t>
      </w:r>
      <w:proofErr w:type="spellStart"/>
      <w:r w:rsidRPr="00D17E3C">
        <w:t>Villabella</w:t>
      </w:r>
      <w:proofErr w:type="spellEnd"/>
      <w:r w:rsidRPr="00D17E3C">
        <w:t xml:space="preserve"> Armengol, "la existencia de múltiples vías para la tutela de un mismo derecho puede generar inseguridad jurídica, duplicidad de procesos y el riesgo de decisiones contradictorias. Por ello, el legislador debe establecer reglas claras de articulación entre las distintas jurisdicciones, determinando cuál es la vía preferente y en qué supuestos cabe acudir a la vía subsidiaria". El artículo 5.2 cumple precisamente esa función: establece una regla general (la subsidiariedad) y una excepción (la trascendencia) que permite flexibilizar el sistema en aquellos casos que, por su especial relevancia, requieren una tutela constitucional inmediata.</w:t>
      </w:r>
    </w:p>
    <w:p w14:paraId="60490325" w14:textId="77777777" w:rsidR="00C61CA3" w:rsidRPr="00D17E3C" w:rsidRDefault="00C61CA3" w:rsidP="00D17E3C">
      <w:pPr>
        <w:pStyle w:val="ds-markdown-paragraph"/>
        <w:jc w:val="both"/>
      </w:pPr>
      <w:r w:rsidRPr="00D17E3C">
        <w:rPr>
          <w:rStyle w:val="Textoennegrita"/>
        </w:rPr>
        <w:t>La regla general: subsidiariedad</w:t>
      </w:r>
    </w:p>
    <w:p w14:paraId="6C0A81AC" w14:textId="77777777" w:rsidR="00C61CA3" w:rsidRPr="00D17E3C" w:rsidRDefault="00C61CA3" w:rsidP="00D17E3C">
      <w:pPr>
        <w:pStyle w:val="ds-markdown-paragraph"/>
        <w:jc w:val="both"/>
      </w:pPr>
      <w:r w:rsidRPr="00D17E3C">
        <w:t>La regla general es clara: si existe otra vía judicial (civil, administrativa, laboral, penal) para la defensa del derecho, el amparo no procede. El justiciable debe acudir a esa vía. Esta regla se fundamenta en varias razones:</w:t>
      </w:r>
    </w:p>
    <w:p w14:paraId="6A1D9E84" w14:textId="77777777" w:rsidR="00C61CA3" w:rsidRPr="00D17E3C" w:rsidRDefault="00C61CA3" w:rsidP="00D17E3C">
      <w:pPr>
        <w:pStyle w:val="ds-markdown-paragraph"/>
        <w:jc w:val="both"/>
      </w:pPr>
      <w:r w:rsidRPr="00D17E3C">
        <w:t>En primer lugar, respeta la competencia natural de las distintas jurisdicciones. Los jueces civiles, laborales, administrativos o penales son los llamados, en primera instancia, a conocer de los conflictos que se suscitan en sus respectivos ámbitos. Cuentan con la especialización y los procedimientos adecuados para ello. El amparo no debe suplantarles, sino complementarles.</w:t>
      </w:r>
    </w:p>
    <w:p w14:paraId="0D5711B0" w14:textId="77777777" w:rsidR="00C61CA3" w:rsidRPr="00D17E3C" w:rsidRDefault="00C61CA3" w:rsidP="00D17E3C">
      <w:pPr>
        <w:pStyle w:val="ds-markdown-paragraph"/>
        <w:jc w:val="both"/>
      </w:pPr>
      <w:r w:rsidRPr="00D17E3C">
        <w:t xml:space="preserve">En segundo lugar, evita la duplicidad de procesos y el riesgo de decisiones contradictorias. Si un mismo conflicto pudiera ser conocido simultáneamente por dos jurisdicciones distintas, se </w:t>
      </w:r>
      <w:r w:rsidRPr="00D17E3C">
        <w:lastRenderedPageBreak/>
        <w:t>generarían problemas de litispendencia, cosa juzgada y seguridad jurídica que afectarían gravemente la confianza de los ciudadanos en el sistema de justicia.</w:t>
      </w:r>
    </w:p>
    <w:p w14:paraId="604E3758" w14:textId="77777777" w:rsidR="00C61CA3" w:rsidRPr="00D17E3C" w:rsidRDefault="00C61CA3" w:rsidP="00D17E3C">
      <w:pPr>
        <w:pStyle w:val="ds-markdown-paragraph"/>
        <w:jc w:val="both"/>
      </w:pPr>
      <w:r w:rsidRPr="00D17E3C">
        <w:t>En tercer lugar, preserva la naturaleza excepcional del amparo como proceso constitucional. El amparo está diseñado para la tutela urgente y preferente de derechos fundamentales, no para resolver cualquier conflicto jurídico. Si se generalizara su uso, perdería su carácter preferente y se diluiría su especificidad.</w:t>
      </w:r>
    </w:p>
    <w:p w14:paraId="33AE23D4" w14:textId="77777777" w:rsidR="00C61CA3" w:rsidRPr="00D17E3C" w:rsidRDefault="00C61CA3" w:rsidP="00D17E3C">
      <w:pPr>
        <w:pStyle w:val="ds-markdown-paragraph"/>
        <w:jc w:val="both"/>
      </w:pPr>
      <w:r w:rsidRPr="00D17E3C">
        <w:t>La profesora Amanda Laura Prieto Valdés, en su estudio sobre el proceso de amparo, ha insistido en esta idea: "El amparo no es una vía más, sino una vía especial. Su carácter preferente, expedito y concentrado solo se justifica si se reserva para aquellos casos que realmente requieren una tutela urgente. Si se utilizara para cualquier conflicto, los plazos se dilatarían y perdería su razón de ser".</w:t>
      </w:r>
    </w:p>
    <w:p w14:paraId="3AA15555" w14:textId="77777777" w:rsidR="00C61CA3" w:rsidRPr="00D17E3C" w:rsidRDefault="00C61CA3" w:rsidP="00D17E3C">
      <w:pPr>
        <w:pStyle w:val="ds-markdown-paragraph"/>
        <w:jc w:val="both"/>
      </w:pPr>
      <w:r w:rsidRPr="00D17E3C">
        <w:rPr>
          <w:rStyle w:val="Textoennegrita"/>
        </w:rPr>
        <w:t>La excepción: trascendencia jurídico-social</w:t>
      </w:r>
    </w:p>
    <w:p w14:paraId="5A536522" w14:textId="77777777" w:rsidR="00C61CA3" w:rsidRPr="00D17E3C" w:rsidRDefault="00C61CA3" w:rsidP="00D17E3C">
      <w:pPr>
        <w:pStyle w:val="ds-markdown-paragraph"/>
        <w:jc w:val="both"/>
      </w:pPr>
      <w:r w:rsidRPr="00D17E3C">
        <w:t xml:space="preserve">La excepción a la regla general es la existencia de una </w:t>
      </w:r>
      <w:r w:rsidRPr="00D17E3C">
        <w:rPr>
          <w:rStyle w:val="Textoennegrita"/>
        </w:rPr>
        <w:t>"trascendencia jurídico-social"</w:t>
      </w:r>
      <w:r w:rsidRPr="00D17E3C">
        <w:t xml:space="preserve"> que, unida a la necesidad de una actuación urgente y preferente, justifique la admisión del amparo a pesar de existir otra vía. Es en la interpretación de esta excepción donde se concentra la principal polémica en la aplicación de la ley.</w:t>
      </w:r>
    </w:p>
    <w:p w14:paraId="4C5BBF97" w14:textId="77777777" w:rsidR="00C61CA3" w:rsidRPr="00D17E3C" w:rsidRDefault="00C61CA3" w:rsidP="00D17E3C">
      <w:pPr>
        <w:pStyle w:val="ds-markdown-paragraph"/>
        <w:jc w:val="both"/>
      </w:pPr>
      <w:r w:rsidRPr="00D17E3C">
        <w:t xml:space="preserve">¿Qué debe entenderse por "trascendencia jurídico-social"? La ley no ofrece una definición cerrada, sino que remite a una serie de criterios orientadores en el apartado 3 del mismo artículo: "A los efectos del apartado anterior, el tribunal valora la significación jurídico-social de la vulneración alegada, la posible </w:t>
      </w:r>
      <w:proofErr w:type="spellStart"/>
      <w:r w:rsidRPr="00D17E3C">
        <w:t>irreparabilidad</w:t>
      </w:r>
      <w:proofErr w:type="spellEnd"/>
      <w:r w:rsidRPr="00D17E3C">
        <w:t xml:space="preserve"> de la violación y del daño o perjuicio causado, de dilatarse la protección del derecho constitucional, la situación de vulnerabilidad de la persona agraviada, entre otras circunstancias de naturaleza similar".</w:t>
      </w:r>
    </w:p>
    <w:p w14:paraId="76D1CF75" w14:textId="77777777" w:rsidR="00C61CA3" w:rsidRPr="00D17E3C" w:rsidRDefault="00C61CA3" w:rsidP="00D17E3C">
      <w:pPr>
        <w:pStyle w:val="ds-markdown-paragraph"/>
        <w:jc w:val="both"/>
      </w:pPr>
      <w:r w:rsidRPr="00D17E3C">
        <w:t xml:space="preserve">Estamos, pues, ante un </w:t>
      </w:r>
      <w:r w:rsidRPr="00D17E3C">
        <w:rPr>
          <w:rStyle w:val="Textoennegrita"/>
        </w:rPr>
        <w:t>concepto jurídico indeterminado</w:t>
      </w:r>
      <w:r w:rsidRPr="00D17E3C">
        <w:t>, cuya concreción en cada caso dependerá de la argumentación de las partes y de la ponderación judicial. Esta técnica legislativa, común en el derecho procesal constitucional comparado, otorga flexibilidad al sistema para adaptarse a las circunstancias cambiantes, pero también genera inseguridad y traslada a los jueces una enorme responsabilidad interpretativa.</w:t>
      </w:r>
    </w:p>
    <w:p w14:paraId="6A109FE8" w14:textId="77777777" w:rsidR="00C61CA3" w:rsidRPr="00D17E3C" w:rsidRDefault="00C61CA3" w:rsidP="00D17E3C">
      <w:pPr>
        <w:pStyle w:val="ds-markdown-paragraph"/>
        <w:jc w:val="both"/>
      </w:pPr>
      <w:r w:rsidRPr="00D17E3C">
        <w:t>El profesor Juan Mendoza Díaz, al analizar esta cuestión, ha señalado que "los conceptos jurídicos indeterminados no son patentes de corso para la arbitrariedad judicial, sino que exigen una motivación reforzada. El juez que aprecie la concurrencia de trascendencia debe explicar, en su resolución, qué elementos del caso concreto le llevan a concluir que la vulneración alegada supera el umbral de lo meramente ordinario y requiere una tutela constitucional preferente".</w:t>
      </w:r>
    </w:p>
    <w:p w14:paraId="1AD37069" w14:textId="77777777" w:rsidR="00C61CA3" w:rsidRPr="00D17E3C" w:rsidRDefault="00C61CA3" w:rsidP="00D17E3C">
      <w:pPr>
        <w:pStyle w:val="ds-markdown-paragraph"/>
        <w:jc w:val="both"/>
      </w:pPr>
      <w:r w:rsidRPr="00D17E3C">
        <w:t xml:space="preserve">La jurisprudencia del Tribunal Supremo ha comenzado a ofrecer criterios interpretativos sobre este concepto. La </w:t>
      </w:r>
      <w:r w:rsidRPr="00D17E3C">
        <w:rPr>
          <w:rStyle w:val="Textoennegrita"/>
        </w:rPr>
        <w:t>Sentencia No. 12-2024-1800-3430</w:t>
      </w:r>
      <w:r w:rsidRPr="00D17E3C">
        <w:t xml:space="preserve">, de 22 de octubre de 2024, constituye el pronunciamiento de más alto nivel sobre la materia. En ella, el Tribunal Supremo afirma que "aun cuando se trata de un concepto indeterminado, este tiene que tener su expresión en cada caso, coherente con las particularidades específicas del proceso de amparo constitucional, que debe ser preferente, expedito y concentrado". Esta afirmación, aunque no desarrolla exhaustivamente el concepto, establece una pauta metodológica importante: la trascendencia no puede apreciarse en </w:t>
      </w:r>
      <w:r w:rsidRPr="00D17E3C">
        <w:lastRenderedPageBreak/>
        <w:t>abstracto, sino que debe anclarse en las circunstancias concretas del caso y en las exigencias propias del proceso de amparo.</w:t>
      </w:r>
    </w:p>
    <w:p w14:paraId="3C8C198D" w14:textId="77777777" w:rsidR="00C61CA3" w:rsidRPr="00D17E3C" w:rsidRDefault="00C61CA3" w:rsidP="00D17E3C">
      <w:pPr>
        <w:pStyle w:val="ds-markdown-paragraph"/>
        <w:jc w:val="both"/>
      </w:pPr>
      <w:r w:rsidRPr="00D17E3C">
        <w:t>La doctrina ha identificado varios criterios que pueden servir para determinar la concurrencia de trascendencia:</w:t>
      </w:r>
    </w:p>
    <w:p w14:paraId="65BD12E8" w14:textId="77777777" w:rsidR="00C61CA3" w:rsidRPr="00D17E3C" w:rsidRDefault="00C61CA3" w:rsidP="00D17E3C">
      <w:pPr>
        <w:pStyle w:val="ds-markdown-paragraph"/>
        <w:numPr>
          <w:ilvl w:val="0"/>
          <w:numId w:val="14"/>
        </w:numPr>
        <w:jc w:val="both"/>
      </w:pPr>
      <w:r w:rsidRPr="00D17E3C">
        <w:rPr>
          <w:rStyle w:val="Textoennegrita"/>
        </w:rPr>
        <w:t>Afectación al contenido esencial del derecho</w:t>
      </w:r>
      <w:r w:rsidRPr="00D17E3C">
        <w:t xml:space="preserve">: La vulneración no es meramente incidental o periférica, sino que afecta al núcleo duro del derecho constitucional, vaciándolo de contenido o impidiendo su ejercicio en términos razonables. Como ha señalado la profesora </w:t>
      </w:r>
      <w:proofErr w:type="spellStart"/>
      <w:r w:rsidRPr="00D17E3C">
        <w:t>Goite</w:t>
      </w:r>
      <w:proofErr w:type="spellEnd"/>
      <w:r w:rsidRPr="00D17E3C">
        <w:t xml:space="preserve"> Pierre, "el contenido esencial de un derecho es aquello que lo hace recognoscible como tal, lo que no puede ser suprimido sin que el derecho deje de ser lo que es. Cuando la vulneración afecta a ese núcleo, la trascendencia se presume".</w:t>
      </w:r>
    </w:p>
    <w:p w14:paraId="218B4292" w14:textId="77777777" w:rsidR="00C61CA3" w:rsidRPr="00D17E3C" w:rsidRDefault="00C61CA3" w:rsidP="00D17E3C">
      <w:pPr>
        <w:pStyle w:val="ds-markdown-paragraph"/>
        <w:numPr>
          <w:ilvl w:val="0"/>
          <w:numId w:val="14"/>
        </w:numPr>
        <w:jc w:val="both"/>
      </w:pPr>
      <w:r w:rsidRPr="00D17E3C">
        <w:rPr>
          <w:rStyle w:val="Textoennegrita"/>
        </w:rPr>
        <w:t>Situación de vulnerabilidad del afectado</w:t>
      </w:r>
      <w:r w:rsidRPr="00D17E3C">
        <w:t>: El demandante pertenece a un grupo especialmente protegido por el ordenamiento (personas mayores, con discapacidad, en situación de pobreza, víctimas de violencia, etc.), y la vulneración agrava esa situación. El artículo 5.3 menciona expresamente este criterio, lo que indica la voluntad del legislador de otorgar una protección reforzada a quienes se encuentran en posiciones de especial debilidad.</w:t>
      </w:r>
    </w:p>
    <w:p w14:paraId="7685B147" w14:textId="77777777" w:rsidR="00C61CA3" w:rsidRPr="00D17E3C" w:rsidRDefault="00C61CA3" w:rsidP="00D17E3C">
      <w:pPr>
        <w:pStyle w:val="ds-markdown-paragraph"/>
        <w:numPr>
          <w:ilvl w:val="0"/>
          <w:numId w:val="14"/>
        </w:numPr>
        <w:jc w:val="both"/>
      </w:pPr>
      <w:proofErr w:type="spellStart"/>
      <w:r w:rsidRPr="00D17E3C">
        <w:rPr>
          <w:rStyle w:val="Textoennegrita"/>
        </w:rPr>
        <w:t>Irreparabilidad</w:t>
      </w:r>
      <w:proofErr w:type="spellEnd"/>
      <w:r w:rsidRPr="00D17E3C">
        <w:rPr>
          <w:rStyle w:val="Textoennegrita"/>
        </w:rPr>
        <w:t xml:space="preserve"> del daño</w:t>
      </w:r>
      <w:r w:rsidRPr="00D17E3C">
        <w:t>: La espera a la resolución por la vía ordinaria podría provocar un daño irreversible o de muy difícil reparación. Este criterio conecta directamente con la naturaleza cautelar y urgente del amparo: si el proceso ordinario no puede evitar un daño que, una vez producido, ya no podrá ser reparado, entonces se justifica acudir a la vía constitucional.</w:t>
      </w:r>
    </w:p>
    <w:p w14:paraId="01EEF39F" w14:textId="77777777" w:rsidR="00C61CA3" w:rsidRPr="00D17E3C" w:rsidRDefault="00C61CA3" w:rsidP="00D17E3C">
      <w:pPr>
        <w:pStyle w:val="ds-markdown-paragraph"/>
        <w:numPr>
          <w:ilvl w:val="0"/>
          <w:numId w:val="14"/>
        </w:numPr>
        <w:jc w:val="both"/>
      </w:pPr>
      <w:r w:rsidRPr="00D17E3C">
        <w:rPr>
          <w:rStyle w:val="Textoennegrita"/>
        </w:rPr>
        <w:t>Significación social del caso</w:t>
      </w:r>
      <w:r w:rsidRPr="00D17E3C">
        <w:t>: El conflicto trasciende el interés particular del demandante y afecta a un interés colectivo o social relevante. Esta dimensión objetiva del amparo, presente en otros ordenamientos, permite utilizar el proceso constitucional como instrumento para la defensa de intereses difusos o colectivos, o para sentar jurisprudencia sobre cuestiones de especial relevancia.</w:t>
      </w:r>
    </w:p>
    <w:p w14:paraId="4704D3EF" w14:textId="77777777" w:rsidR="00C61CA3" w:rsidRPr="00D17E3C" w:rsidRDefault="00C61CA3" w:rsidP="00D17E3C">
      <w:pPr>
        <w:pStyle w:val="ds-markdown-paragraph"/>
        <w:jc w:val="both"/>
      </w:pPr>
      <w:r w:rsidRPr="00D17E3C">
        <w:t xml:space="preserve">El profesor </w:t>
      </w:r>
      <w:proofErr w:type="spellStart"/>
      <w:r w:rsidRPr="00D17E3C">
        <w:t>Villabella</w:t>
      </w:r>
      <w:proofErr w:type="spellEnd"/>
      <w:r w:rsidRPr="00D17E3C">
        <w:t xml:space="preserve"> Armengol ha advertido, no obstante, sobre los riesgos de una interpretación excesivamente restrictiva de estos criterios: "Si los tribunales aplican un test demasiado exigente para apreciar la trascendencia, el amparo puede quedar vacío de contenido, pues solo unos pocos casos lograrán superar el filtro. Es necesario encontrar un equilibrio que permita filtrar los casos realmente irrelevantes sin cerrar la puerta a aquellos que, por su gravedad o por las circunstancias de los afectados, merecen una tutela constitucional preferente".</w:t>
      </w:r>
    </w:p>
    <w:p w14:paraId="1F434202" w14:textId="77777777" w:rsidR="00C61CA3" w:rsidRPr="00D17E3C" w:rsidRDefault="00C61CA3" w:rsidP="00D17E3C">
      <w:pPr>
        <w:pStyle w:val="ds-markdown-paragraph"/>
        <w:jc w:val="both"/>
      </w:pPr>
      <w:r w:rsidRPr="00D17E3C">
        <w:rPr>
          <w:rStyle w:val="Textoennegrita"/>
        </w:rPr>
        <w:t>La polémica en la aplicación práctica</w:t>
      </w:r>
    </w:p>
    <w:p w14:paraId="72480A76" w14:textId="77777777" w:rsidR="00C61CA3" w:rsidRPr="00D17E3C" w:rsidRDefault="00C61CA3" w:rsidP="00D17E3C">
      <w:pPr>
        <w:pStyle w:val="ds-markdown-paragraph"/>
        <w:jc w:val="both"/>
      </w:pPr>
      <w:r w:rsidRPr="00D17E3C">
        <w:t>La aplicación del artículo 5.2 ha generado ya una intensa polémica en la práctica forense, reflejada en los primeros autos dictados por las Salas de Amparo. El análisis de estos autos permite identificar las principales líneas interpretativas que están siguiendo los tribunales.</w:t>
      </w:r>
    </w:p>
    <w:p w14:paraId="50C63280" w14:textId="77777777" w:rsidR="00C61CA3" w:rsidRPr="00D17E3C" w:rsidRDefault="00C61CA3" w:rsidP="00D17E3C">
      <w:pPr>
        <w:pStyle w:val="ds-markdown-paragraph"/>
        <w:jc w:val="both"/>
      </w:pPr>
      <w:r w:rsidRPr="00D17E3C">
        <w:t xml:space="preserve">El </w:t>
      </w:r>
      <w:r w:rsidRPr="00D17E3C">
        <w:rPr>
          <w:rStyle w:val="Textoennegrita"/>
        </w:rPr>
        <w:t>Auto No. 1 de 2023 de la Sala de Amparo de Matanzas</w:t>
      </w:r>
      <w:r w:rsidRPr="00D17E3C">
        <w:t xml:space="preserve"> constituye un ejemplo paradigmático de aplicación restrictiva. En este caso, una ciudadana demandaba a la Empresa Eléctrica porque un vecino le había cortado el suministro eléctrico y la empresa se negaba a realizar una nueva acometida. La demandante alegaba vulneración de los derechos a la alimentación, recreación, hogar adecuado y servicios básicos de calidad. El tribunal inadmitió la demanda argumentando que </w:t>
      </w:r>
      <w:r w:rsidRPr="00D17E3C">
        <w:lastRenderedPageBreak/>
        <w:t>el conflicto tenía una vía de defensa propia en el proceso administrativo (Ley 142/2021) y que debían agotarse previamente los trámites administrativos y civiles (como el cese de convivencia) para determinar el estatus jurídico de la demandante en el inmueble.</w:t>
      </w:r>
    </w:p>
    <w:p w14:paraId="5E8C260D" w14:textId="77777777" w:rsidR="00C61CA3" w:rsidRPr="00D17E3C" w:rsidRDefault="00C61CA3" w:rsidP="00D17E3C">
      <w:pPr>
        <w:pStyle w:val="ds-markdown-paragraph"/>
        <w:jc w:val="both"/>
      </w:pPr>
      <w:r w:rsidRPr="00D17E3C">
        <w:t>Este auto, aunque técnicamente correcto desde la perspectiva de la subsidiariedad, plantea interrogantes sobre la efectividad de la tutela. La necesidad de agotar múltiples vías (administrativa, civil) puede dilatar la protección del derecho a servicios básicos, afectando gravemente la calidad de vida de la demandante. ¿Podría haberse argumentado la trascendencia por la situación de vulnerabilidad? El tribunal no lo consideró así, aplicando un criterio estricto de subsidiariedad.</w:t>
      </w:r>
    </w:p>
    <w:p w14:paraId="419C9A7D" w14:textId="77777777" w:rsidR="00C61CA3" w:rsidRPr="00D17E3C" w:rsidRDefault="00C61CA3" w:rsidP="00D17E3C">
      <w:pPr>
        <w:pStyle w:val="ds-markdown-paragraph"/>
        <w:jc w:val="both"/>
      </w:pPr>
      <w:r w:rsidRPr="00D17E3C">
        <w:t xml:space="preserve">La </w:t>
      </w:r>
      <w:r w:rsidRPr="00D17E3C">
        <w:rPr>
          <w:rStyle w:val="Textoennegrita"/>
        </w:rPr>
        <w:t>Sentencia No. 12-2024-1800-3430 del Tribunal Supremo</w:t>
      </w:r>
      <w:r w:rsidRPr="00D17E3C">
        <w:t xml:space="preserve"> ha confirmado esta línea interpretativa restrictiva. En ella, como hemos visto, el Tribunal Supremo desestimó el recurso y confirmó la inadmisión de una demanda de amparo relativa a la ejecución de una resolución administrativa de vivienda que llevaba más de ocho años sin cumplirse. El Tribunal argumentó que el conflicto era, en esencia, un problema de ejecución de una decisión administrativa, para lo que estaba reservado su conocimiento en otro orden jurisdiccional (lo contencioso-administrativo), y que la trascendencia no se concretaba en el caso.</w:t>
      </w:r>
    </w:p>
    <w:p w14:paraId="2FDF781D" w14:textId="7F0E7FBA" w:rsidR="00C61CA3" w:rsidRPr="00D17E3C" w:rsidRDefault="00D17E3C" w:rsidP="00D17E3C">
      <w:pPr>
        <w:pStyle w:val="ds-markdown-paragraph"/>
        <w:jc w:val="both"/>
      </w:pPr>
      <w:r w:rsidRPr="00D17E3C">
        <w:t>La doctrina</w:t>
      </w:r>
      <w:r w:rsidR="00C61CA3" w:rsidRPr="00D17E3C">
        <w:t>, al comentar esta sentencia, ha señalado que "el Tribunal Supremo establece una doctrina clara: el amparo no es un proceso supletorio de la ineficacia de la administración ni de la lentitud de la justicia ordinaria. La subsidiariedad es la regla, y la trascendencia, la excepción, pero una excepción que debe justificarse en la naturaleza misma del derecho vulnerado y en la necesidad de una tutela preferente, expedita y concentrada, características que no suelen darse en los conflictos sobre ejecución de actos administrativos".</w:t>
      </w:r>
    </w:p>
    <w:p w14:paraId="2B0FCE0C" w14:textId="77777777" w:rsidR="00C61CA3" w:rsidRPr="00D17E3C" w:rsidRDefault="00C61CA3" w:rsidP="00D17E3C">
      <w:pPr>
        <w:pStyle w:val="ds-markdown-paragraph"/>
        <w:jc w:val="both"/>
      </w:pPr>
      <w:r w:rsidRPr="00D17E3C">
        <w:t>Sin embargo, esta doctrina también plantea interrogantes. La demora de ocho años en ejecutar una resolución administrativa, unida a la situación de vulnerabilidad de la familia afectada, ¿no configura una vulneración autónoma del derecho a un procedimiento sin dilaciones indebidas (artículo 94) y del derecho a la tutela judicial efectiva (artículo 92)? La respuesta del Tribunal Supremo parece negativa, pero la cuestión queda abierta al debate doctrinal.</w:t>
      </w:r>
    </w:p>
    <w:p w14:paraId="18607036" w14:textId="77777777" w:rsidR="00C61CA3" w:rsidRPr="00D17E3C" w:rsidRDefault="00C61CA3" w:rsidP="00D17E3C">
      <w:pPr>
        <w:pStyle w:val="ds-markdown-paragraph"/>
        <w:jc w:val="both"/>
      </w:pPr>
      <w:r w:rsidRPr="00D17E3C">
        <w:rPr>
          <w:rStyle w:val="Textoennegrita"/>
        </w:rPr>
        <w:t>El desafío para los operadores jurídicos</w:t>
      </w:r>
    </w:p>
    <w:p w14:paraId="46BD96E4" w14:textId="77777777" w:rsidR="00C61CA3" w:rsidRPr="00D17E3C" w:rsidRDefault="00C61CA3" w:rsidP="00D17E3C">
      <w:pPr>
        <w:pStyle w:val="ds-markdown-paragraph"/>
        <w:jc w:val="both"/>
      </w:pPr>
      <w:r w:rsidRPr="00D17E3C">
        <w:t>El modelo de amparo subsidiario adoptado por el legislador cubano traslada a los operadores jurídicos —abogados, jueces, fiscales— el desafío de interpretar correctamente el concepto de "trascendencia jurídico-social". Para los abogados, se trata de desarrollar argumentaciones sólidas que conecten los hechos del caso con los criterios del artículo 5.3, demostrando por qué, a pesar de existir una vía ordinaria, el caso merece la excepción. Para los jueces, se trata de aplicar estos criterios con ponderación, evitando tanto la banalización del amparo como un rigorismo excesivo que cierre la puerta a casos que realmente requieren tutela constitucional.</w:t>
      </w:r>
    </w:p>
    <w:p w14:paraId="72528968" w14:textId="77777777" w:rsidR="00C61CA3" w:rsidRPr="00D17E3C" w:rsidRDefault="00C61CA3" w:rsidP="00D17E3C">
      <w:pPr>
        <w:pStyle w:val="ds-markdown-paragraph"/>
        <w:jc w:val="both"/>
      </w:pPr>
      <w:r w:rsidRPr="00D17E3C">
        <w:t xml:space="preserve">La profesora Martha Prieto Valdés ha sintetizado este desafío en los siguientes términos: "La clave está en entender que la trascendencia no es una cualidad abstracta del derecho vulnerado, sino una cualidad concreta del caso. Un mismo derecho puede ser vulnerado de formas muy diversas: unas meramente incidentales, otras que afectan a su núcleo esencial. Corresponderá a los abogados demostrar, y a los jueces apreciar, cuándo nos encontramos ante uno u otro supuesto. En esta </w:t>
      </w:r>
      <w:r w:rsidRPr="00D17E3C">
        <w:lastRenderedPageBreak/>
        <w:t>dialéctica entre la pretensión de la parte y la valoración judicial se irá construyendo, caso a caso, el significado concreto de la trascendencia jurídico-social".</w:t>
      </w:r>
    </w:p>
    <w:p w14:paraId="636E6027" w14:textId="77777777" w:rsidR="00C61CA3" w:rsidRPr="00D17E3C" w:rsidRDefault="00C61CA3" w:rsidP="00D17E3C">
      <w:pPr>
        <w:pStyle w:val="ds-markdown-paragraph"/>
        <w:jc w:val="both"/>
      </w:pPr>
      <w:r w:rsidRPr="00D17E3C">
        <w:t>El modelo de amparo subsidiario adoptado por el legislador cubano responde, en definitiva, a la necesidad de preservar la naturaleza excepcional del proceso constitucional, pero su éxito dependerá de la capacidad de todos los operadores jurídicos para interpretar y aplicar correctamente el concepto de trascendencia. La jurisprudencia del Tribunal Supremo, los autos de los tribunales provinciales y la práctica forense irán perfilando, en los próximos años, los contornos precisos de este concepto, contribuyendo a la consolidación de una doctrina constitucional cubana en materia de amparo.</w:t>
      </w:r>
    </w:p>
    <w:p w14:paraId="7FACE5ED"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4.2. El concepto de "trascendencia jurídico-social"</w:t>
      </w:r>
    </w:p>
    <w:p w14:paraId="6CD205DA"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artículo 5.3 de la Ley 153 ofrece criterios orientadores para la valoración de la trascendencia:</w:t>
      </w:r>
    </w:p>
    <w:p w14:paraId="5037804B" w14:textId="77777777" w:rsidR="005771C5" w:rsidRPr="00D17E3C" w:rsidRDefault="005771C5" w:rsidP="00D17E3C">
      <w:pPr>
        <w:spacing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"A los efectos del apartado anterior, el tribunal valora la </w:t>
      </w:r>
      <w:r w:rsidRPr="00D17E3C">
        <w:rPr>
          <w:rFonts w:ascii="Times New Roman" w:eastAsia="Times New Roman" w:hAnsi="Times New Roman" w:cs="Times New Roman"/>
          <w:b/>
          <w:bCs/>
          <w:sz w:val="24"/>
          <w:szCs w:val="24"/>
          <w:lang w:eastAsia="es-ES"/>
        </w:rPr>
        <w:t>significación jurídico-social de la vulneración alegada</w:t>
      </w:r>
      <w:r w:rsidRPr="00D17E3C">
        <w:rPr>
          <w:rFonts w:ascii="Times New Roman" w:eastAsia="Times New Roman" w:hAnsi="Times New Roman" w:cs="Times New Roman"/>
          <w:sz w:val="24"/>
          <w:szCs w:val="24"/>
          <w:lang w:eastAsia="es-ES"/>
        </w:rPr>
        <w:t xml:space="preserve">, la posible </w:t>
      </w:r>
      <w:proofErr w:type="spellStart"/>
      <w:r w:rsidRPr="00D17E3C">
        <w:rPr>
          <w:rFonts w:ascii="Times New Roman" w:eastAsia="Times New Roman" w:hAnsi="Times New Roman" w:cs="Times New Roman"/>
          <w:b/>
          <w:bCs/>
          <w:sz w:val="24"/>
          <w:szCs w:val="24"/>
          <w:lang w:eastAsia="es-ES"/>
        </w:rPr>
        <w:t>irreparabilidad</w:t>
      </w:r>
      <w:proofErr w:type="spellEnd"/>
      <w:r w:rsidRPr="00D17E3C">
        <w:rPr>
          <w:rFonts w:ascii="Times New Roman" w:eastAsia="Times New Roman" w:hAnsi="Times New Roman" w:cs="Times New Roman"/>
          <w:b/>
          <w:bCs/>
          <w:sz w:val="24"/>
          <w:szCs w:val="24"/>
          <w:lang w:eastAsia="es-ES"/>
        </w:rPr>
        <w:t xml:space="preserve"> de la violación y del daño o perjuicio causado</w:t>
      </w:r>
      <w:r w:rsidRPr="00D17E3C">
        <w:rPr>
          <w:rFonts w:ascii="Times New Roman" w:eastAsia="Times New Roman" w:hAnsi="Times New Roman" w:cs="Times New Roman"/>
          <w:sz w:val="24"/>
          <w:szCs w:val="24"/>
          <w:lang w:eastAsia="es-ES"/>
        </w:rPr>
        <w:t xml:space="preserve">, de dilatarse la protección del derecho constitucional, la </w:t>
      </w:r>
      <w:r w:rsidRPr="00D17E3C">
        <w:rPr>
          <w:rFonts w:ascii="Times New Roman" w:eastAsia="Times New Roman" w:hAnsi="Times New Roman" w:cs="Times New Roman"/>
          <w:b/>
          <w:bCs/>
          <w:sz w:val="24"/>
          <w:szCs w:val="24"/>
          <w:lang w:eastAsia="es-ES"/>
        </w:rPr>
        <w:t>situación de vulnerabilidad de la persona agraviada</w:t>
      </w:r>
      <w:r w:rsidRPr="00D17E3C">
        <w:rPr>
          <w:rFonts w:ascii="Times New Roman" w:eastAsia="Times New Roman" w:hAnsi="Times New Roman" w:cs="Times New Roman"/>
          <w:sz w:val="24"/>
          <w:szCs w:val="24"/>
          <w:lang w:eastAsia="es-ES"/>
        </w:rPr>
        <w:t>, entre otras circunstancias de naturaleza similar."</w:t>
      </w:r>
    </w:p>
    <w:p w14:paraId="7C41A013"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Estamos, pues, ante un </w:t>
      </w:r>
      <w:r w:rsidRPr="00D17E3C">
        <w:rPr>
          <w:rFonts w:ascii="Times New Roman" w:eastAsia="Times New Roman" w:hAnsi="Times New Roman" w:cs="Times New Roman"/>
          <w:b/>
          <w:bCs/>
          <w:sz w:val="24"/>
          <w:szCs w:val="24"/>
          <w:lang w:eastAsia="es-ES"/>
        </w:rPr>
        <w:t>concepto jurídico indeterminado</w:t>
      </w:r>
      <w:r w:rsidRPr="00D17E3C">
        <w:rPr>
          <w:rFonts w:ascii="Times New Roman" w:eastAsia="Times New Roman" w:hAnsi="Times New Roman" w:cs="Times New Roman"/>
          <w:sz w:val="24"/>
          <w:szCs w:val="24"/>
          <w:lang w:eastAsia="es-ES"/>
        </w:rPr>
        <w:t>, cuya concreción en cada caso dependerá de la argumentación de las partes y de la ponderación judicial. La técnica del concepto jurídico indeterminado, ampliamente utilizada en el derecho comparado, responde a la necesidad de dotar al juez de flexibilidad para adaptar la norma a las circunstancias cambiantes de la realidad social, pero al mismo tiempo exige una motivación reforzada que evite la arbitrariedad y garantice la seguridad jurídica.</w:t>
      </w:r>
    </w:p>
    <w:p w14:paraId="7CA6E924"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doctrina ha identificado varios criterios que pueden servir para determinar la concurrencia de trascendencia:</w:t>
      </w:r>
    </w:p>
    <w:p w14:paraId="2A4B0E2E" w14:textId="77777777" w:rsidR="005771C5" w:rsidRPr="00D17E3C" w:rsidRDefault="005771C5" w:rsidP="00D17E3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Afectación al contenido esencial del derecho</w:t>
      </w:r>
      <w:r w:rsidRPr="00D17E3C">
        <w:rPr>
          <w:rFonts w:ascii="Times New Roman" w:eastAsia="Times New Roman" w:hAnsi="Times New Roman" w:cs="Times New Roman"/>
          <w:sz w:val="24"/>
          <w:szCs w:val="24"/>
          <w:lang w:eastAsia="es-ES"/>
        </w:rPr>
        <w:t>: La vulneración no es meramente incidental o periférica, sino que afecta al núcleo duro del derecho constitucional, aquello que lo hace recognoscible como tal. Como ha señalado el Dr. Amed Ramírez Sánchez en sus análisis sobre esta materia, "la clave para entender la trascendencia reside en diferenciar la mera vulneración de la legalidad ordinaria de la afectación al contenido esencial de un derecho constitucional. No es lo mismo una infracción de un reglamento que un acto que vacía de contenido un derecho fundamental". La noción de contenido esencial remite a aquella parte del derecho sin la cual este pierde su identidad. Por ejemplo, una denegación temporal del derecho de acceso a la información puede no afectar a su contenido esencial si la información puede obtenerse posteriormente; pero una denegación definitiva o la ausencia total de respuesta por parte de la autoridad podría vaciar de contenido el derecho de petición.</w:t>
      </w:r>
    </w:p>
    <w:p w14:paraId="1C6BB72E" w14:textId="77777777" w:rsidR="005771C5" w:rsidRPr="00D17E3C" w:rsidRDefault="005771C5" w:rsidP="00D17E3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Situación de vulnerabilidad del afectado</w:t>
      </w:r>
      <w:r w:rsidRPr="00D17E3C">
        <w:rPr>
          <w:rFonts w:ascii="Times New Roman" w:eastAsia="Times New Roman" w:hAnsi="Times New Roman" w:cs="Times New Roman"/>
          <w:sz w:val="24"/>
          <w:szCs w:val="24"/>
          <w:lang w:eastAsia="es-ES"/>
        </w:rPr>
        <w:t xml:space="preserve">: El demandante pertenece a un grupo especialmente protegido por el ordenamiento (personas mayores, con discapacidad, en situación de pobreza, víctimas de violencia, menores de edad, etc.), y la vulneración agrava esa situación. El artículo 5.3 menciona expresamente este criterio, lo que indica la voluntad del legislador de otorgar una protección reforzada a quienes se encuentran en posiciones de </w:t>
      </w:r>
      <w:r w:rsidRPr="00D17E3C">
        <w:rPr>
          <w:rFonts w:ascii="Times New Roman" w:eastAsia="Times New Roman" w:hAnsi="Times New Roman" w:cs="Times New Roman"/>
          <w:sz w:val="24"/>
          <w:szCs w:val="24"/>
          <w:lang w:eastAsia="es-ES"/>
        </w:rPr>
        <w:lastRenderedPageBreak/>
        <w:t>especial debilidad. Este criterio conecta con la doctrina más avanzada del Derecho Internacional de los Derechos Humanos, que exige una protección diferenciada para quienes se encuentran en posiciones de especial debilidad. En los casos analizados en la práctica forense cubana, es recurrente la alegación de la vulnerabilidad del núcleo familiar, especialmente cuando hay personas mayores o niños afectados por la decisión administrativa.</w:t>
      </w:r>
    </w:p>
    <w:p w14:paraId="6B5F2997" w14:textId="77777777" w:rsidR="005771C5" w:rsidRPr="00D17E3C" w:rsidRDefault="005771C5" w:rsidP="00D17E3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D17E3C">
        <w:rPr>
          <w:rFonts w:ascii="Times New Roman" w:eastAsia="Times New Roman" w:hAnsi="Times New Roman" w:cs="Times New Roman"/>
          <w:b/>
          <w:bCs/>
          <w:sz w:val="24"/>
          <w:szCs w:val="24"/>
          <w:lang w:eastAsia="es-ES"/>
        </w:rPr>
        <w:t>Irreparabilidad</w:t>
      </w:r>
      <w:proofErr w:type="spellEnd"/>
      <w:r w:rsidRPr="00D17E3C">
        <w:rPr>
          <w:rFonts w:ascii="Times New Roman" w:eastAsia="Times New Roman" w:hAnsi="Times New Roman" w:cs="Times New Roman"/>
          <w:b/>
          <w:bCs/>
          <w:sz w:val="24"/>
          <w:szCs w:val="24"/>
          <w:lang w:eastAsia="es-ES"/>
        </w:rPr>
        <w:t xml:space="preserve"> del daño</w:t>
      </w:r>
      <w:r w:rsidRPr="00D17E3C">
        <w:rPr>
          <w:rFonts w:ascii="Times New Roman" w:eastAsia="Times New Roman" w:hAnsi="Times New Roman" w:cs="Times New Roman"/>
          <w:sz w:val="24"/>
          <w:szCs w:val="24"/>
          <w:lang w:eastAsia="es-ES"/>
        </w:rPr>
        <w:t xml:space="preserve">: La espera a la resolución por la vía ordinaria podría provocar un daño irreversible o de muy difícil reparación. Este criterio conecta directamente con la naturaleza cautelar y urgente del amparo: si el proceso ordinario no puede evitar un daño que, una vez producido, ya no podrá ser reparado, entonces se justifica acudir a la vía constitucional. La </w:t>
      </w:r>
      <w:proofErr w:type="spellStart"/>
      <w:r w:rsidRPr="00D17E3C">
        <w:rPr>
          <w:rFonts w:ascii="Times New Roman" w:eastAsia="Times New Roman" w:hAnsi="Times New Roman" w:cs="Times New Roman"/>
          <w:sz w:val="24"/>
          <w:szCs w:val="24"/>
          <w:lang w:eastAsia="es-ES"/>
        </w:rPr>
        <w:t>irreparabilidad</w:t>
      </w:r>
      <w:proofErr w:type="spellEnd"/>
      <w:r w:rsidRPr="00D17E3C">
        <w:rPr>
          <w:rFonts w:ascii="Times New Roman" w:eastAsia="Times New Roman" w:hAnsi="Times New Roman" w:cs="Times New Roman"/>
          <w:sz w:val="24"/>
          <w:szCs w:val="24"/>
          <w:lang w:eastAsia="es-ES"/>
        </w:rPr>
        <w:t xml:space="preserve"> debe entenderse en sentido amplio, no solo como daño material irreversible, sino también como daño moral o existencial de difícil reparación. La pérdida de la oportunidad de acceder a una pensión digna, la imposibilidad de cuidar a unos padres ancianos por falta de servicios básicos, o la privación de la posibilidad de despedirse de un familiar fallecido por restricciones migratorias, son ejemplos de daños que, aunque no siempre cuantificables económicamente, resultan irreparables desde la perspectiva de la dignidad humana.</w:t>
      </w:r>
    </w:p>
    <w:p w14:paraId="3CCB6371" w14:textId="77777777" w:rsidR="005771C5" w:rsidRPr="00D17E3C" w:rsidRDefault="005771C5" w:rsidP="00D17E3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Significación social del caso</w:t>
      </w:r>
      <w:r w:rsidRPr="00D17E3C">
        <w:rPr>
          <w:rFonts w:ascii="Times New Roman" w:eastAsia="Times New Roman" w:hAnsi="Times New Roman" w:cs="Times New Roman"/>
          <w:sz w:val="24"/>
          <w:szCs w:val="24"/>
          <w:lang w:eastAsia="es-ES"/>
        </w:rPr>
        <w:t>: El conflicto trasciende el interés particular del demandante y afecta a un interés colectivo o social relevante. Esta dimensión objetiva del amparo, presente en otros ordenamientos, permite utilizar el proceso constitucional como instrumento para la defensa de intereses difusos o colectivos, o para sentar jurisprudencia sobre cuestiones de especial relevancia para la sociedad. Por ejemplo, una demanda que impugne una resolución administrativa que afecta a todos los trabajadores por cuenta propia de una provincia, o que cuestione la constitucionalidad de una práctica generalizada de la administración tributaria, podría tener una significación social que justifique su admisión por la vía del amparo.</w:t>
      </w:r>
    </w:p>
    <w:p w14:paraId="61B2BAF1"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Los supuestos de especial trascendencia constitucional en la jurisprudencia española</w:t>
      </w:r>
    </w:p>
    <w:p w14:paraId="20BAA80A"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doctrina española, que ha estudiado en profundidad el concepto análogo de </w:t>
      </w:r>
      <w:r w:rsidRPr="00D17E3C">
        <w:rPr>
          <w:rFonts w:ascii="Times New Roman" w:eastAsia="Times New Roman" w:hAnsi="Times New Roman" w:cs="Times New Roman"/>
          <w:b/>
          <w:bCs/>
          <w:sz w:val="24"/>
          <w:szCs w:val="24"/>
          <w:lang w:eastAsia="es-ES"/>
        </w:rPr>
        <w:t>"especial trascendencia constitucional"</w:t>
      </w:r>
      <w:r w:rsidRPr="00D17E3C">
        <w:rPr>
          <w:rFonts w:ascii="Times New Roman" w:eastAsia="Times New Roman" w:hAnsi="Times New Roman" w:cs="Times New Roman"/>
          <w:sz w:val="24"/>
          <w:szCs w:val="24"/>
          <w:lang w:eastAsia="es-ES"/>
        </w:rPr>
        <w:t xml:space="preserve"> introducido en la Ley Orgánica del Tribunal Constitucional por la reforma de 2007, ofrece enseñanzas de gran valor para la interpretación del concepto cubano. Como señala la profesora </w:t>
      </w:r>
      <w:proofErr w:type="spellStart"/>
      <w:r w:rsidRPr="00D17E3C">
        <w:rPr>
          <w:rFonts w:ascii="Times New Roman" w:eastAsia="Times New Roman" w:hAnsi="Times New Roman" w:cs="Times New Roman"/>
          <w:sz w:val="24"/>
          <w:szCs w:val="24"/>
          <w:lang w:eastAsia="es-ES"/>
        </w:rPr>
        <w:t>Yessica</w:t>
      </w:r>
      <w:proofErr w:type="spellEnd"/>
      <w:r w:rsidRPr="00D17E3C">
        <w:rPr>
          <w:rFonts w:ascii="Times New Roman" w:eastAsia="Times New Roman" w:hAnsi="Times New Roman" w:cs="Times New Roman"/>
          <w:sz w:val="24"/>
          <w:szCs w:val="24"/>
          <w:lang w:eastAsia="es-ES"/>
        </w:rPr>
        <w:t xml:space="preserve"> Esquivel Alonso, la especial trascendencia constitucional puede ser definida como "el concepto de indeterminación lógica pero susceptible de ser determinable en la aplicación". Es decir, es posible encontrar una unidad de solución justa al caso, sin suponer la existencia de una única solución. En este proceso, el juez deberá determinar un remedio que involucra indefectiblemente la aplicación del margen de apreciación judicial.</w:t>
      </w:r>
    </w:p>
    <w:p w14:paraId="33CD3E1B"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El profesor Pablo Pérez </w:t>
      </w:r>
      <w:proofErr w:type="spellStart"/>
      <w:r w:rsidRPr="00D17E3C">
        <w:rPr>
          <w:rFonts w:ascii="Times New Roman" w:eastAsia="Times New Roman" w:hAnsi="Times New Roman" w:cs="Times New Roman"/>
          <w:sz w:val="24"/>
          <w:szCs w:val="24"/>
          <w:lang w:eastAsia="es-ES"/>
        </w:rPr>
        <w:t>Tremps</w:t>
      </w:r>
      <w:proofErr w:type="spellEnd"/>
      <w:r w:rsidRPr="00D17E3C">
        <w:rPr>
          <w:rFonts w:ascii="Times New Roman" w:eastAsia="Times New Roman" w:hAnsi="Times New Roman" w:cs="Times New Roman"/>
          <w:sz w:val="24"/>
          <w:szCs w:val="24"/>
          <w:lang w:eastAsia="es-ES"/>
        </w:rPr>
        <w:t xml:space="preserve">, por su parte, ha destacado que "el concepto de especial trascendencia constitucional se presenta legalmente como un concepto altamente indefinido", lo que obligó al Tribunal Constitucional español a desarrollar una labor hermenéutica de concreción que culminó en la </w:t>
      </w:r>
      <w:r w:rsidRPr="00D17E3C">
        <w:rPr>
          <w:rFonts w:ascii="Times New Roman" w:eastAsia="Times New Roman" w:hAnsi="Times New Roman" w:cs="Times New Roman"/>
          <w:b/>
          <w:bCs/>
          <w:sz w:val="24"/>
          <w:szCs w:val="24"/>
          <w:lang w:eastAsia="es-ES"/>
        </w:rPr>
        <w:t>STC 155/2009, de 25 de junio</w:t>
      </w:r>
      <w:r w:rsidRPr="00D17E3C">
        <w:rPr>
          <w:rFonts w:ascii="Times New Roman" w:eastAsia="Times New Roman" w:hAnsi="Times New Roman" w:cs="Times New Roman"/>
          <w:sz w:val="24"/>
          <w:szCs w:val="24"/>
          <w:lang w:eastAsia="es-ES"/>
        </w:rPr>
        <w:t>. Esta sentencia estableció siete supuestos en los que, sin carácter cerrado, cabe apreciar la concurrencia de la especial trascendencia constitucional, proporcionando así seguridad jurídica a los operadores:</w:t>
      </w:r>
    </w:p>
    <w:p w14:paraId="63D46DAB"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A) Ausencia de doctrina constitucional sobre el problema planteado</w:t>
      </w:r>
      <w:r w:rsidRPr="00D17E3C">
        <w:rPr>
          <w:rFonts w:ascii="Times New Roman" w:eastAsia="Times New Roman" w:hAnsi="Times New Roman" w:cs="Times New Roman"/>
          <w:sz w:val="24"/>
          <w:szCs w:val="24"/>
          <w:lang w:eastAsia="es-ES"/>
        </w:rPr>
        <w:t xml:space="preserve">: Se produce cuando el recurso plantea un problema o una faceta de un derecho fundamental sobre el que no existe todavía </w:t>
      </w:r>
      <w:r w:rsidRPr="00D17E3C">
        <w:rPr>
          <w:rFonts w:ascii="Times New Roman" w:eastAsia="Times New Roman" w:hAnsi="Times New Roman" w:cs="Times New Roman"/>
          <w:sz w:val="24"/>
          <w:szCs w:val="24"/>
          <w:lang w:eastAsia="es-ES"/>
        </w:rPr>
        <w:lastRenderedPageBreak/>
        <w:t>doctrina del Tribunal Constitucional. Este supuesto permite al Tribunal abordar cuestiones novedosas que no han sido previamente examinadas, cumpliendo así su función de intérprete supremo de la Constitución. En la práctica española, este ha sido uno de los supuestos más invocados, aplicándose, por ejemplo, a cuestiones como las condiciones para que la policía pueda acceder a la agenda de un teléfono móvil o las facultades empresariales para controlar el correo electrónico de los trabajadores.</w:t>
      </w:r>
    </w:p>
    <w:p w14:paraId="67802D7C"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B) Aclaración o cambio de doctrina</w:t>
      </w:r>
      <w:r w:rsidRPr="00D17E3C">
        <w:rPr>
          <w:rFonts w:ascii="Times New Roman" w:eastAsia="Times New Roman" w:hAnsi="Times New Roman" w:cs="Times New Roman"/>
          <w:sz w:val="24"/>
          <w:szCs w:val="24"/>
          <w:lang w:eastAsia="es-ES"/>
        </w:rPr>
        <w:t>: Procede cuando el caso da ocasión al Tribunal para aclarar o modificar su doctrina existente, bien como consecuencia de un proceso de reflexión interna, bien por el surgimiento de nuevas realidades sociales, cambios normativos relevantes, o modificaciones en la doctrina de los órganos internacionales de garantía (como el Tribunal Europeo de Derechos Humanos). Este supuesto reconoce el carácter dinámico de la interpretación constitucional y la necesidad de adaptarla a las transformaciones sociales.</w:t>
      </w:r>
    </w:p>
    <w:p w14:paraId="3B5DCB42"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C) Vulneración del derecho fundamental proveniente de la ley o de otra disposición de carácter general</w:t>
      </w:r>
      <w:r w:rsidRPr="00D17E3C">
        <w:rPr>
          <w:rFonts w:ascii="Times New Roman" w:eastAsia="Times New Roman" w:hAnsi="Times New Roman" w:cs="Times New Roman"/>
          <w:sz w:val="24"/>
          <w:szCs w:val="24"/>
          <w:lang w:eastAsia="es-ES"/>
        </w:rPr>
        <w:t>: Cuando la lesión del derecho fundamental trae causa directamente de una norma con rango de ley o de una disposición general. Este supuesto incluye tanto los actos dictados en virtud de normas con rango de ley que se consideren contrarias a derechos fundamentales, como los actos dictados en aplicación de reglamentos que pudieran ser igualmente lesivos. La inclusión de este supuesto responde a la necesidad de controlar la constitucionalidad de las normas a través del amparo, aunque sea de forma incidental.</w:t>
      </w:r>
    </w:p>
    <w:p w14:paraId="184B7B52"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D) Interpretación jurisprudencial reiterada de la ley que el Tribunal considere lesiva del derecho fundamental</w:t>
      </w:r>
      <w:r w:rsidRPr="00D17E3C">
        <w:rPr>
          <w:rFonts w:ascii="Times New Roman" w:eastAsia="Times New Roman" w:hAnsi="Times New Roman" w:cs="Times New Roman"/>
          <w:sz w:val="24"/>
          <w:szCs w:val="24"/>
          <w:lang w:eastAsia="es-ES"/>
        </w:rPr>
        <w:t>: Se da cuando la vulneración trae causa de una interpretación jurisprudencial consolidada de la ley que resulta lesiva para el derecho fundamental, y el Tribunal Constitucional considera necesario proclamar una interpretación distinta conforme a la Constitución. Este supuesto permite al Tribunal corregir interpretaciones judiciales erróneas que, por su carácter reiterado, generan una lesión continuada de derechos fundamentales.</w:t>
      </w:r>
    </w:p>
    <w:p w14:paraId="22C6B230"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E) Incumplimiento general y reiterado de la doctrina constitucional por la jurisdicción ordinaria, o existencia de resoluciones judiciales contradictorias sobre el derecho fundamental</w:t>
      </w:r>
      <w:r w:rsidRPr="00D17E3C">
        <w:rPr>
          <w:rFonts w:ascii="Times New Roman" w:eastAsia="Times New Roman" w:hAnsi="Times New Roman" w:cs="Times New Roman"/>
          <w:sz w:val="24"/>
          <w:szCs w:val="24"/>
          <w:lang w:eastAsia="es-ES"/>
        </w:rPr>
        <w:t>: Este supuesto protege la fuerza vinculante de la doctrina constitucional y garantiza la uniformidad en la interpretación de los derechos fundamentales. Puede darse bien cuando los órganos judiciales incumplen de modo general y reiterado la doctrina del Tribunal Constitucional, bien cuando existen resoluciones contradictorias sobre el mismo derecho fundamental, ya sea interpretando de manera distinta la doctrina constitucional, ya sea aplicándola en unos casos y desconociéndola en otros.</w:t>
      </w:r>
    </w:p>
    <w:p w14:paraId="3BAE9429"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F) Negativa manifiesta del deber de acatamiento de la doctrina constitucional</w:t>
      </w:r>
      <w:r w:rsidRPr="00D17E3C">
        <w:rPr>
          <w:rFonts w:ascii="Times New Roman" w:eastAsia="Times New Roman" w:hAnsi="Times New Roman" w:cs="Times New Roman"/>
          <w:sz w:val="24"/>
          <w:szCs w:val="24"/>
          <w:lang w:eastAsia="es-ES"/>
        </w:rPr>
        <w:t>: Se refiere a los casos en que un órgano judicial incurre en una negativa expresa o implícita, pero claramente identificable, a acatar la doctrina del Tribunal Constitucional, en contra de lo dispuesto en el artículo 5 de la Ley Orgánica del Poder Judicial. Este supuesto, que requiere un "elemento intencional o volitivo" de desobediencia judicial, opera como mecanismo corrector frente a rebeldías judiciales manifiestas.</w:t>
      </w:r>
    </w:p>
    <w:p w14:paraId="3376AFA1"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G) Relevante y general repercusión social o económica, o consecuencias políticas generales</w:t>
      </w:r>
      <w:r w:rsidRPr="00D17E3C">
        <w:rPr>
          <w:rFonts w:ascii="Times New Roman" w:eastAsia="Times New Roman" w:hAnsi="Times New Roman" w:cs="Times New Roman"/>
          <w:sz w:val="24"/>
          <w:szCs w:val="24"/>
          <w:lang w:eastAsia="es-ES"/>
        </w:rPr>
        <w:t xml:space="preserve">: Se trata del supuesto más abierto, aplicable cuando el asunto planteado, sin estar incluido en </w:t>
      </w:r>
      <w:r w:rsidRPr="00D17E3C">
        <w:rPr>
          <w:rFonts w:ascii="Times New Roman" w:eastAsia="Times New Roman" w:hAnsi="Times New Roman" w:cs="Times New Roman"/>
          <w:sz w:val="24"/>
          <w:szCs w:val="24"/>
          <w:lang w:eastAsia="es-ES"/>
        </w:rPr>
        <w:lastRenderedPageBreak/>
        <w:t xml:space="preserve">ninguno de los supuestos anteriores, trasciende del caso concreto porque plantea una cuestión jurídica de relevante y general repercusión social o económica, o tiene consecuencias políticas generales. La propia STC 155/2009 menciona expresamente que estas consecuencias podrían concurrir, sobre </w:t>
      </w:r>
      <w:proofErr w:type="gramStart"/>
      <w:r w:rsidRPr="00D17E3C">
        <w:rPr>
          <w:rFonts w:ascii="Times New Roman" w:eastAsia="Times New Roman" w:hAnsi="Times New Roman" w:cs="Times New Roman"/>
          <w:sz w:val="24"/>
          <w:szCs w:val="24"/>
          <w:lang w:eastAsia="es-ES"/>
        </w:rPr>
        <w:t>todo</w:t>
      </w:r>
      <w:proofErr w:type="gramEnd"/>
      <w:r w:rsidRPr="00D17E3C">
        <w:rPr>
          <w:rFonts w:ascii="Times New Roman" w:eastAsia="Times New Roman" w:hAnsi="Times New Roman" w:cs="Times New Roman"/>
          <w:sz w:val="24"/>
          <w:szCs w:val="24"/>
          <w:lang w:eastAsia="es-ES"/>
        </w:rPr>
        <w:t xml:space="preserve"> aunque no exclusivamente, en determinados amparos electorales o parlamentarios. Este supuesto ha permitido al Tribunal español abordar cuestiones de especial trascendencia para la sociedad, como reformas constitucionales, procesos electorales o conflictos de especial relevancia institucional.</w:t>
      </w:r>
    </w:p>
    <w:p w14:paraId="6B3C78F2"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Lecciones para Cuba desde la experiencia española</w:t>
      </w:r>
    </w:p>
    <w:p w14:paraId="09F8C45E"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experiencia española en la aplicación del requisito de especial trascendencia constitucional ofrece valiosas enseñanzas para el desarrollo del concepto cubano de "trascendencia jurídico-social", especialmente en un contexto donde, como señala el profesor Teodoro Yan Guzmán Hernández, "a casi dos años de la entrada en vigor de la Ley 153/2022, sobran los dedos de una mano para contar las demandas que han rebasado el umbral de admisibilidad; el amparo se encuentra aún en un limbo jurídico en Cuba".</w:t>
      </w:r>
    </w:p>
    <w:p w14:paraId="279205B8"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Primera lección: La necesidad de una sentencia "madre" que sistematice los criterios</w:t>
      </w:r>
      <w:r w:rsidRPr="00D17E3C">
        <w:rPr>
          <w:rFonts w:ascii="Times New Roman" w:eastAsia="Times New Roman" w:hAnsi="Times New Roman" w:cs="Times New Roman"/>
          <w:sz w:val="24"/>
          <w:szCs w:val="24"/>
          <w:lang w:eastAsia="es-ES"/>
        </w:rPr>
        <w:t>. El Tribunal Constitucional español tardó casi dos años en dictar la STC 155/2009, que vino a dar contenido al concepto y a proporcionar seguridad jurídica a los operadores. En ese lapso, se generó incertidumbre y un elevado número de inadmisiones por falta de justificación adecuada. Para Cuba, esta lección es crucial: las Salas de Amparo, y muy especialmente el Tribunal Supremo Popular, deberían dictar con prontitud una sentencia que, al igual que la STC 155/2009, sistematice los supuestos en que cabe apreciar la trascendencia jurídico-social, proporcionando así una guía clara para abogados y tribunales inferiores.</w:t>
      </w:r>
    </w:p>
    <w:p w14:paraId="27F226D5"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 xml:space="preserve">Segunda lección: El carácter </w:t>
      </w:r>
      <w:proofErr w:type="gramStart"/>
      <w:r w:rsidRPr="00D17E3C">
        <w:rPr>
          <w:rFonts w:ascii="Times New Roman" w:eastAsia="Times New Roman" w:hAnsi="Times New Roman" w:cs="Times New Roman"/>
          <w:b/>
          <w:bCs/>
          <w:sz w:val="24"/>
          <w:szCs w:val="24"/>
          <w:lang w:eastAsia="es-ES"/>
        </w:rPr>
        <w:t>abierto</w:t>
      </w:r>
      <w:proofErr w:type="gramEnd"/>
      <w:r w:rsidRPr="00D17E3C">
        <w:rPr>
          <w:rFonts w:ascii="Times New Roman" w:eastAsia="Times New Roman" w:hAnsi="Times New Roman" w:cs="Times New Roman"/>
          <w:b/>
          <w:bCs/>
          <w:sz w:val="24"/>
          <w:szCs w:val="24"/>
          <w:lang w:eastAsia="es-ES"/>
        </w:rPr>
        <w:t xml:space="preserve"> pero no arbitrario del catálogo</w:t>
      </w:r>
      <w:r w:rsidRPr="00D17E3C">
        <w:rPr>
          <w:rFonts w:ascii="Times New Roman" w:eastAsia="Times New Roman" w:hAnsi="Times New Roman" w:cs="Times New Roman"/>
          <w:sz w:val="24"/>
          <w:szCs w:val="24"/>
          <w:lang w:eastAsia="es-ES"/>
        </w:rPr>
        <w:t>. La STC 155/2009 dejó claro que su enumeración no es cerrada, reconociendo "el carácter dinámico del ejercicio de nuestra jurisdicción" y la posibilidad de perfilar o depurar conceptos, redefinir supuestos contemplados o añadir otros nuevos. Esta flexibilidad es esencial para adaptar el concepto a las realidades cambiantes. Para Cuba, ello significa que los tribunales deben estar abiertos a identificar nuevos supuestos de trascendencia no previstos inicialmente, siempre con la debida motivación.</w:t>
      </w:r>
    </w:p>
    <w:p w14:paraId="0FC87BB2"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Tercera lección: La distinción entre lesión y trascendencia</w:t>
      </w:r>
      <w:r w:rsidRPr="00D17E3C">
        <w:rPr>
          <w:rFonts w:ascii="Times New Roman" w:eastAsia="Times New Roman" w:hAnsi="Times New Roman" w:cs="Times New Roman"/>
          <w:sz w:val="24"/>
          <w:szCs w:val="24"/>
          <w:lang w:eastAsia="es-ES"/>
        </w:rPr>
        <w:t>. La jurisprudencia española ha insistido en que la argumentación sobre la existencia de la lesión del derecho fundamental y la argumentación sobre la trascendencia constitucional del recurso operan en planos distintos y deben estar adecuadamente disociadas. No basta con demostrar que el derecho ha sido vulnerado; es necesario además justificar por qué ese caso concreto tiene una relevancia que trasciende el interés particular. Esta distinción es fundamental para la práctica forense cubana, donde muchas demandas se limitan a invocar la vulneración sin desarrollar el plus argumentativo que exige la trascendencia.</w:t>
      </w:r>
    </w:p>
    <w:p w14:paraId="193E05A0"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Cuarta lección: La flexibilidad en la apreciación según la naturaleza del caso</w:t>
      </w:r>
      <w:r w:rsidRPr="00D17E3C">
        <w:rPr>
          <w:rFonts w:ascii="Times New Roman" w:eastAsia="Times New Roman" w:hAnsi="Times New Roman" w:cs="Times New Roman"/>
          <w:sz w:val="24"/>
          <w:szCs w:val="24"/>
          <w:lang w:eastAsia="es-ES"/>
        </w:rPr>
        <w:t xml:space="preserve">. La práctica española ha demostrado que "la verosimilitud e importancia de la lesión han condicionado de manera importante la aplicación de la doctrina sobre la carga de justificar la especial trascendencia constitucional". En supuestos como los amparos electorales o parlamentarios, o cuando la lesión tiene origen normativo, los tribunales tienden a flexibilizar los requisitos formales de justificación. </w:t>
      </w:r>
      <w:r w:rsidRPr="00D17E3C">
        <w:rPr>
          <w:rFonts w:ascii="Times New Roman" w:eastAsia="Times New Roman" w:hAnsi="Times New Roman" w:cs="Times New Roman"/>
          <w:sz w:val="24"/>
          <w:szCs w:val="24"/>
          <w:lang w:eastAsia="es-ES"/>
        </w:rPr>
        <w:lastRenderedPageBreak/>
        <w:t>Esta misma flexibilidad debería aplicarse en Cuba, especialmente en casos que afecten a grupos vulnerables o derechos particularmente sensibles.</w:t>
      </w:r>
    </w:p>
    <w:p w14:paraId="7B6A9A2C"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Quinta lección: El riesgo de una aplicación excesivamente restrictiva</w:t>
      </w:r>
      <w:r w:rsidRPr="00D17E3C">
        <w:rPr>
          <w:rFonts w:ascii="Times New Roman" w:eastAsia="Times New Roman" w:hAnsi="Times New Roman" w:cs="Times New Roman"/>
          <w:sz w:val="24"/>
          <w:szCs w:val="24"/>
          <w:lang w:eastAsia="es-ES"/>
        </w:rPr>
        <w:t xml:space="preserve">. Como advierte el profesor Pérez </w:t>
      </w:r>
      <w:proofErr w:type="spellStart"/>
      <w:r w:rsidRPr="00D17E3C">
        <w:rPr>
          <w:rFonts w:ascii="Times New Roman" w:eastAsia="Times New Roman" w:hAnsi="Times New Roman" w:cs="Times New Roman"/>
          <w:sz w:val="24"/>
          <w:szCs w:val="24"/>
          <w:lang w:eastAsia="es-ES"/>
        </w:rPr>
        <w:t>Tremps</w:t>
      </w:r>
      <w:proofErr w:type="spellEnd"/>
      <w:r w:rsidRPr="00D17E3C">
        <w:rPr>
          <w:rFonts w:ascii="Times New Roman" w:eastAsia="Times New Roman" w:hAnsi="Times New Roman" w:cs="Times New Roman"/>
          <w:sz w:val="24"/>
          <w:szCs w:val="24"/>
          <w:lang w:eastAsia="es-ES"/>
        </w:rPr>
        <w:t>, "en los sistemas de justicia constitucional concentrada la idea del tribunal constitucional como juez de derechos fundamentales está muy arraigada y una institución de este tipo que sólo atiende alrededor del 2% de los recursos de amparo tiene un efecto nocivo sobre la legitimidad de la institución". La experiencia española muestra que el filtro de admisión puede convertirse en una barrera excesivamente rígida que termine por desactivar el amparo como mecanismo de protección de derechos. Para Cuba, donde las estadísticas muestran una bajísima tasa de admisiones, esta advertencia es particularmente relevante: se trata de evitar que el rigor en la aplicación del filtro conduzca a la inefectividad práctica de la garantía constitucional.</w:t>
      </w:r>
    </w:p>
    <w:p w14:paraId="43A97C06"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Sexta lección: La importancia de la motivación en las decisiones de inadmisión</w:t>
      </w:r>
      <w:r w:rsidRPr="00D17E3C">
        <w:rPr>
          <w:rFonts w:ascii="Times New Roman" w:eastAsia="Times New Roman" w:hAnsi="Times New Roman" w:cs="Times New Roman"/>
          <w:sz w:val="24"/>
          <w:szCs w:val="24"/>
          <w:lang w:eastAsia="es-ES"/>
        </w:rPr>
        <w:t>. Aunque la reforma española permitió las providencias de inadmisión inmotivadas, el Tribunal Europeo de Derechos Humanos ha exigido que se garantice un mínimo de seguridad jurídica y transparencia en la aplicación del filtro. Para Cuba, donde el sistema de justicia constitucional está en sus primeros pasos, sería recomendable que las decisiones de inadmisión, especialmente las basadas en la falta de trascendencia, fueran suficientemente motivadas, de modo que los operadores jurídicos puedan conocer las razones y adecuar su práctica futura.</w:t>
      </w:r>
    </w:p>
    <w:p w14:paraId="5807DDB3"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Séptima lección: La necesidad de un diálogo entre la doctrina y la jurisprudencia</w:t>
      </w:r>
      <w:r w:rsidRPr="00D17E3C">
        <w:rPr>
          <w:rFonts w:ascii="Times New Roman" w:eastAsia="Times New Roman" w:hAnsi="Times New Roman" w:cs="Times New Roman"/>
          <w:sz w:val="24"/>
          <w:szCs w:val="24"/>
          <w:lang w:eastAsia="es-ES"/>
        </w:rPr>
        <w:t xml:space="preserve">. El desarrollo del concepto español no hubiera sido posible sin una rica interacción entre la jurisprudencia del Tribunal Constitucional y los estudios doctrinales que fueron perfilando críticamente los criterios de admisión. En Cuba, este diálogo es igualmente necesario: los académicos y los tribunales deben trabajar conjuntamente en la construcción de una doctrina coherente sobre la trascendencia jurídico-social, que parta de los criterios </w:t>
      </w:r>
      <w:proofErr w:type="gramStart"/>
      <w:r w:rsidRPr="00D17E3C">
        <w:rPr>
          <w:rFonts w:ascii="Times New Roman" w:eastAsia="Times New Roman" w:hAnsi="Times New Roman" w:cs="Times New Roman"/>
          <w:sz w:val="24"/>
          <w:szCs w:val="24"/>
          <w:lang w:eastAsia="es-ES"/>
        </w:rPr>
        <w:t>legales</w:t>
      </w:r>
      <w:proofErr w:type="gramEnd"/>
      <w:r w:rsidRPr="00D17E3C">
        <w:rPr>
          <w:rFonts w:ascii="Times New Roman" w:eastAsia="Times New Roman" w:hAnsi="Times New Roman" w:cs="Times New Roman"/>
          <w:sz w:val="24"/>
          <w:szCs w:val="24"/>
          <w:lang w:eastAsia="es-ES"/>
        </w:rPr>
        <w:t xml:space="preserve"> pero los desarrolle a la luz de las particularidades del ordenamiento cubano.</w:t>
      </w:r>
    </w:p>
    <w:p w14:paraId="40D10EF8"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Octava lección: La carga de la argumentación recae sobre el demandante</w:t>
      </w:r>
      <w:r w:rsidRPr="00D17E3C">
        <w:rPr>
          <w:rFonts w:ascii="Times New Roman" w:eastAsia="Times New Roman" w:hAnsi="Times New Roman" w:cs="Times New Roman"/>
          <w:sz w:val="24"/>
          <w:szCs w:val="24"/>
          <w:lang w:eastAsia="es-ES"/>
        </w:rPr>
        <w:t>. La modificación del recurso de amparo en España involucró imponer al recurrente la carga de justificar la especial trascendencia constitucional, cuyo incumplimiento provoca inmediatamente la inadmisión sin posibilidad de subsanación. En el caso cubano, el demandante debe desplegar un "esfuerzo argumentativo" que conecte los hechos del caso con los criterios del artículo 5.3, demostrando por qué, a pesar de existir una vía ordinaria, el caso merece la excepción. Esta argumentación debe ser específica y no puede limitarse a fórmulas genéricas o a la mera invocación de la importancia del derecho vulnerado.</w:t>
      </w:r>
    </w:p>
    <w:p w14:paraId="2F380BFF" w14:textId="77777777" w:rsidR="005771C5" w:rsidRPr="00D17E3C" w:rsidRDefault="005771C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En definitiva, la experiencia española ofrece un valioso precedente para Cuba, pero también una advertencia: el concepto de trascendencia, bien utilizado, puede ser un instrumento para garantizar la eficacia y la calidad del amparo constitucional; mal utilizado, puede convertirse en una barrera que frustre las expectativas de tutela de los derechos fundamentales. El reto para los tribunales cubanos será encontrar el equilibrio adecuado entre la necesaria selectividad y la efectiva protección de los derechos, de modo que el amparo cumpla su función de garantía de los derechos constitucionales sin desnaturalizarse ni convertirse en un proceso inaccesible. Como advierte Pérez </w:t>
      </w:r>
      <w:proofErr w:type="spellStart"/>
      <w:r w:rsidRPr="00D17E3C">
        <w:rPr>
          <w:rFonts w:ascii="Times New Roman" w:eastAsia="Times New Roman" w:hAnsi="Times New Roman" w:cs="Times New Roman"/>
          <w:sz w:val="24"/>
          <w:szCs w:val="24"/>
          <w:lang w:eastAsia="es-ES"/>
        </w:rPr>
        <w:t>Tremps</w:t>
      </w:r>
      <w:proofErr w:type="spellEnd"/>
      <w:r w:rsidRPr="00D17E3C">
        <w:rPr>
          <w:rFonts w:ascii="Times New Roman" w:eastAsia="Times New Roman" w:hAnsi="Times New Roman" w:cs="Times New Roman"/>
          <w:sz w:val="24"/>
          <w:szCs w:val="24"/>
          <w:lang w:eastAsia="es-ES"/>
        </w:rPr>
        <w:t xml:space="preserve">, se trata de evitar que el "morir de éxito" (la saturación del tribunal por exceso de recursos) </w:t>
      </w:r>
      <w:r w:rsidRPr="00D17E3C">
        <w:rPr>
          <w:rFonts w:ascii="Times New Roman" w:eastAsia="Times New Roman" w:hAnsi="Times New Roman" w:cs="Times New Roman"/>
          <w:sz w:val="24"/>
          <w:szCs w:val="24"/>
          <w:lang w:eastAsia="es-ES"/>
        </w:rPr>
        <w:lastRenderedPageBreak/>
        <w:t>conduzca a "vivir en el fracaso" (la desactivación del amparo como mecanismo de protección de derechos).</w:t>
      </w:r>
    </w:p>
    <w:p w14:paraId="6236C496" w14:textId="77777777" w:rsidR="000D5787" w:rsidRPr="00D17E3C" w:rsidRDefault="000D5787" w:rsidP="00D17E3C">
      <w:pPr>
        <w:pStyle w:val="ds-markdown-paragraph"/>
        <w:jc w:val="both"/>
      </w:pPr>
      <w:r w:rsidRPr="00D17E3C">
        <w:rPr>
          <w:b/>
          <w:bCs/>
        </w:rPr>
        <w:t xml:space="preserve"> </w:t>
      </w:r>
      <w:r w:rsidRPr="00D17E3C">
        <w:t>La Ley 153/2022 establece una distribución de competencias en razón de la jerarquía del órgano demandado, siguiendo un criterio orgánico que busca equilibrar la proximidad al justiciable con la necesidad de uniformidad interpretativa. El artículo 4 de la Ley dispone:</w:t>
      </w:r>
    </w:p>
    <w:p w14:paraId="6A2088A1" w14:textId="77777777" w:rsidR="000D5787" w:rsidRPr="00D17E3C" w:rsidRDefault="000D5787" w:rsidP="00D17E3C">
      <w:pPr>
        <w:spacing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"Son competentes para conocer del proceso de amparo de los derechos constitucionales, en primera instancia: a) los tribunales municipales populares, cuando la vulneración provenga de órganos del Estado, sus directivos, funcionarios o empleados del ámbito municipal, así como de particulares o entes no estatales; b) los tribunales provinciales populares, cuando la vulneración provenga de órganos del Estado, sus directivos, funcionarios o empleados del ámbito provincial; c) el Tribunal Supremo Popular, cuando la vulneración provenga de órganos del Estado, sus directivos, funcionarios o empleados del ámbito nacional."</w:t>
      </w:r>
    </w:p>
    <w:p w14:paraId="7D267608"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Esta distribución puede sistematizarse en el siguiente esquema: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08"/>
        <w:gridCol w:w="2896"/>
      </w:tblGrid>
      <w:tr w:rsidR="000D5787" w:rsidRPr="00D17E3C" w14:paraId="23640C71" w14:textId="77777777" w:rsidTr="000D5787">
        <w:trPr>
          <w:tblHeader/>
          <w:tblCellSpacing w:w="15" w:type="dxa"/>
        </w:trPr>
        <w:tc>
          <w:tcPr>
            <w:tcW w:w="0" w:type="auto"/>
            <w:vAlign w:val="center"/>
            <w:hideMark/>
          </w:tcPr>
          <w:p w14:paraId="478B002D" w14:textId="77777777" w:rsidR="000D5787" w:rsidRPr="00D17E3C" w:rsidRDefault="000D5787" w:rsidP="00D17E3C">
            <w:pPr>
              <w:spacing w:after="0" w:line="240" w:lineRule="auto"/>
              <w:jc w:val="both"/>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Órgano demandado</w:t>
            </w:r>
          </w:p>
        </w:tc>
        <w:tc>
          <w:tcPr>
            <w:tcW w:w="0" w:type="auto"/>
            <w:vAlign w:val="center"/>
            <w:hideMark/>
          </w:tcPr>
          <w:p w14:paraId="3A928E26" w14:textId="77777777" w:rsidR="000D5787" w:rsidRPr="00D17E3C" w:rsidRDefault="000D5787" w:rsidP="00D17E3C">
            <w:pPr>
              <w:spacing w:after="0" w:line="240" w:lineRule="auto"/>
              <w:jc w:val="both"/>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Tribunal competente en primera instancia</w:t>
            </w:r>
          </w:p>
        </w:tc>
      </w:tr>
      <w:tr w:rsidR="000D5787" w:rsidRPr="00D17E3C" w14:paraId="130D2271" w14:textId="77777777" w:rsidTr="000D5787">
        <w:trPr>
          <w:tblCellSpacing w:w="15" w:type="dxa"/>
        </w:trPr>
        <w:tc>
          <w:tcPr>
            <w:tcW w:w="0" w:type="auto"/>
            <w:vAlign w:val="center"/>
            <w:hideMark/>
          </w:tcPr>
          <w:p w14:paraId="503E0D36" w14:textId="77777777" w:rsidR="000D5787" w:rsidRPr="00D17E3C" w:rsidRDefault="000D5787" w:rsidP="00D17E3C">
            <w:pPr>
              <w:spacing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Autoridades nacionales (</w:t>
            </w:r>
            <w:proofErr w:type="gramStart"/>
            <w:r w:rsidRPr="00D17E3C">
              <w:rPr>
                <w:rFonts w:ascii="Times New Roman" w:eastAsia="Times New Roman" w:hAnsi="Times New Roman" w:cs="Times New Roman"/>
                <w:sz w:val="24"/>
                <w:szCs w:val="24"/>
                <w:lang w:eastAsia="es-ES"/>
              </w:rPr>
              <w:t>Ministros</w:t>
            </w:r>
            <w:proofErr w:type="gramEnd"/>
            <w:r w:rsidRPr="00D17E3C">
              <w:rPr>
                <w:rFonts w:ascii="Times New Roman" w:eastAsia="Times New Roman" w:hAnsi="Times New Roman" w:cs="Times New Roman"/>
                <w:sz w:val="24"/>
                <w:szCs w:val="24"/>
                <w:lang w:eastAsia="es-ES"/>
              </w:rPr>
              <w:t>, Presidentes de organismos centrales del Estado, entidades de alcance nacional)</w:t>
            </w:r>
          </w:p>
        </w:tc>
        <w:tc>
          <w:tcPr>
            <w:tcW w:w="0" w:type="auto"/>
            <w:vAlign w:val="center"/>
            <w:hideMark/>
          </w:tcPr>
          <w:p w14:paraId="778DB95D" w14:textId="77777777" w:rsidR="000D5787" w:rsidRPr="00D17E3C" w:rsidRDefault="000D5787" w:rsidP="00D17E3C">
            <w:pPr>
              <w:spacing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Tribunal Supremo Popular (Sala de Amparo)</w:t>
            </w:r>
          </w:p>
        </w:tc>
      </w:tr>
      <w:tr w:rsidR="000D5787" w:rsidRPr="00D17E3C" w14:paraId="50FF5F8A" w14:textId="77777777" w:rsidTr="000D5787">
        <w:trPr>
          <w:tblCellSpacing w:w="15" w:type="dxa"/>
        </w:trPr>
        <w:tc>
          <w:tcPr>
            <w:tcW w:w="0" w:type="auto"/>
            <w:vAlign w:val="center"/>
            <w:hideMark/>
          </w:tcPr>
          <w:p w14:paraId="79EF140D" w14:textId="77777777" w:rsidR="000D5787" w:rsidRPr="00D17E3C" w:rsidRDefault="000D5787" w:rsidP="00D17E3C">
            <w:pPr>
              <w:spacing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Autoridades provinciales (Gobernadores, Vicegobernadores, direcciones provinciales)</w:t>
            </w:r>
          </w:p>
        </w:tc>
        <w:tc>
          <w:tcPr>
            <w:tcW w:w="0" w:type="auto"/>
            <w:vAlign w:val="center"/>
            <w:hideMark/>
          </w:tcPr>
          <w:p w14:paraId="63E1301B" w14:textId="77777777" w:rsidR="000D5787" w:rsidRPr="00D17E3C" w:rsidRDefault="000D5787" w:rsidP="00D17E3C">
            <w:pPr>
              <w:spacing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Tribunal Provincial Popular (Sala de Amparo)</w:t>
            </w:r>
          </w:p>
        </w:tc>
      </w:tr>
      <w:tr w:rsidR="000D5787" w:rsidRPr="00D17E3C" w14:paraId="793EF2AE" w14:textId="77777777" w:rsidTr="000D5787">
        <w:trPr>
          <w:tblCellSpacing w:w="15" w:type="dxa"/>
        </w:trPr>
        <w:tc>
          <w:tcPr>
            <w:tcW w:w="0" w:type="auto"/>
            <w:vAlign w:val="center"/>
            <w:hideMark/>
          </w:tcPr>
          <w:p w14:paraId="700101E7" w14:textId="77777777" w:rsidR="000D5787" w:rsidRPr="00D17E3C" w:rsidRDefault="000D5787" w:rsidP="00D17E3C">
            <w:pPr>
              <w:spacing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Autoridades municipales (Intendentes, direcciones municipales)</w:t>
            </w:r>
          </w:p>
        </w:tc>
        <w:tc>
          <w:tcPr>
            <w:tcW w:w="0" w:type="auto"/>
            <w:vAlign w:val="center"/>
            <w:hideMark/>
          </w:tcPr>
          <w:p w14:paraId="71B2F3C6" w14:textId="77777777" w:rsidR="000D5787" w:rsidRPr="00D17E3C" w:rsidRDefault="000D5787" w:rsidP="00D17E3C">
            <w:pPr>
              <w:spacing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Tribunal Municipal Popular (Sala de Amparo)</w:t>
            </w:r>
          </w:p>
        </w:tc>
      </w:tr>
      <w:tr w:rsidR="000D5787" w:rsidRPr="00D17E3C" w14:paraId="39DFF3E2" w14:textId="77777777" w:rsidTr="000D5787">
        <w:trPr>
          <w:tblCellSpacing w:w="15" w:type="dxa"/>
        </w:trPr>
        <w:tc>
          <w:tcPr>
            <w:tcW w:w="0" w:type="auto"/>
            <w:vAlign w:val="center"/>
            <w:hideMark/>
          </w:tcPr>
          <w:p w14:paraId="7EF0F1DF" w14:textId="77777777" w:rsidR="000D5787" w:rsidRPr="00D17E3C" w:rsidRDefault="000D5787" w:rsidP="00D17E3C">
            <w:pPr>
              <w:spacing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Particulares y entes no estatales (personas naturales o jurídicas de derecho privado)</w:t>
            </w:r>
          </w:p>
        </w:tc>
        <w:tc>
          <w:tcPr>
            <w:tcW w:w="0" w:type="auto"/>
            <w:vAlign w:val="center"/>
            <w:hideMark/>
          </w:tcPr>
          <w:p w14:paraId="7C7BF12B" w14:textId="77777777" w:rsidR="000D5787" w:rsidRPr="00D17E3C" w:rsidRDefault="000D5787" w:rsidP="00D17E3C">
            <w:pPr>
              <w:spacing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Tribunal Municipal Popular (Sala de Amparo)</w:t>
            </w:r>
          </w:p>
        </w:tc>
      </w:tr>
    </w:tbl>
    <w:p w14:paraId="5F9C0947"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Fundamento del criterio orgánico</w:t>
      </w:r>
    </w:p>
    <w:p w14:paraId="001CE361"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opción del legislador por un criterio orgánico —esto es, basado en la jerarquía administrativa del sujeto demandado— responde a varias razones justificadas. En primer lugar, facilita la </w:t>
      </w:r>
      <w:r w:rsidRPr="00D17E3C">
        <w:rPr>
          <w:rFonts w:ascii="Times New Roman" w:eastAsia="Times New Roman" w:hAnsi="Times New Roman" w:cs="Times New Roman"/>
          <w:b/>
          <w:bCs/>
          <w:sz w:val="24"/>
          <w:szCs w:val="24"/>
          <w:lang w:eastAsia="es-ES"/>
        </w:rPr>
        <w:t>proximidad geográfica e institucional</w:t>
      </w:r>
      <w:r w:rsidRPr="00D17E3C">
        <w:rPr>
          <w:rFonts w:ascii="Times New Roman" w:eastAsia="Times New Roman" w:hAnsi="Times New Roman" w:cs="Times New Roman"/>
          <w:sz w:val="24"/>
          <w:szCs w:val="24"/>
          <w:lang w:eastAsia="es-ES"/>
        </w:rPr>
        <w:t xml:space="preserve"> del tribunal al lugar donde se produce la vulneración, lo que resulta especialmente relevante cuando se trata de autoridades municipales o de particulares. El conocimiento del contexto local por parte del tribunal puede ser un factor relevante para la correcta valoración de los hechos y para la efectiva ejecución de la sentencia.</w:t>
      </w:r>
    </w:p>
    <w:p w14:paraId="6F4BBA01"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En segundo lugar, este criterio garantiza que los conflictos que involucran a autoridades de mayor jerarquía sean resueltos por tribunales de superior rango, lo que refuerza la </w:t>
      </w:r>
      <w:r w:rsidRPr="00D17E3C">
        <w:rPr>
          <w:rFonts w:ascii="Times New Roman" w:eastAsia="Times New Roman" w:hAnsi="Times New Roman" w:cs="Times New Roman"/>
          <w:b/>
          <w:bCs/>
          <w:sz w:val="24"/>
          <w:szCs w:val="24"/>
          <w:lang w:eastAsia="es-ES"/>
        </w:rPr>
        <w:t>independencia e imparcialidad</w:t>
      </w:r>
      <w:r w:rsidRPr="00D17E3C">
        <w:rPr>
          <w:rFonts w:ascii="Times New Roman" w:eastAsia="Times New Roman" w:hAnsi="Times New Roman" w:cs="Times New Roman"/>
          <w:sz w:val="24"/>
          <w:szCs w:val="24"/>
          <w:lang w:eastAsia="es-ES"/>
        </w:rPr>
        <w:t xml:space="preserve"> del juzgador frente a eventuales presiones del poder político. Como señala el profesor Carlos Manuel </w:t>
      </w:r>
      <w:proofErr w:type="spellStart"/>
      <w:r w:rsidRPr="00D17E3C">
        <w:rPr>
          <w:rFonts w:ascii="Times New Roman" w:eastAsia="Times New Roman" w:hAnsi="Times New Roman" w:cs="Times New Roman"/>
          <w:sz w:val="24"/>
          <w:szCs w:val="24"/>
          <w:lang w:eastAsia="es-ES"/>
        </w:rPr>
        <w:t>Villabella</w:t>
      </w:r>
      <w:proofErr w:type="spellEnd"/>
      <w:r w:rsidRPr="00D17E3C">
        <w:rPr>
          <w:rFonts w:ascii="Times New Roman" w:eastAsia="Times New Roman" w:hAnsi="Times New Roman" w:cs="Times New Roman"/>
          <w:sz w:val="24"/>
          <w:szCs w:val="24"/>
          <w:lang w:eastAsia="es-ES"/>
        </w:rPr>
        <w:t xml:space="preserve"> Armengol, "la atribución al Tribunal Supremo Popular del conocimiento de las demandas contra autoridades nacionales responde a la necesidad de asegurar que el órgano de mayor jerarquía dentro del sistema judicial sea quien enjuicie a los más altos funcionarios del Estado, evitando así posibles interferencias o condicionamientos".</w:t>
      </w:r>
    </w:p>
    <w:p w14:paraId="472BBA4A"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lastRenderedPageBreak/>
        <w:t xml:space="preserve">En tercer lugar, la concentración en el Tribunal Supremo de los asuntos que involucran a autoridades nacionales permite una </w:t>
      </w:r>
      <w:r w:rsidRPr="00D17E3C">
        <w:rPr>
          <w:rFonts w:ascii="Times New Roman" w:eastAsia="Times New Roman" w:hAnsi="Times New Roman" w:cs="Times New Roman"/>
          <w:b/>
          <w:bCs/>
          <w:sz w:val="24"/>
          <w:szCs w:val="24"/>
          <w:lang w:eastAsia="es-ES"/>
        </w:rPr>
        <w:t>interpretación uniforme</w:t>
      </w:r>
      <w:r w:rsidRPr="00D17E3C">
        <w:rPr>
          <w:rFonts w:ascii="Times New Roman" w:eastAsia="Times New Roman" w:hAnsi="Times New Roman" w:cs="Times New Roman"/>
          <w:sz w:val="24"/>
          <w:szCs w:val="24"/>
          <w:lang w:eastAsia="es-ES"/>
        </w:rPr>
        <w:t xml:space="preserve"> de las cuestiones constitucionales más relevantes, contribuyendo a la consolidación de una doctrina coherente en materia de amparo. El Tribunal Supremo </w:t>
      </w:r>
      <w:proofErr w:type="gramStart"/>
      <w:r w:rsidRPr="00D17E3C">
        <w:rPr>
          <w:rFonts w:ascii="Times New Roman" w:eastAsia="Times New Roman" w:hAnsi="Times New Roman" w:cs="Times New Roman"/>
          <w:sz w:val="24"/>
          <w:szCs w:val="24"/>
          <w:lang w:eastAsia="es-ES"/>
        </w:rPr>
        <w:t>actúa</w:t>
      </w:r>
      <w:proofErr w:type="gramEnd"/>
      <w:r w:rsidRPr="00D17E3C">
        <w:rPr>
          <w:rFonts w:ascii="Times New Roman" w:eastAsia="Times New Roman" w:hAnsi="Times New Roman" w:cs="Times New Roman"/>
          <w:sz w:val="24"/>
          <w:szCs w:val="24"/>
          <w:lang w:eastAsia="es-ES"/>
        </w:rPr>
        <w:t xml:space="preserve"> así como órgano de cierre del sistema, fijando criterios vinculantes para los tribunales inferiores.</w:t>
      </w:r>
    </w:p>
    <w:p w14:paraId="73968FC2"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competencia para conocer de demandas contra particulares y entes no estatales</w:t>
      </w:r>
    </w:p>
    <w:p w14:paraId="7215EE60"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Un aspecto especialmente relevante de la distribución competencial es la atribución a los tribunales municipales del conocimiento de las demandas dirigidas contra particulares y entes no estatales. Esta previsión, recogida en el artículo 4.a) de la Ley 153, reconoce implícitamente la </w:t>
      </w:r>
      <w:r w:rsidRPr="00D17E3C">
        <w:rPr>
          <w:rFonts w:ascii="Times New Roman" w:eastAsia="Times New Roman" w:hAnsi="Times New Roman" w:cs="Times New Roman"/>
          <w:b/>
          <w:bCs/>
          <w:sz w:val="24"/>
          <w:szCs w:val="24"/>
          <w:lang w:eastAsia="es-ES"/>
        </w:rPr>
        <w:t>eficacia horizontal de los derechos fundamentales</w:t>
      </w:r>
      <w:r w:rsidRPr="00D17E3C">
        <w:rPr>
          <w:rFonts w:ascii="Times New Roman" w:eastAsia="Times New Roman" w:hAnsi="Times New Roman" w:cs="Times New Roman"/>
          <w:sz w:val="24"/>
          <w:szCs w:val="24"/>
          <w:lang w:eastAsia="es-ES"/>
        </w:rPr>
        <w:t xml:space="preserve"> (</w:t>
      </w:r>
      <w:proofErr w:type="spellStart"/>
      <w:r w:rsidRPr="00D17E3C">
        <w:rPr>
          <w:rFonts w:ascii="Times New Roman" w:eastAsia="Times New Roman" w:hAnsi="Times New Roman" w:cs="Times New Roman"/>
          <w:i/>
          <w:iCs/>
          <w:sz w:val="24"/>
          <w:szCs w:val="24"/>
          <w:lang w:eastAsia="es-ES"/>
        </w:rPr>
        <w:t>Drittwirkung</w:t>
      </w:r>
      <w:proofErr w:type="spellEnd"/>
      <w:r w:rsidRPr="00D17E3C">
        <w:rPr>
          <w:rFonts w:ascii="Times New Roman" w:eastAsia="Times New Roman" w:hAnsi="Times New Roman" w:cs="Times New Roman"/>
          <w:sz w:val="24"/>
          <w:szCs w:val="24"/>
          <w:lang w:eastAsia="es-ES"/>
        </w:rPr>
        <w:t>), doctrina ampliamente desarrollada en el Derecho Constitucional comparado que extiende la protección constitucional a las relaciones entre privados.</w:t>
      </w:r>
    </w:p>
    <w:p w14:paraId="4E66BE1A"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atribución a los tribunales municipales de estos asuntos resulta coherente con la naturaleza de los conflictos entre particulares, que suelen circunscribirse al ámbito local y requerir un conocimiento cercano de las circunstancias fácticas. Como ha señalado la profesora Martha Prieto Valdés, "la competencia del tribunal municipal para conocer de amparos contra particulares garantiza la accesibilidad del proceso y evita que los ciudadanos deban desplazarse a sedes judiciales alejadas de su domicilio para defender sus derechos frente a otros particulares".</w:t>
      </w:r>
    </w:p>
    <w:p w14:paraId="5697D492"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El sistema de recursos: apelación y firmeza de las decisiones</w:t>
      </w:r>
    </w:p>
    <w:p w14:paraId="19C2B8D0"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Contra las sentencias dictadas en primera instancia por los tribunales municipales y provinciales procede </w:t>
      </w:r>
      <w:r w:rsidRPr="00D17E3C">
        <w:rPr>
          <w:rFonts w:ascii="Times New Roman" w:eastAsia="Times New Roman" w:hAnsi="Times New Roman" w:cs="Times New Roman"/>
          <w:b/>
          <w:bCs/>
          <w:sz w:val="24"/>
          <w:szCs w:val="24"/>
          <w:lang w:eastAsia="es-ES"/>
        </w:rPr>
        <w:t>recurso de apelación</w:t>
      </w:r>
      <w:r w:rsidRPr="00D17E3C">
        <w:rPr>
          <w:rFonts w:ascii="Times New Roman" w:eastAsia="Times New Roman" w:hAnsi="Times New Roman" w:cs="Times New Roman"/>
          <w:sz w:val="24"/>
          <w:szCs w:val="24"/>
          <w:lang w:eastAsia="es-ES"/>
        </w:rPr>
        <w:t xml:space="preserve"> ante el superior jerárquico. El artículo 33 de la Ley 153 establece que "las sentencias dictadas por los tribunales municipales populares en proceso de amparo son recurribles en apelación ante la Sala de Amparo de los Derechos Constitucionales del tribunal provincial popular correspondiente". Por su parte, "las sentencias dictadas por los tribunales provinciales populares en proceso de amparo son recurribles en apelación ante la Sala de Amparo de los Derechos Constitucionales del Tribunal Supremo Popular".</w:t>
      </w:r>
    </w:p>
    <w:p w14:paraId="5E38B9E2"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recurso de apelación se tramita con carácter preferente y debe resolverse en un plazo máximo de treinta días (artículo 34), lo que garantiza la celeridad del proceso incluso en la segunda instancia. La sentencia de apelación puede confirmar, revocar o modificar la resolución recurrida, y contra ella no cabe recurso alguno cuando es dictada por el Tribunal Supremo.</w:t>
      </w:r>
    </w:p>
    <w:p w14:paraId="41400764"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Las decisiones del Tribunal Supremo Popular en única instancia o resolviendo recursos de apelación son </w:t>
      </w:r>
      <w:r w:rsidRPr="00D17E3C">
        <w:rPr>
          <w:rFonts w:ascii="Times New Roman" w:eastAsia="Times New Roman" w:hAnsi="Times New Roman" w:cs="Times New Roman"/>
          <w:b/>
          <w:bCs/>
          <w:sz w:val="24"/>
          <w:szCs w:val="24"/>
          <w:lang w:eastAsia="es-ES"/>
        </w:rPr>
        <w:t>firmes</w:t>
      </w:r>
      <w:r w:rsidRPr="00D17E3C">
        <w:rPr>
          <w:rFonts w:ascii="Times New Roman" w:eastAsia="Times New Roman" w:hAnsi="Times New Roman" w:cs="Times New Roman"/>
          <w:sz w:val="24"/>
          <w:szCs w:val="24"/>
          <w:lang w:eastAsia="es-ES"/>
        </w:rPr>
        <w:t xml:space="preserve"> y contra ellas no procede recurso alguno, como ha sido confirmado por la jurisprudencia. La </w:t>
      </w:r>
      <w:r w:rsidRPr="00D17E3C">
        <w:rPr>
          <w:rFonts w:ascii="Times New Roman" w:eastAsia="Times New Roman" w:hAnsi="Times New Roman" w:cs="Times New Roman"/>
          <w:b/>
          <w:bCs/>
          <w:sz w:val="24"/>
          <w:szCs w:val="24"/>
          <w:lang w:eastAsia="es-ES"/>
        </w:rPr>
        <w:t>Sentencia No. 12-2024-1800-3430</w:t>
      </w:r>
      <w:r w:rsidRPr="00D17E3C">
        <w:rPr>
          <w:rFonts w:ascii="Times New Roman" w:eastAsia="Times New Roman" w:hAnsi="Times New Roman" w:cs="Times New Roman"/>
          <w:sz w:val="24"/>
          <w:szCs w:val="24"/>
          <w:lang w:eastAsia="es-ES"/>
        </w:rPr>
        <w:t>, de 22 de octubre de 2024, declaró expresamente: "Se declara la firmeza de la presente sentencia, pues contra ella no procede recurso alguno". Esta previsión otorga seguridad jurídica y evita una prolongación indefinida de los procesos, en coherencia con el carácter preferente y expedito del amparo.</w:t>
      </w:r>
    </w:p>
    <w:p w14:paraId="50685D92"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especialización: las Salas de Amparo</w:t>
      </w:r>
    </w:p>
    <w:p w14:paraId="4EDA8680"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lastRenderedPageBreak/>
        <w:t xml:space="preserve">La Ley 140/2021 "De los Tribunales de Justicia" dispuso en su artículo 47 la creación de las </w:t>
      </w:r>
      <w:r w:rsidRPr="00D17E3C">
        <w:rPr>
          <w:rFonts w:ascii="Times New Roman" w:eastAsia="Times New Roman" w:hAnsi="Times New Roman" w:cs="Times New Roman"/>
          <w:b/>
          <w:bCs/>
          <w:sz w:val="24"/>
          <w:szCs w:val="24"/>
          <w:lang w:eastAsia="es-ES"/>
        </w:rPr>
        <w:t>Salas de Amparo de los Derechos Constitucionales</w:t>
      </w:r>
      <w:r w:rsidRPr="00D17E3C">
        <w:rPr>
          <w:rFonts w:ascii="Times New Roman" w:eastAsia="Times New Roman" w:hAnsi="Times New Roman" w:cs="Times New Roman"/>
          <w:sz w:val="24"/>
          <w:szCs w:val="24"/>
          <w:lang w:eastAsia="es-ES"/>
        </w:rPr>
        <w:t xml:space="preserve"> en los tribunales provinciales populares y en el Tribunal Supremo Popular. Estas salas tienen competencia exclusiva para conocer de los procesos de amparo, lo que garantiza un grado de especialización indispensable para la correcta aplicación del derecho constitucional.</w:t>
      </w:r>
    </w:p>
    <w:p w14:paraId="3066BBE3"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profesora Amanda Laura Prieto Valdés destaca la importancia de esta especialización: "La creación de salas especializadas en amparo constituye un avance significativo, pues permite concentrar el conocimiento de esta materia en jueces con dedicación preferente y, potencialmente, con mayor formación en derecho constitucional. Esto resulta esencial para el desarrollo de una jurisprudencia coherente y para la correcta aplicación de los principios y técnicas propias del amparo".</w:t>
      </w:r>
    </w:p>
    <w:p w14:paraId="7042AFB4"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Sin embargo, a diferencia de otros países que han optado por crear tribunales constitucionales separados de la jurisdicción ordinaria, el modelo cubano integra las Salas de Amparo en la estructura judicial existente. Esta opción, que facilita la articulación con otras jurisdicciones, plantea también desafíos en términos de independencia y especialización. Como advierte el profesor </w:t>
      </w:r>
      <w:proofErr w:type="spellStart"/>
      <w:r w:rsidRPr="00D17E3C">
        <w:rPr>
          <w:rFonts w:ascii="Times New Roman" w:eastAsia="Times New Roman" w:hAnsi="Times New Roman" w:cs="Times New Roman"/>
          <w:sz w:val="24"/>
          <w:szCs w:val="24"/>
          <w:lang w:eastAsia="es-ES"/>
        </w:rPr>
        <w:t>Villabella</w:t>
      </w:r>
      <w:proofErr w:type="spellEnd"/>
      <w:r w:rsidRPr="00D17E3C">
        <w:rPr>
          <w:rFonts w:ascii="Times New Roman" w:eastAsia="Times New Roman" w:hAnsi="Times New Roman" w:cs="Times New Roman"/>
          <w:sz w:val="24"/>
          <w:szCs w:val="24"/>
          <w:lang w:eastAsia="es-ES"/>
        </w:rPr>
        <w:t xml:space="preserve"> Armengol, "la integración del amparo en la jurisdicción ordinaria, sin una separación orgánica nítida, puede generar tensiones entre la lógica del proceso constitucional y las lógicas propias de los procesos comunes. La especialización de los jueces y la formación continua en derecho constitucional resultan, por ello, especialmente necesarias".</w:t>
      </w:r>
    </w:p>
    <w:p w14:paraId="495B8E17"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Problemas interpretativos en la determinación de la competencia</w:t>
      </w:r>
    </w:p>
    <w:p w14:paraId="5866F261"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aplicación práctica de las reglas de competencia ha planteado algunos problemas interpretativos que merecen ser señalados. El principal de ellos se refiere a la determinación del ámbito territorial de la autoridad demandada cuando se trata de entidades con estructura compleja. Por ejemplo, una empresa nacional con delegaciones provinciales: ¿debe considerarse autoridad nacional o provincial a los efectos de la competencia?</w:t>
      </w:r>
    </w:p>
    <w:p w14:paraId="006D4DE8"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doctrina ha ensayado respuestas a esta cuestión. El Dr. Amed Ramírez Sánchez, en sus análisis sobre la Ley 153, sostiene que "el criterio determinante debe ser el ámbito territorial del acto u omisión que causa la vulneración, no la estructura orgánica de la entidad en su conjunto. Si la lesión proviene de una delegación provincial y afecta a personas de ese territorio, lo razonable es atribuir la competencia al tribunal provincial, con independencia de que la entidad tenga carácter nacional". Esta interpretación, basada en el principio </w:t>
      </w:r>
      <w:r w:rsidRPr="00D17E3C">
        <w:rPr>
          <w:rFonts w:ascii="Times New Roman" w:eastAsia="Times New Roman" w:hAnsi="Times New Roman" w:cs="Times New Roman"/>
          <w:i/>
          <w:iCs/>
          <w:sz w:val="24"/>
          <w:szCs w:val="24"/>
          <w:lang w:eastAsia="es-ES"/>
        </w:rPr>
        <w:t xml:space="preserve">pro </w:t>
      </w:r>
      <w:proofErr w:type="spellStart"/>
      <w:r w:rsidRPr="00D17E3C">
        <w:rPr>
          <w:rFonts w:ascii="Times New Roman" w:eastAsia="Times New Roman" w:hAnsi="Times New Roman" w:cs="Times New Roman"/>
          <w:i/>
          <w:iCs/>
          <w:sz w:val="24"/>
          <w:szCs w:val="24"/>
          <w:lang w:eastAsia="es-ES"/>
        </w:rPr>
        <w:t>actione</w:t>
      </w:r>
      <w:proofErr w:type="spellEnd"/>
      <w:r w:rsidRPr="00D17E3C">
        <w:rPr>
          <w:rFonts w:ascii="Times New Roman" w:eastAsia="Times New Roman" w:hAnsi="Times New Roman" w:cs="Times New Roman"/>
          <w:sz w:val="24"/>
          <w:szCs w:val="24"/>
          <w:lang w:eastAsia="es-ES"/>
        </w:rPr>
        <w:t>, favorece la proximidad del tribunal al justiciable y facilita el acceso a la justicia.</w:t>
      </w:r>
    </w:p>
    <w:p w14:paraId="7C526883"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Otro problema interpretativo se refiere a la competencia para conocer de demandas contra entidades mixtas o con participación estatal mayoritaria. En estos casos, la doctrina se inclina por aplicar el criterio del ámbito territorial de la entidad, considerando su naturaleza y funciones más que su forma jurídica. Si la entidad desarrolla funciones públicas o presta servicios de interés general, lo relevante será el ámbito territorial de su actuación para determinar el tribunal competente.</w:t>
      </w:r>
    </w:p>
    <w:p w14:paraId="00806261"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cuestión de la competencia funcional y territorial</w:t>
      </w:r>
    </w:p>
    <w:p w14:paraId="584ADAC2"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lastRenderedPageBreak/>
        <w:t xml:space="preserve">Además de la competencia por razón de la jerarquía del órgano demandado (competencia objetiva), la Ley 153 establece reglas de competencia territorial. El artículo 4.2 dispone que "será competente por razón del territorio el tribunal del lugar donde se haya producido la vulneración del derecho constitucional o donde tenga su domicilio la persona agraviada, a elección de esta". Esta regla, que otorga al demandante la opción entre el </w:t>
      </w:r>
      <w:proofErr w:type="spellStart"/>
      <w:r w:rsidRPr="00D17E3C">
        <w:rPr>
          <w:rFonts w:ascii="Times New Roman" w:eastAsia="Times New Roman" w:hAnsi="Times New Roman" w:cs="Times New Roman"/>
          <w:i/>
          <w:iCs/>
          <w:sz w:val="24"/>
          <w:szCs w:val="24"/>
          <w:lang w:eastAsia="es-ES"/>
        </w:rPr>
        <w:t>forum</w:t>
      </w:r>
      <w:proofErr w:type="spellEnd"/>
      <w:r w:rsidRPr="00D17E3C">
        <w:rPr>
          <w:rFonts w:ascii="Times New Roman" w:eastAsia="Times New Roman" w:hAnsi="Times New Roman" w:cs="Times New Roman"/>
          <w:i/>
          <w:iCs/>
          <w:sz w:val="24"/>
          <w:szCs w:val="24"/>
          <w:lang w:eastAsia="es-ES"/>
        </w:rPr>
        <w:t xml:space="preserve"> loci </w:t>
      </w:r>
      <w:proofErr w:type="spellStart"/>
      <w:r w:rsidRPr="00D17E3C">
        <w:rPr>
          <w:rFonts w:ascii="Times New Roman" w:eastAsia="Times New Roman" w:hAnsi="Times New Roman" w:cs="Times New Roman"/>
          <w:i/>
          <w:iCs/>
          <w:sz w:val="24"/>
          <w:szCs w:val="24"/>
          <w:lang w:eastAsia="es-ES"/>
        </w:rPr>
        <w:t>delicti</w:t>
      </w:r>
      <w:proofErr w:type="spellEnd"/>
      <w:r w:rsidRPr="00D17E3C">
        <w:rPr>
          <w:rFonts w:ascii="Times New Roman" w:eastAsia="Times New Roman" w:hAnsi="Times New Roman" w:cs="Times New Roman"/>
          <w:sz w:val="24"/>
          <w:szCs w:val="24"/>
          <w:lang w:eastAsia="es-ES"/>
        </w:rPr>
        <w:t xml:space="preserve"> y el </w:t>
      </w:r>
      <w:proofErr w:type="spellStart"/>
      <w:r w:rsidRPr="00D17E3C">
        <w:rPr>
          <w:rFonts w:ascii="Times New Roman" w:eastAsia="Times New Roman" w:hAnsi="Times New Roman" w:cs="Times New Roman"/>
          <w:i/>
          <w:iCs/>
          <w:sz w:val="24"/>
          <w:szCs w:val="24"/>
          <w:lang w:eastAsia="es-ES"/>
        </w:rPr>
        <w:t>forum</w:t>
      </w:r>
      <w:proofErr w:type="spellEnd"/>
      <w:r w:rsidRPr="00D17E3C">
        <w:rPr>
          <w:rFonts w:ascii="Times New Roman" w:eastAsia="Times New Roman" w:hAnsi="Times New Roman" w:cs="Times New Roman"/>
          <w:i/>
          <w:iCs/>
          <w:sz w:val="24"/>
          <w:szCs w:val="24"/>
          <w:lang w:eastAsia="es-ES"/>
        </w:rPr>
        <w:t xml:space="preserve"> </w:t>
      </w:r>
      <w:proofErr w:type="spellStart"/>
      <w:r w:rsidRPr="00D17E3C">
        <w:rPr>
          <w:rFonts w:ascii="Times New Roman" w:eastAsia="Times New Roman" w:hAnsi="Times New Roman" w:cs="Times New Roman"/>
          <w:i/>
          <w:iCs/>
          <w:sz w:val="24"/>
          <w:szCs w:val="24"/>
          <w:lang w:eastAsia="es-ES"/>
        </w:rPr>
        <w:t>domicilii</w:t>
      </w:r>
      <w:proofErr w:type="spellEnd"/>
      <w:r w:rsidRPr="00D17E3C">
        <w:rPr>
          <w:rFonts w:ascii="Times New Roman" w:eastAsia="Times New Roman" w:hAnsi="Times New Roman" w:cs="Times New Roman"/>
          <w:sz w:val="24"/>
          <w:szCs w:val="24"/>
          <w:lang w:eastAsia="es-ES"/>
        </w:rPr>
        <w:t>, resulta especialmente garantista y facilita el acceso a la justicia.</w:t>
      </w:r>
    </w:p>
    <w:p w14:paraId="4AB7352B"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posibilidad de elegir el tribunal competente es particularmente relevante en casos donde la vulneración se produce en un lugar distinto al domicilio del afectado, o cuando por razones de vulnerabilidad o de especial dificultad puede resultar más conveniente acudir al tribunal del domicilio. Esta regla, inspirada en el principio </w:t>
      </w:r>
      <w:r w:rsidRPr="00D17E3C">
        <w:rPr>
          <w:rFonts w:ascii="Times New Roman" w:eastAsia="Times New Roman" w:hAnsi="Times New Roman" w:cs="Times New Roman"/>
          <w:i/>
          <w:iCs/>
          <w:sz w:val="24"/>
          <w:szCs w:val="24"/>
          <w:lang w:eastAsia="es-ES"/>
        </w:rPr>
        <w:t xml:space="preserve">pro </w:t>
      </w:r>
      <w:proofErr w:type="spellStart"/>
      <w:r w:rsidRPr="00D17E3C">
        <w:rPr>
          <w:rFonts w:ascii="Times New Roman" w:eastAsia="Times New Roman" w:hAnsi="Times New Roman" w:cs="Times New Roman"/>
          <w:i/>
          <w:iCs/>
          <w:sz w:val="24"/>
          <w:szCs w:val="24"/>
          <w:lang w:eastAsia="es-ES"/>
        </w:rPr>
        <w:t>actione</w:t>
      </w:r>
      <w:proofErr w:type="spellEnd"/>
      <w:r w:rsidRPr="00D17E3C">
        <w:rPr>
          <w:rFonts w:ascii="Times New Roman" w:eastAsia="Times New Roman" w:hAnsi="Times New Roman" w:cs="Times New Roman"/>
          <w:sz w:val="24"/>
          <w:szCs w:val="24"/>
          <w:lang w:eastAsia="es-ES"/>
        </w:rPr>
        <w:t>, debe ser interpretada de manera favorable al demandante.</w:t>
      </w:r>
    </w:p>
    <w:p w14:paraId="717F9F1D"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competencia del Tribunal Supremo como órgano de cierre</w:t>
      </w:r>
    </w:p>
    <w:p w14:paraId="48081C56"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atribución al Tribunal Supremo Popular de la competencia para conocer en única instancia de las demandas contra autoridades nacionales, así como para resolver los recursos de apelación contra las sentencias de los tribunales provinciales, lo convierte en el </w:t>
      </w:r>
      <w:r w:rsidRPr="00D17E3C">
        <w:rPr>
          <w:rFonts w:ascii="Times New Roman" w:eastAsia="Times New Roman" w:hAnsi="Times New Roman" w:cs="Times New Roman"/>
          <w:b/>
          <w:bCs/>
          <w:sz w:val="24"/>
          <w:szCs w:val="24"/>
          <w:lang w:eastAsia="es-ES"/>
        </w:rPr>
        <w:t>órgano de cierre del sistema de amparo</w:t>
      </w:r>
      <w:r w:rsidRPr="00D17E3C">
        <w:rPr>
          <w:rFonts w:ascii="Times New Roman" w:eastAsia="Times New Roman" w:hAnsi="Times New Roman" w:cs="Times New Roman"/>
          <w:sz w:val="24"/>
          <w:szCs w:val="24"/>
          <w:lang w:eastAsia="es-ES"/>
        </w:rPr>
        <w:t>. Esta posición le otorga una función unificadora de la jurisprudencia constitucional, esencial para garantizar la igualdad en la aplicación de la ley y la seguridad jurídica.</w:t>
      </w:r>
    </w:p>
    <w:p w14:paraId="7A33F25E"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Sentencia No. 12-2024-1800-3430 constituye un ejemplo de esta función unificadora, al fijar criterios interpretativos sobre el artículo 5.2 y el concepto de trascendencia jurídico-social que deben ser seguidos por todos los tribunales inferiores. Como señala el profesor Pérez </w:t>
      </w:r>
      <w:proofErr w:type="spellStart"/>
      <w:r w:rsidRPr="00D17E3C">
        <w:rPr>
          <w:rFonts w:ascii="Times New Roman" w:eastAsia="Times New Roman" w:hAnsi="Times New Roman" w:cs="Times New Roman"/>
          <w:sz w:val="24"/>
          <w:szCs w:val="24"/>
          <w:lang w:eastAsia="es-ES"/>
        </w:rPr>
        <w:t>Tremps</w:t>
      </w:r>
      <w:proofErr w:type="spellEnd"/>
      <w:r w:rsidRPr="00D17E3C">
        <w:rPr>
          <w:rFonts w:ascii="Times New Roman" w:eastAsia="Times New Roman" w:hAnsi="Times New Roman" w:cs="Times New Roman"/>
          <w:sz w:val="24"/>
          <w:szCs w:val="24"/>
          <w:lang w:eastAsia="es-ES"/>
        </w:rPr>
        <w:t xml:space="preserve"> en relación con el Tribunal Constitucional español, "la función del órgano de cierre no es solo resolver los casos concretos, sino también, y muy especialmente, establecer pautas interpretativas que orienten la actuación de los tribunales inferiores y aseguren la coherencia del sistema".</w:t>
      </w:r>
    </w:p>
    <w:p w14:paraId="35E60C44" w14:textId="77777777" w:rsidR="000D5787" w:rsidRPr="00D17E3C" w:rsidRDefault="000D5787"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En definitiva, la distribución de competencias en el proceso de amparo responde a un diseño cuidadoso que busca equilibrar la proximidad al justiciable con la necesidad de uniformidad interpretativa. La atribución al Tribunal Supremo Popular de la función de órgano de cierre garantiza que, a través de su jurisprudencia, se vaya conformando una doctrina coherente sobre los derechos fundamentales y su tutela, contribuyendo así a la consolidación del Estado de Derecho en Cuba.</w:t>
      </w:r>
    </w:p>
    <w:p w14:paraId="4A613C0C" w14:textId="77777777" w:rsidR="00F75402" w:rsidRPr="00D17E3C" w:rsidRDefault="00F75402" w:rsidP="00D17E3C">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D17E3C">
        <w:rPr>
          <w:rFonts w:ascii="Times New Roman" w:eastAsia="Times New Roman" w:hAnsi="Times New Roman" w:cs="Times New Roman"/>
          <w:b/>
          <w:bCs/>
          <w:sz w:val="27"/>
          <w:szCs w:val="27"/>
          <w:lang w:eastAsia="es-ES"/>
        </w:rPr>
        <w:t>5. Principios rectores del proceso y para la interpretación de los derechos constitucionales</w:t>
      </w:r>
    </w:p>
    <w:p w14:paraId="0F496491"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proceso de amparo no es un proceso más. Se rige por principios específicos que lo diferencian de los procesos ordinarios y que responden a su naturaleza de mecanismo preferente para la tutela de derechos fundamentales.</w:t>
      </w:r>
    </w:p>
    <w:p w14:paraId="0DA3B7BD"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5.1. Principios del proceso</w:t>
      </w:r>
    </w:p>
    <w:p w14:paraId="5CCC95D1"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Ley 153/2022 consagra varios principios que configuran la estructura y dinámica del proceso de amparo:</w:t>
      </w:r>
    </w:p>
    <w:p w14:paraId="2F9C49B2" w14:textId="77777777" w:rsidR="00F75402" w:rsidRPr="00D17E3C" w:rsidRDefault="00F75402" w:rsidP="00D17E3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lastRenderedPageBreak/>
        <w:t>Principio de preferencia</w:t>
      </w:r>
      <w:r w:rsidRPr="00D17E3C">
        <w:rPr>
          <w:rFonts w:ascii="Times New Roman" w:eastAsia="Times New Roman" w:hAnsi="Times New Roman" w:cs="Times New Roman"/>
          <w:sz w:val="24"/>
          <w:szCs w:val="24"/>
          <w:lang w:eastAsia="es-ES"/>
        </w:rPr>
        <w:t>: Los asuntos de amparo tienen prioridad sobre cualquier otro asunto no preferente en la tramitación judicial. Este principio garantiza que la urgencia inherente a la protección de derechos fundamentales se traduzca en una respuesta judicial rápida.</w:t>
      </w:r>
    </w:p>
    <w:p w14:paraId="19C3F22E" w14:textId="77777777" w:rsidR="00F75402" w:rsidRPr="00D17E3C" w:rsidRDefault="00F75402" w:rsidP="00D17E3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 xml:space="preserve">Principio de </w:t>
      </w:r>
      <w:proofErr w:type="spellStart"/>
      <w:r w:rsidRPr="00D17E3C">
        <w:rPr>
          <w:rFonts w:ascii="Times New Roman" w:eastAsia="Times New Roman" w:hAnsi="Times New Roman" w:cs="Times New Roman"/>
          <w:b/>
          <w:bCs/>
          <w:sz w:val="24"/>
          <w:szCs w:val="24"/>
          <w:lang w:eastAsia="es-ES"/>
        </w:rPr>
        <w:t>expeditez</w:t>
      </w:r>
      <w:proofErr w:type="spellEnd"/>
      <w:r w:rsidRPr="00D17E3C">
        <w:rPr>
          <w:rFonts w:ascii="Times New Roman" w:eastAsia="Times New Roman" w:hAnsi="Times New Roman" w:cs="Times New Roman"/>
          <w:sz w:val="24"/>
          <w:szCs w:val="24"/>
          <w:lang w:eastAsia="es-ES"/>
        </w:rPr>
        <w:t>: Los plazos son breves y los trámites, simplificados. El proceso debe desarrollarse con celeridad, evitando dilaciones injustificadas que puedan agravar la vulneración.</w:t>
      </w:r>
    </w:p>
    <w:p w14:paraId="0D2E9140" w14:textId="77777777" w:rsidR="00F75402" w:rsidRPr="00D17E3C" w:rsidRDefault="00F75402" w:rsidP="00D17E3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Principio de concentración</w:t>
      </w:r>
      <w:r w:rsidRPr="00D17E3C">
        <w:rPr>
          <w:rFonts w:ascii="Times New Roman" w:eastAsia="Times New Roman" w:hAnsi="Times New Roman" w:cs="Times New Roman"/>
          <w:sz w:val="24"/>
          <w:szCs w:val="24"/>
          <w:lang w:eastAsia="es-ES"/>
        </w:rPr>
        <w:t>: La mayor parte de la actividad procesal se concentra en una audiencia (art. 28), en la que se practican las pruebas, se escuchan a las partes y se dicta sentencia. Este principio responde a la necesidad de resolver el conflicto en el menor tiempo posible.</w:t>
      </w:r>
    </w:p>
    <w:p w14:paraId="4E87031D" w14:textId="77777777" w:rsidR="00F75402" w:rsidRPr="00D17E3C" w:rsidRDefault="00F75402" w:rsidP="00D17E3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Principio de oralidad e inmediación</w:t>
      </w:r>
      <w:r w:rsidRPr="00D17E3C">
        <w:rPr>
          <w:rFonts w:ascii="Times New Roman" w:eastAsia="Times New Roman" w:hAnsi="Times New Roman" w:cs="Times New Roman"/>
          <w:sz w:val="24"/>
          <w:szCs w:val="24"/>
          <w:lang w:eastAsia="es-ES"/>
        </w:rPr>
        <w:t>: El juez debe estar en contacto directo con las partes y las pruebas. La oralidad facilita la comprensión del conflicto y permite una valoración más precisa de los elementos fácticos.</w:t>
      </w:r>
    </w:p>
    <w:p w14:paraId="2C8F5896" w14:textId="77777777" w:rsidR="00F75402" w:rsidRPr="00D17E3C" w:rsidRDefault="00F75402" w:rsidP="00D17E3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Principio de gratuidad</w:t>
      </w:r>
      <w:r w:rsidRPr="00D17E3C">
        <w:rPr>
          <w:rFonts w:ascii="Times New Roman" w:eastAsia="Times New Roman" w:hAnsi="Times New Roman" w:cs="Times New Roman"/>
          <w:sz w:val="24"/>
          <w:szCs w:val="24"/>
          <w:lang w:eastAsia="es-ES"/>
        </w:rPr>
        <w:t>: El proceso de amparo es gratuito, lo que garantiza el acceso a la justicia constitucional sin barreras económicas.</w:t>
      </w:r>
    </w:p>
    <w:p w14:paraId="12463F4C"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 xml:space="preserve">5.2. Principios para la interpretación de los derechos: el principio </w:t>
      </w:r>
      <w:r w:rsidRPr="00D17E3C">
        <w:rPr>
          <w:rFonts w:ascii="Times New Roman" w:eastAsia="Times New Roman" w:hAnsi="Times New Roman" w:cs="Times New Roman"/>
          <w:b/>
          <w:bCs/>
          <w:i/>
          <w:iCs/>
          <w:sz w:val="24"/>
          <w:szCs w:val="24"/>
          <w:lang w:eastAsia="es-ES"/>
        </w:rPr>
        <w:t>pro homine</w:t>
      </w:r>
    </w:p>
    <w:p w14:paraId="2BF7010E"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artículo 5 de la Ley 153 establece una pauta hermenéutica fundamental:</w:t>
      </w:r>
    </w:p>
    <w:p w14:paraId="3DF043A3" w14:textId="77777777" w:rsidR="00F75402" w:rsidRPr="00D17E3C" w:rsidRDefault="00F75402" w:rsidP="00D17E3C">
      <w:pPr>
        <w:spacing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"Las disposiciones de la presente Ley se interpretarán y aplicarán del modo que más favorezca a la persona y al respeto a la dignidad humana, en correspondencia con los principios y valores consagrados en la Constitución."</w:t>
      </w:r>
    </w:p>
    <w:p w14:paraId="455F9DFB"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Este es el </w:t>
      </w:r>
      <w:r w:rsidRPr="00D17E3C">
        <w:rPr>
          <w:rFonts w:ascii="Times New Roman" w:eastAsia="Times New Roman" w:hAnsi="Times New Roman" w:cs="Times New Roman"/>
          <w:b/>
          <w:bCs/>
          <w:sz w:val="24"/>
          <w:szCs w:val="24"/>
          <w:lang w:eastAsia="es-ES"/>
        </w:rPr>
        <w:t xml:space="preserve">principio </w:t>
      </w:r>
      <w:r w:rsidRPr="00D17E3C">
        <w:rPr>
          <w:rFonts w:ascii="Times New Roman" w:eastAsia="Times New Roman" w:hAnsi="Times New Roman" w:cs="Times New Roman"/>
          <w:b/>
          <w:bCs/>
          <w:i/>
          <w:iCs/>
          <w:sz w:val="24"/>
          <w:szCs w:val="24"/>
          <w:lang w:eastAsia="es-ES"/>
        </w:rPr>
        <w:t>pro homine</w:t>
      </w:r>
      <w:r w:rsidRPr="00D17E3C">
        <w:rPr>
          <w:rFonts w:ascii="Times New Roman" w:eastAsia="Times New Roman" w:hAnsi="Times New Roman" w:cs="Times New Roman"/>
          <w:b/>
          <w:bCs/>
          <w:sz w:val="24"/>
          <w:szCs w:val="24"/>
          <w:lang w:eastAsia="es-ES"/>
        </w:rPr>
        <w:t xml:space="preserve"> (o </w:t>
      </w:r>
      <w:r w:rsidRPr="00D17E3C">
        <w:rPr>
          <w:rFonts w:ascii="Times New Roman" w:eastAsia="Times New Roman" w:hAnsi="Times New Roman" w:cs="Times New Roman"/>
          <w:b/>
          <w:bCs/>
          <w:i/>
          <w:iCs/>
          <w:sz w:val="24"/>
          <w:szCs w:val="24"/>
          <w:lang w:eastAsia="es-ES"/>
        </w:rPr>
        <w:t>pro persona</w:t>
      </w:r>
      <w:r w:rsidRPr="00D17E3C">
        <w:rPr>
          <w:rFonts w:ascii="Times New Roman" w:eastAsia="Times New Roman" w:hAnsi="Times New Roman" w:cs="Times New Roman"/>
          <w:b/>
          <w:bCs/>
          <w:sz w:val="24"/>
          <w:szCs w:val="24"/>
          <w:lang w:eastAsia="es-ES"/>
        </w:rPr>
        <w:t>)</w:t>
      </w:r>
      <w:r w:rsidRPr="00D17E3C">
        <w:rPr>
          <w:rFonts w:ascii="Times New Roman" w:eastAsia="Times New Roman" w:hAnsi="Times New Roman" w:cs="Times New Roman"/>
          <w:sz w:val="24"/>
          <w:szCs w:val="24"/>
          <w:lang w:eastAsia="es-ES"/>
        </w:rPr>
        <w:t>, uno de los pilares del Derecho Internacional de los Derechos Humanos. Significa que, ante varias interpretaciones posibles de una norma, el juez debe elegir aquella que maximice la protección del derecho fundamental. Este principio tiene varias implicaciones:</w:t>
      </w:r>
    </w:p>
    <w:p w14:paraId="003C70E4" w14:textId="77777777" w:rsidR="00F75402" w:rsidRPr="00D17E3C" w:rsidRDefault="00F75402" w:rsidP="00D17E3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Interpretación extensiva de los derechos</w:t>
      </w:r>
      <w:r w:rsidRPr="00D17E3C">
        <w:rPr>
          <w:rFonts w:ascii="Times New Roman" w:eastAsia="Times New Roman" w:hAnsi="Times New Roman" w:cs="Times New Roman"/>
          <w:sz w:val="24"/>
          <w:szCs w:val="24"/>
          <w:lang w:eastAsia="es-ES"/>
        </w:rPr>
        <w:t>: Las normas que reconocen derechos deben interpretarse en el sentido más amplio posible.</w:t>
      </w:r>
    </w:p>
    <w:p w14:paraId="29C391FA" w14:textId="77777777" w:rsidR="00F75402" w:rsidRPr="00D17E3C" w:rsidRDefault="00F75402" w:rsidP="00D17E3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Interpretación restrictiva de las limitaciones</w:t>
      </w:r>
      <w:r w:rsidRPr="00D17E3C">
        <w:rPr>
          <w:rFonts w:ascii="Times New Roman" w:eastAsia="Times New Roman" w:hAnsi="Times New Roman" w:cs="Times New Roman"/>
          <w:sz w:val="24"/>
          <w:szCs w:val="24"/>
          <w:lang w:eastAsia="es-ES"/>
        </w:rPr>
        <w:t>: Las normas que limitan derechos deben interpretarse estrictamente.</w:t>
      </w:r>
    </w:p>
    <w:p w14:paraId="4EC3F1AC" w14:textId="77777777" w:rsidR="00F75402" w:rsidRPr="00D17E3C" w:rsidRDefault="00F75402" w:rsidP="00D17E3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Prevalencia de la norma más favorable</w:t>
      </w:r>
      <w:r w:rsidRPr="00D17E3C">
        <w:rPr>
          <w:rFonts w:ascii="Times New Roman" w:eastAsia="Times New Roman" w:hAnsi="Times New Roman" w:cs="Times New Roman"/>
          <w:sz w:val="24"/>
          <w:szCs w:val="24"/>
          <w:lang w:eastAsia="es-ES"/>
        </w:rPr>
        <w:t>: En caso de conflicto entre normas, debe aplicarse aquella que ofrezca mayor protección a la persona.</w:t>
      </w:r>
    </w:p>
    <w:p w14:paraId="4E1B3125" w14:textId="7A8349F3"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w:t>
      </w:r>
      <w:r w:rsidR="000657A4" w:rsidRPr="00D17E3C">
        <w:rPr>
          <w:rFonts w:ascii="Times New Roman" w:eastAsia="Times New Roman" w:hAnsi="Times New Roman" w:cs="Times New Roman"/>
          <w:sz w:val="24"/>
          <w:szCs w:val="24"/>
          <w:lang w:eastAsia="es-ES"/>
        </w:rPr>
        <w:t xml:space="preserve">profesora </w:t>
      </w:r>
      <w:r w:rsidRPr="00D17E3C">
        <w:rPr>
          <w:rFonts w:ascii="Times New Roman" w:eastAsia="Times New Roman" w:hAnsi="Times New Roman" w:cs="Times New Roman"/>
          <w:sz w:val="24"/>
          <w:szCs w:val="24"/>
          <w:lang w:eastAsia="es-ES"/>
        </w:rPr>
        <w:t>Amanda Laura Prieto Valdés destaca en su análisis sobre el proceso de amparo que "este proceder como garantía para los constitucionalizados sería un mecanismo idóneo para ello si el texto supremo no hubiere dejado a la ley su regulación ulterior y esta no hubiese establecido tales limitaciones. No obstante, de hacerse una interpretación coherente y sistémica de lo preceptuado en el artículo 99 constitucional, sólo quedaría pendiente perfeccionar la normativa ordinaria en función de garantizar la plena defensa de todos los derechos constitucionales".</w:t>
      </w:r>
    </w:p>
    <w:p w14:paraId="0439343C"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5.3. Principios derivados de la Constitución</w:t>
      </w:r>
    </w:p>
    <w:p w14:paraId="21958278"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lastRenderedPageBreak/>
        <w:t>Además de los principios específicos de la Ley 153, el proceso de amparo debe regirse por principios constitucionales que informan toda la actividad judicial:</w:t>
      </w:r>
    </w:p>
    <w:p w14:paraId="7FBAF08F" w14:textId="77777777" w:rsidR="00F75402" w:rsidRPr="00D17E3C" w:rsidRDefault="00F75402" w:rsidP="00D17E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Principio de tutela judicial efectiva (art. 92)</w:t>
      </w:r>
      <w:r w:rsidRPr="00D17E3C">
        <w:rPr>
          <w:rFonts w:ascii="Times New Roman" w:eastAsia="Times New Roman" w:hAnsi="Times New Roman" w:cs="Times New Roman"/>
          <w:sz w:val="24"/>
          <w:szCs w:val="24"/>
          <w:lang w:eastAsia="es-ES"/>
        </w:rPr>
        <w:t>: Toda persona tiene derecho a obtener una tutela efectiva de los órganos judiciales. Este principio exige que el proceso de amparo no sea un mero formalismo, sino un instrumento real de protección.</w:t>
      </w:r>
    </w:p>
    <w:p w14:paraId="41AB9C47" w14:textId="77777777" w:rsidR="00F75402" w:rsidRPr="00D17E3C" w:rsidRDefault="00F75402" w:rsidP="00D17E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Principio del debido proceso (art. 94)</w:t>
      </w:r>
      <w:r w:rsidRPr="00D17E3C">
        <w:rPr>
          <w:rFonts w:ascii="Times New Roman" w:eastAsia="Times New Roman" w:hAnsi="Times New Roman" w:cs="Times New Roman"/>
          <w:sz w:val="24"/>
          <w:szCs w:val="24"/>
          <w:lang w:eastAsia="es-ES"/>
        </w:rPr>
        <w:t>: El proceso debe desarrollarse con todas las garantías, asegurando el derecho a ser oído, a presentar pruebas y a obtener una resolución fundada.</w:t>
      </w:r>
    </w:p>
    <w:p w14:paraId="6F973338" w14:textId="77777777" w:rsidR="00F75402" w:rsidRPr="00D17E3C" w:rsidRDefault="00F75402" w:rsidP="00D17E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Principio de igualdad (art. 42)</w:t>
      </w:r>
      <w:r w:rsidRPr="00D17E3C">
        <w:rPr>
          <w:rFonts w:ascii="Times New Roman" w:eastAsia="Times New Roman" w:hAnsi="Times New Roman" w:cs="Times New Roman"/>
          <w:sz w:val="24"/>
          <w:szCs w:val="24"/>
          <w:lang w:eastAsia="es-ES"/>
        </w:rPr>
        <w:t>: Todas las personas son iguales ante la ley y tienen derecho a igual protección de sus derechos. Este principio exige que el proceso de amparo no discrimine y que sus beneficios sean accesibles a todos.</w:t>
      </w:r>
    </w:p>
    <w:p w14:paraId="1694ECF9" w14:textId="77777777" w:rsidR="00F75402" w:rsidRPr="00D17E3C" w:rsidRDefault="00F75402" w:rsidP="00D17E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Principio de dignidad humana (art. 40)</w:t>
      </w:r>
      <w:r w:rsidRPr="00D17E3C">
        <w:rPr>
          <w:rFonts w:ascii="Times New Roman" w:eastAsia="Times New Roman" w:hAnsi="Times New Roman" w:cs="Times New Roman"/>
          <w:sz w:val="24"/>
          <w:szCs w:val="24"/>
          <w:lang w:eastAsia="es-ES"/>
        </w:rPr>
        <w:t>: La dignidad humana es el fundamento de todos los derechos. El proceso de amparo debe orientarse a la protección de la dignidad de la persona, no solo a la reparación formal del derecho vulnerado.</w:t>
      </w:r>
    </w:p>
    <w:p w14:paraId="6A53C939"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 xml:space="preserve">El proceso de amparo se rige por un conjunto de principios que responden a su naturaleza de mecanismo preferente para la tutela de derechos fundamentales. El principio </w:t>
      </w:r>
      <w:r w:rsidRPr="00D17E3C">
        <w:rPr>
          <w:rFonts w:ascii="Times New Roman" w:eastAsia="Times New Roman" w:hAnsi="Times New Roman" w:cs="Times New Roman"/>
          <w:b/>
          <w:bCs/>
          <w:i/>
          <w:iCs/>
          <w:sz w:val="24"/>
          <w:szCs w:val="24"/>
          <w:lang w:eastAsia="es-ES"/>
        </w:rPr>
        <w:t>pro homine</w:t>
      </w:r>
      <w:r w:rsidRPr="00D17E3C">
        <w:rPr>
          <w:rFonts w:ascii="Times New Roman" w:eastAsia="Times New Roman" w:hAnsi="Times New Roman" w:cs="Times New Roman"/>
          <w:b/>
          <w:bCs/>
          <w:sz w:val="24"/>
          <w:szCs w:val="24"/>
          <w:lang w:eastAsia="es-ES"/>
        </w:rPr>
        <w:t xml:space="preserve"> se erige como la clave interpretativa que debe guiar toda la actuación judicial, asegurando que la protección de la persona sea el eje central del proceso.</w:t>
      </w:r>
    </w:p>
    <w:p w14:paraId="6EB5FCF7" w14:textId="77777777" w:rsidR="00F75402" w:rsidRPr="00D17E3C" w:rsidRDefault="00F75402" w:rsidP="00D17E3C">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D17E3C">
        <w:rPr>
          <w:rFonts w:ascii="Times New Roman" w:eastAsia="Times New Roman" w:hAnsi="Times New Roman" w:cs="Times New Roman"/>
          <w:b/>
          <w:bCs/>
          <w:sz w:val="27"/>
          <w:szCs w:val="27"/>
          <w:lang w:eastAsia="es-ES"/>
        </w:rPr>
        <w:t>6. Presupuestos jurídicos para la existencia del proceso de amparo</w:t>
      </w:r>
    </w:p>
    <w:p w14:paraId="56B68C69"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Para que el proceso de amparo pueda existir y prosperar, deben concurrir una serie de presupuestos que la doctrina y la jurisprudencia han ido delimitando. Podemos clasificarlos en presupuestos de admisibilidad y presupuestos de fondo.</w:t>
      </w:r>
    </w:p>
    <w:p w14:paraId="659781F0" w14:textId="77777777" w:rsidR="00F51812" w:rsidRPr="00D17E3C" w:rsidRDefault="00F51812" w:rsidP="00D17E3C">
      <w:pPr>
        <w:pStyle w:val="ds-markdown-paragraph"/>
        <w:jc w:val="both"/>
      </w:pPr>
      <w:r w:rsidRPr="00D17E3C">
        <w:t xml:space="preserve">Para que el proceso de amparo pueda existir y prosperar, deben concurrir una serie de presupuestos que la doctrina y la jurisprudencia han ido delimitando. Podemos clasificarlos en dos categorías fundamentales: los </w:t>
      </w:r>
      <w:r w:rsidRPr="00D17E3C">
        <w:rPr>
          <w:rStyle w:val="Textoennegrita"/>
        </w:rPr>
        <w:t>presupuestos de admisibilidad</w:t>
      </w:r>
      <w:r w:rsidRPr="00D17E3C">
        <w:t xml:space="preserve">, que operan como filtros de entrada al proceso y cuya ausencia determina la inadmisión de la demanda sin entrar a valorar el fondo del asunto; y los </w:t>
      </w:r>
      <w:r w:rsidRPr="00D17E3C">
        <w:rPr>
          <w:rStyle w:val="Textoennegrita"/>
        </w:rPr>
        <w:t>presupuestos de fondo</w:t>
      </w:r>
      <w:r w:rsidRPr="00D17E3C">
        <w:t>, que son los elementos que el demandante debe probar para que el tribunal estime su pretensión y otorgue el amparo solicitado.</w:t>
      </w:r>
    </w:p>
    <w:p w14:paraId="0060CF73" w14:textId="77777777" w:rsidR="00F51812" w:rsidRPr="00D17E3C" w:rsidRDefault="00F51812" w:rsidP="00D17E3C">
      <w:pPr>
        <w:pStyle w:val="Ttulo3"/>
        <w:jc w:val="both"/>
      </w:pPr>
      <w:r w:rsidRPr="00D17E3C">
        <w:t>6.1. Presupuestos de admisibilidad (los filtros de entrada)</w:t>
      </w:r>
    </w:p>
    <w:p w14:paraId="1D031A8A" w14:textId="77777777" w:rsidR="00F51812" w:rsidRPr="00D17E3C" w:rsidRDefault="00F51812" w:rsidP="00D17E3C">
      <w:pPr>
        <w:pStyle w:val="ds-markdown-paragraph"/>
        <w:jc w:val="both"/>
      </w:pPr>
      <w:r w:rsidRPr="00D17E3C">
        <w:t>Los presupuestos de admisibilidad constituyen el primer tamiz por el que debe pasar toda demanda de amparo. Su función es garantizar que solo accedan al proceso constitucional aquellos asuntos que cumplen los requisitos legales mínimos, evitando así la saturación del sistema y asegurando que el amparo se reserve para los casos que verdaderamente lo requieren. Como señala la profesora Amanda Laura Prieto Valdés, "estos filtros no son meros formalismos, sino garantías de que el proceso constitucional se utilice de manera adecuada y no se desnaturalice convirtiéndose en una vía paralela a los procesos ordinarios".</w:t>
      </w:r>
    </w:p>
    <w:p w14:paraId="1B1DD69C" w14:textId="77777777" w:rsidR="00F51812" w:rsidRPr="00D17E3C" w:rsidRDefault="00F51812" w:rsidP="00D17E3C">
      <w:pPr>
        <w:pStyle w:val="Ttulo4"/>
        <w:jc w:val="both"/>
      </w:pPr>
      <w:r w:rsidRPr="00D17E3C">
        <w:t>1. Legitimación activa (artículo 10 de la Ley 153)</w:t>
      </w:r>
    </w:p>
    <w:p w14:paraId="62BEE28E" w14:textId="77777777" w:rsidR="00F51812" w:rsidRPr="00D17E3C" w:rsidRDefault="00F51812" w:rsidP="00D17E3C">
      <w:pPr>
        <w:pStyle w:val="ds-markdown-paragraph"/>
        <w:jc w:val="both"/>
      </w:pPr>
      <w:r w:rsidRPr="00D17E3C">
        <w:lastRenderedPageBreak/>
        <w:t>El artículo 10 de la Ley 153 establece que "están legitimados para promover el proceso de amparo de los derechos constitucionales: a) la persona agraviada; b) el fiscal, cuando la vulneración afecte a intereses públicos". La legitimación activa se configura, pues, como un derecho de acción que corresponde, con carácter general, a quien sufre directamente la vulneración del derecho constitucional.</w:t>
      </w:r>
    </w:p>
    <w:p w14:paraId="50065127" w14:textId="77777777" w:rsidR="00F51812" w:rsidRPr="00D17E3C" w:rsidRDefault="00F51812" w:rsidP="00D17E3C">
      <w:pPr>
        <w:pStyle w:val="ds-markdown-paragraph"/>
        <w:jc w:val="both"/>
      </w:pPr>
      <w:r w:rsidRPr="00D17E3C">
        <w:t xml:space="preserve">La </w:t>
      </w:r>
      <w:r w:rsidRPr="00D17E3C">
        <w:rPr>
          <w:rStyle w:val="Textoennegrita"/>
        </w:rPr>
        <w:t>persona agraviada</w:t>
      </w:r>
      <w:r w:rsidRPr="00D17E3C">
        <w:t xml:space="preserve"> es aquella que resulta directamente afectada por el acto u omisión que se impugna. Esta noción debe interpretarse de manera amplia, comprensiva tanto de personas naturales como jurídicas. En el caso de estas últimas, la legitimación corresponde a sus representantes legales, de conformidad con sus normas de organización y funcionamiento. La doctrina ha precisado que la condición de agraviado no exige una lesión efectiva y consumada; basta con que exista una afectación actual o inminente que pueda ser evitada mediante la intervención del tribunal.</w:t>
      </w:r>
    </w:p>
    <w:p w14:paraId="1D6430C4" w14:textId="77777777" w:rsidR="00F51812" w:rsidRPr="00D17E3C" w:rsidRDefault="00F51812" w:rsidP="00D17E3C">
      <w:pPr>
        <w:pStyle w:val="ds-markdown-paragraph"/>
        <w:jc w:val="both"/>
      </w:pPr>
      <w:r w:rsidRPr="00D17E3C">
        <w:t xml:space="preserve">La legitimación del </w:t>
      </w:r>
      <w:r w:rsidRPr="00D17E3C">
        <w:rPr>
          <w:rStyle w:val="Textoennegrita"/>
        </w:rPr>
        <w:t>fiscal</w:t>
      </w:r>
      <w:r w:rsidRPr="00D17E3C">
        <w:t xml:space="preserve"> constituye una novedad relevante en el ordenamiento cubano. El fiscal puede promover el amparo cuando la vulneración afecte a intereses públicos, </w:t>
      </w:r>
      <w:proofErr w:type="gramStart"/>
      <w:r w:rsidRPr="00D17E3C">
        <w:t>actuando</w:t>
      </w:r>
      <w:proofErr w:type="gramEnd"/>
      <w:r w:rsidRPr="00D17E3C">
        <w:t xml:space="preserve"> así como garante de la legalidad constitucional. Esta previsión, recogida también en el artículo 156 de la Constitución que atribuye a la Fiscalía la función de "ejercer el control de la legalidad", refuerza el carácter objetivo del amparo y permite la defensa de intereses colectivos o difusos que, por su naturaleza, no siempre encuentran un titular individual dispuesto a accionar.</w:t>
      </w:r>
    </w:p>
    <w:p w14:paraId="27AFA2C0" w14:textId="77777777" w:rsidR="00F51812" w:rsidRPr="00D17E3C" w:rsidRDefault="00F51812" w:rsidP="00D17E3C">
      <w:pPr>
        <w:pStyle w:val="ds-markdown-paragraph"/>
        <w:jc w:val="both"/>
      </w:pPr>
      <w:r w:rsidRPr="00D17E3C">
        <w:t>La profesora Martha Prieto Valdés ha destacado la importancia de esta legitimación extraordinaria: "La posibilidad de que el fiscal promueva el amparo en defensa de intereses públicos constituye una garantía adicional para la protección de los derechos fundamentales, especialmente en aquellos casos donde los afectados, por su situación de vulnerabilidad o por otras circunstancias, no están en condiciones de accionar por sí mismos".</w:t>
      </w:r>
    </w:p>
    <w:p w14:paraId="18036789" w14:textId="77777777" w:rsidR="00F51812" w:rsidRPr="00D17E3C" w:rsidRDefault="00F51812" w:rsidP="00D17E3C">
      <w:pPr>
        <w:pStyle w:val="Ttulo4"/>
        <w:jc w:val="both"/>
      </w:pPr>
      <w:r w:rsidRPr="00D17E3C">
        <w:t>2. Legitimación pasiva (artículo 11 de la Ley 153)</w:t>
      </w:r>
    </w:p>
    <w:p w14:paraId="55A7A6B2" w14:textId="77777777" w:rsidR="00F51812" w:rsidRPr="00D17E3C" w:rsidRDefault="00F51812" w:rsidP="00D17E3C">
      <w:pPr>
        <w:pStyle w:val="ds-markdown-paragraph"/>
        <w:jc w:val="both"/>
      </w:pPr>
      <w:r w:rsidRPr="00D17E3C">
        <w:t xml:space="preserve">El artículo 11 de la Ley 153 dispone que "pueden ser demandados en el proceso de amparo de los derechos constitucionales: a) los órganos del Estado, sus directivos, funcionarios o empleados, con motivo de la acción u omisión indebida de sus funciones; b) los particulares; c) los entes no estatales". Esta amplia legitimación pasiva responde a una concepción moderna de los derechos fundamentales, que reconoce su </w:t>
      </w:r>
      <w:r w:rsidRPr="00D17E3C">
        <w:rPr>
          <w:rStyle w:val="Textoennegrita"/>
        </w:rPr>
        <w:t>eficacia horizontal</w:t>
      </w:r>
      <w:r w:rsidRPr="00D17E3C">
        <w:t xml:space="preserve"> o </w:t>
      </w:r>
      <w:proofErr w:type="spellStart"/>
      <w:r w:rsidRPr="00D17E3C">
        <w:rPr>
          <w:rStyle w:val="nfasis"/>
        </w:rPr>
        <w:t>Drittwirkung</w:t>
      </w:r>
      <w:proofErr w:type="spellEnd"/>
      <w:r w:rsidRPr="00D17E3C">
        <w:t>, esto es, su capacidad para desplegar efectos en las relaciones entre particulares.</w:t>
      </w:r>
    </w:p>
    <w:p w14:paraId="1BB2CFC9" w14:textId="77777777" w:rsidR="00F51812" w:rsidRPr="00D17E3C" w:rsidRDefault="00F51812" w:rsidP="00D17E3C">
      <w:pPr>
        <w:pStyle w:val="ds-markdown-paragraph"/>
        <w:jc w:val="both"/>
      </w:pPr>
      <w:r w:rsidRPr="00D17E3C">
        <w:t xml:space="preserve">La inclusión de los particulares y entes no estatales como posibles sujetos pasivos del amparo constituye un avance significativo del constitucionalismo cubano. Como ha señalado el profesor </w:t>
      </w:r>
      <w:proofErr w:type="spellStart"/>
      <w:r w:rsidRPr="00D17E3C">
        <w:t>Villabella</w:t>
      </w:r>
      <w:proofErr w:type="spellEnd"/>
      <w:r w:rsidRPr="00D17E3C">
        <w:t xml:space="preserve"> Armengol, "el reconocimiento de la eficacia horizontal de los derechos fundamentales implica que estos no solo protegen al ciudadano frente al poder público, sino también frente a las agresiones que puedan provenir de otros particulares, especialmente cuando estos ocupan posiciones de poder o influencia en la sociedad".</w:t>
      </w:r>
    </w:p>
    <w:p w14:paraId="35DA12AF" w14:textId="77777777" w:rsidR="00F51812" w:rsidRPr="00D17E3C" w:rsidRDefault="00F51812" w:rsidP="00D17E3C">
      <w:pPr>
        <w:pStyle w:val="ds-markdown-paragraph"/>
        <w:jc w:val="both"/>
      </w:pPr>
      <w:r w:rsidRPr="00D17E3C">
        <w:t xml:space="preserve">La legitimación pasiva se determina en función de la </w:t>
      </w:r>
      <w:r w:rsidRPr="00D17E3C">
        <w:rPr>
          <w:rStyle w:val="Textoennegrita"/>
        </w:rPr>
        <w:t>imputabilidad</w:t>
      </w:r>
      <w:r w:rsidRPr="00D17E3C">
        <w:t xml:space="preserve"> de la vulneración. No basta con que el demandado sea mencionado en la demanda; es necesario que exista una relación razonable entre su actuación u omisión y la lesión del derecho. En el caso de los órganos del Estado, </w:t>
      </w:r>
      <w:r w:rsidRPr="00D17E3C">
        <w:lastRenderedPageBreak/>
        <w:t>la legitimación corresponde a la entidad pública de la que depende el funcionario o empleado presuntamente responsable, sin perjuicio de la eventual responsabilidad personal de este.</w:t>
      </w:r>
    </w:p>
    <w:p w14:paraId="0A0B940D" w14:textId="77777777" w:rsidR="00F51812" w:rsidRPr="00D17E3C" w:rsidRDefault="00F51812" w:rsidP="00D17E3C">
      <w:pPr>
        <w:pStyle w:val="Ttulo4"/>
        <w:jc w:val="both"/>
      </w:pPr>
      <w:r w:rsidRPr="00D17E3C">
        <w:t>3. Plazo para la interposición (artículo 14 de la Ley 153)</w:t>
      </w:r>
    </w:p>
    <w:p w14:paraId="793B6D58" w14:textId="77777777" w:rsidR="00F51812" w:rsidRPr="00D17E3C" w:rsidRDefault="00F51812" w:rsidP="00D17E3C">
      <w:pPr>
        <w:pStyle w:val="ds-markdown-paragraph"/>
        <w:jc w:val="both"/>
      </w:pPr>
      <w:r w:rsidRPr="00D17E3C">
        <w:t xml:space="preserve">El artículo 14 de la Ley 153 establece un plazo de </w:t>
      </w:r>
      <w:r w:rsidRPr="00D17E3C">
        <w:rPr>
          <w:rStyle w:val="Textoennegrita"/>
        </w:rPr>
        <w:t>90 días</w:t>
      </w:r>
      <w:r w:rsidRPr="00D17E3C">
        <w:t xml:space="preserve"> para la interposición de la demanda de amparo, contados "desde que el demandante conoció la vulneración del derecho constitucional". Este plazo, relativamente amplio en el derecho comparado —donde son frecuentes plazos de 30 o 60 días—, busca equilibrar la necesidad de certeza jurídica con la posibilidad real de acceso a la justicia.</w:t>
      </w:r>
    </w:p>
    <w:p w14:paraId="77DEB2C4" w14:textId="77777777" w:rsidR="00F51812" w:rsidRPr="00D17E3C" w:rsidRDefault="00F51812" w:rsidP="00D17E3C">
      <w:pPr>
        <w:pStyle w:val="ds-markdown-paragraph"/>
        <w:jc w:val="both"/>
      </w:pPr>
      <w:r w:rsidRPr="00D17E3C">
        <w:t xml:space="preserve">La determinación del momento en que el demandante </w:t>
      </w:r>
      <w:r w:rsidRPr="00D17E3C">
        <w:rPr>
          <w:rStyle w:val="Textoennegrita"/>
        </w:rPr>
        <w:t>conoció</w:t>
      </w:r>
      <w:r w:rsidRPr="00D17E3C">
        <w:t xml:space="preserve"> la vulneración es una cuestión fáctica que debe ser valorada en cada caso. No se trata del momento en que objetivamente se produjo la lesión, sino de aquel en que el afectado tuvo conocimiento de ella y de su carácter presuntamente lesivo. Este criterio, favorable al demandante, evita que el cómputo del plazo comience antes de que este pueda reaccionar.</w:t>
      </w:r>
    </w:p>
    <w:p w14:paraId="357CF553" w14:textId="77777777" w:rsidR="00F51812" w:rsidRPr="00D17E3C" w:rsidRDefault="00F51812" w:rsidP="00D17E3C">
      <w:pPr>
        <w:pStyle w:val="ds-markdown-paragraph"/>
        <w:jc w:val="both"/>
      </w:pPr>
      <w:r w:rsidRPr="00D17E3C">
        <w:t xml:space="preserve">Una previsión especialmente garantista es la contenida en el apartado 2 del artículo 14: "Para las personas que se encuentren en situación de vulnerabilidad u otras circunstancias que les impidan reclamar, el plazo de presentación de la reclamación se cuenta desde el momento en el que estuvieran en condiciones de hacerlo". Esta disposición, en línea con el principio </w:t>
      </w:r>
      <w:r w:rsidRPr="00D17E3C">
        <w:rPr>
          <w:rStyle w:val="nfasis"/>
        </w:rPr>
        <w:t>pro homine</w:t>
      </w:r>
      <w:r w:rsidRPr="00D17E3C">
        <w:t>, reconoce que determinadas situaciones —enfermedad, discapacidad, privación de libertad, etc.— pueden impedir el ejercicio oportuno del derecho de acción, y pospone el inicio del cómputo hasta que cesen tales circunstancias.</w:t>
      </w:r>
    </w:p>
    <w:p w14:paraId="15DC4F31" w14:textId="77777777" w:rsidR="00F51812" w:rsidRPr="00D17E3C" w:rsidRDefault="00F51812" w:rsidP="00D17E3C">
      <w:pPr>
        <w:pStyle w:val="ds-markdown-paragraph"/>
        <w:jc w:val="both"/>
      </w:pPr>
      <w:r w:rsidRPr="00D17E3C">
        <w:t xml:space="preserve">Además, el propio artículo 14 establece que "si la vulneración se mantiene en el tiempo, la demanda puede presentarse en cualquier momento mientras subsistan estas o sus efectos". Esta previsión, que recoge la doctrina de la </w:t>
      </w:r>
      <w:r w:rsidRPr="00D17E3C">
        <w:rPr>
          <w:rStyle w:val="Textoennegrita"/>
        </w:rPr>
        <w:t>vulneración continuada</w:t>
      </w:r>
      <w:r w:rsidRPr="00D17E3C">
        <w:t>, permite impugnar aquellas lesiones que se prolongan en el tiempo sin que el transcurso del plazo extinga la posibilidad de reclamar. Por ejemplo, una restricción migratoria indefinida o una ocupación ilegal de un inmueble que se mantiene en el tiempo pueden ser impugnadas en cualquier momento mientras persistan.</w:t>
      </w:r>
    </w:p>
    <w:p w14:paraId="3FD6BCB4" w14:textId="77777777" w:rsidR="00F51812" w:rsidRPr="00D17E3C" w:rsidRDefault="00F51812" w:rsidP="00D17E3C">
      <w:pPr>
        <w:pStyle w:val="Ttulo4"/>
        <w:jc w:val="both"/>
      </w:pPr>
      <w:r w:rsidRPr="00D17E3C">
        <w:t>4. Inexistencia de otra vía o concurrencia de trascendencia (artículo 5.2 de la Ley 153)</w:t>
      </w:r>
    </w:p>
    <w:p w14:paraId="2C121E2F" w14:textId="77777777" w:rsidR="00F51812" w:rsidRPr="00D17E3C" w:rsidRDefault="00F51812" w:rsidP="00D17E3C">
      <w:pPr>
        <w:pStyle w:val="ds-markdown-paragraph"/>
        <w:jc w:val="both"/>
      </w:pPr>
      <w:r w:rsidRPr="00D17E3C">
        <w:t>Este es, sin duda, el filtro más importante y el que más inadmisiones está generando en la práctica forense. Como hemos analizado en detalle en el epígrafe 4.1, el artículo 5.2 establece un modelo de amparo subsidiario: corresponde a la jurisdicción de amparo conocer de las demandas "que no tengan una vía de defensa propia en procesos judiciales de otra materia; salvo cuando, por la trascendencia jurídico-social de la vulneración alegada, se requiera de una actuación urgente y preferente".</w:t>
      </w:r>
    </w:p>
    <w:p w14:paraId="4E1CADEA" w14:textId="77777777" w:rsidR="00F51812" w:rsidRPr="00D17E3C" w:rsidRDefault="00F51812" w:rsidP="00D17E3C">
      <w:pPr>
        <w:pStyle w:val="ds-markdown-paragraph"/>
        <w:jc w:val="both"/>
      </w:pPr>
      <w:r w:rsidRPr="00D17E3C">
        <w:t>El demandante debe, pues, acreditar uno de los siguientes extremos:</w:t>
      </w:r>
    </w:p>
    <w:p w14:paraId="3D48D6BB" w14:textId="77777777" w:rsidR="00F51812" w:rsidRPr="00D17E3C" w:rsidRDefault="00F51812" w:rsidP="00D17E3C">
      <w:pPr>
        <w:pStyle w:val="ds-markdown-paragraph"/>
        <w:numPr>
          <w:ilvl w:val="0"/>
          <w:numId w:val="16"/>
        </w:numPr>
        <w:jc w:val="both"/>
      </w:pPr>
      <w:r w:rsidRPr="00D17E3C">
        <w:rPr>
          <w:rStyle w:val="Textoennegrita"/>
        </w:rPr>
        <w:t>Que no existe otra vía judicial</w:t>
      </w:r>
      <w:r w:rsidRPr="00D17E3C">
        <w:t xml:space="preserve"> para la defensa del derecho. Esto significa que el ordenamiento no prevé ningún proceso (civil, administrativo, laboral, penal) que permita </w:t>
      </w:r>
      <w:r w:rsidRPr="00D17E3C">
        <w:lastRenderedPageBreak/>
        <w:t>obtener la tutela de la pretensión que se deduce. La inexistencia debe ser absoluta, no meramente dificultosa o compleja.</w:t>
      </w:r>
    </w:p>
    <w:p w14:paraId="2E628CEA" w14:textId="77777777" w:rsidR="00F51812" w:rsidRPr="00D17E3C" w:rsidRDefault="00F51812" w:rsidP="00D17E3C">
      <w:pPr>
        <w:pStyle w:val="ds-markdown-paragraph"/>
        <w:numPr>
          <w:ilvl w:val="0"/>
          <w:numId w:val="16"/>
        </w:numPr>
        <w:jc w:val="both"/>
      </w:pPr>
      <w:r w:rsidRPr="00D17E3C">
        <w:rPr>
          <w:rStyle w:val="Textoennegrita"/>
        </w:rPr>
        <w:t>Que, existiendo otra vía, el caso tiene trascendencia jurídico-social</w:t>
      </w:r>
      <w:r w:rsidRPr="00D17E3C">
        <w:t xml:space="preserve"> y requiere una actuación urgente y preferente. En este supuesto, el demandante debe desplegar un "esfuerzo argumentativo" que conecte los hechos del caso con los criterios del artículo 5.3: significación jurídico-social, </w:t>
      </w:r>
      <w:proofErr w:type="spellStart"/>
      <w:r w:rsidRPr="00D17E3C">
        <w:t>irreparabilidad</w:t>
      </w:r>
      <w:proofErr w:type="spellEnd"/>
      <w:r w:rsidRPr="00D17E3C">
        <w:t xml:space="preserve"> del daño, situación de vulnerabilidad, entre otros.</w:t>
      </w:r>
    </w:p>
    <w:p w14:paraId="15C4C3B4" w14:textId="77777777" w:rsidR="00F51812" w:rsidRPr="00D17E3C" w:rsidRDefault="00F51812" w:rsidP="00D17E3C">
      <w:pPr>
        <w:pStyle w:val="ds-markdown-paragraph"/>
        <w:jc w:val="both"/>
      </w:pPr>
      <w:r w:rsidRPr="00D17E3C">
        <w:t>La jurisprudencia del Tribunal Supremo, especialmente la Sentencia No. 12-2024-1800-3430, ha establecido que la apreciación de la trascendencia debe realizarse "caso por caso" y que la mera existencia de una vía ordinaria, aunque sea compleja o lenta, no justifica por sí misma el acceso al amparo. Esta doctrina, restrictiva en su formulación, traslada al demandante una carga argumentativa cualificada que exige un conocimiento profundo de la ley y de la jurisprudencia.</w:t>
      </w:r>
    </w:p>
    <w:p w14:paraId="389489F0" w14:textId="77777777" w:rsidR="00F51812" w:rsidRPr="00D17E3C" w:rsidRDefault="00F51812" w:rsidP="00D17E3C">
      <w:pPr>
        <w:pStyle w:val="Ttulo4"/>
        <w:jc w:val="both"/>
      </w:pPr>
      <w:r w:rsidRPr="00D17E3C">
        <w:t>5. Postulación y requisitos formales (artículo 12 de la Ley 153)</w:t>
      </w:r>
    </w:p>
    <w:p w14:paraId="357C82D9" w14:textId="77777777" w:rsidR="00F51812" w:rsidRPr="00D17E3C" w:rsidRDefault="00F51812" w:rsidP="00D17E3C">
      <w:pPr>
        <w:pStyle w:val="ds-markdown-paragraph"/>
        <w:jc w:val="both"/>
      </w:pPr>
      <w:r w:rsidRPr="00D17E3C">
        <w:t xml:space="preserve">El artículo 12 de la Ley 153 establece los requisitos formales que debe cumplir la demanda de amparo. La demanda debe presentarse </w:t>
      </w:r>
      <w:r w:rsidRPr="00D17E3C">
        <w:rPr>
          <w:rStyle w:val="Textoennegrita"/>
        </w:rPr>
        <w:t>por escrito</w:t>
      </w:r>
      <w:r w:rsidRPr="00D17E3C">
        <w:t xml:space="preserve"> y contener:</w:t>
      </w:r>
    </w:p>
    <w:p w14:paraId="04B47D54" w14:textId="77777777" w:rsidR="00F51812" w:rsidRPr="00D17E3C" w:rsidRDefault="00F51812" w:rsidP="00D17E3C">
      <w:pPr>
        <w:pStyle w:val="ds-markdown-paragraph"/>
        <w:numPr>
          <w:ilvl w:val="0"/>
          <w:numId w:val="17"/>
        </w:numPr>
        <w:jc w:val="both"/>
      </w:pPr>
      <w:r w:rsidRPr="00D17E3C">
        <w:t>La identificación de las partes (demandante y demandado) y, en su caso, de sus representantes.</w:t>
      </w:r>
    </w:p>
    <w:p w14:paraId="1B389F5D" w14:textId="77777777" w:rsidR="00F51812" w:rsidRPr="00D17E3C" w:rsidRDefault="00F51812" w:rsidP="00D17E3C">
      <w:pPr>
        <w:pStyle w:val="ds-markdown-paragraph"/>
        <w:numPr>
          <w:ilvl w:val="0"/>
          <w:numId w:val="17"/>
        </w:numPr>
        <w:jc w:val="both"/>
      </w:pPr>
      <w:r w:rsidRPr="00D17E3C">
        <w:t>Los hechos en que se funda la pretensión, expuestos de manera clara y concisa.</w:t>
      </w:r>
    </w:p>
    <w:p w14:paraId="66466DD4" w14:textId="77777777" w:rsidR="00F51812" w:rsidRPr="00D17E3C" w:rsidRDefault="00F51812" w:rsidP="00D17E3C">
      <w:pPr>
        <w:pStyle w:val="ds-markdown-paragraph"/>
        <w:numPr>
          <w:ilvl w:val="0"/>
          <w:numId w:val="17"/>
        </w:numPr>
        <w:jc w:val="both"/>
      </w:pPr>
      <w:r w:rsidRPr="00D17E3C">
        <w:t>Los derechos constitucionales que se consideran vulnerados, con cita de los preceptos constitucionales correspondientes.</w:t>
      </w:r>
    </w:p>
    <w:p w14:paraId="36F03CF3" w14:textId="77777777" w:rsidR="00F51812" w:rsidRPr="00D17E3C" w:rsidRDefault="00F51812" w:rsidP="00D17E3C">
      <w:pPr>
        <w:pStyle w:val="ds-markdown-paragraph"/>
        <w:numPr>
          <w:ilvl w:val="0"/>
          <w:numId w:val="17"/>
        </w:numPr>
        <w:jc w:val="both"/>
      </w:pPr>
      <w:r w:rsidRPr="00D17E3C">
        <w:t>La pretensión concreta que se deduce, especificando la restitución o reparación que se solicita.</w:t>
      </w:r>
    </w:p>
    <w:p w14:paraId="395F1570" w14:textId="77777777" w:rsidR="00F51812" w:rsidRPr="00D17E3C" w:rsidRDefault="00F51812" w:rsidP="00D17E3C">
      <w:pPr>
        <w:pStyle w:val="ds-markdown-paragraph"/>
        <w:numPr>
          <w:ilvl w:val="0"/>
          <w:numId w:val="17"/>
        </w:numPr>
        <w:jc w:val="both"/>
      </w:pPr>
      <w:r w:rsidRPr="00D17E3C">
        <w:t>Las pruebas que se aportan o se proponen, con indicación de los medios de que pretenda valerse el demandante.</w:t>
      </w:r>
    </w:p>
    <w:p w14:paraId="0FC63764" w14:textId="77777777" w:rsidR="00F51812" w:rsidRPr="00D17E3C" w:rsidRDefault="00F51812" w:rsidP="00D17E3C">
      <w:pPr>
        <w:pStyle w:val="ds-markdown-paragraph"/>
        <w:numPr>
          <w:ilvl w:val="0"/>
          <w:numId w:val="17"/>
        </w:numPr>
        <w:jc w:val="both"/>
      </w:pPr>
      <w:r w:rsidRPr="00D17E3C">
        <w:t>El lugar y la fecha, y la firma del demandante o de su representante.</w:t>
      </w:r>
    </w:p>
    <w:p w14:paraId="4247B8AA" w14:textId="77777777" w:rsidR="00F51812" w:rsidRPr="00D17E3C" w:rsidRDefault="00F51812" w:rsidP="00D17E3C">
      <w:pPr>
        <w:pStyle w:val="ds-markdown-paragraph"/>
        <w:jc w:val="both"/>
      </w:pPr>
      <w:r w:rsidRPr="00D17E3C">
        <w:t xml:space="preserve">Además, la demanda debe cumplir con la carga de </w:t>
      </w:r>
      <w:r w:rsidRPr="00D17E3C">
        <w:rPr>
          <w:rStyle w:val="Textoennegrita"/>
        </w:rPr>
        <w:t>justificar la trascendencia jurídico-social</w:t>
      </w:r>
      <w:r w:rsidRPr="00D17E3C">
        <w:t xml:space="preserve"> del recurso cuando exista otra vía judicial. Esta justificación, como hemos visto, debe ser expresa y diferenciada de la argumentación sobre la existencia de la lesión.</w:t>
      </w:r>
    </w:p>
    <w:p w14:paraId="54843A95" w14:textId="77777777" w:rsidR="00F51812" w:rsidRPr="00D17E3C" w:rsidRDefault="00F51812" w:rsidP="00D17E3C">
      <w:pPr>
        <w:pStyle w:val="ds-markdown-paragraph"/>
        <w:jc w:val="both"/>
      </w:pPr>
      <w:r w:rsidRPr="00D17E3C">
        <w:t xml:space="preserve">El incumplimiento de estos requisitos formales puede dar lugar a la inadmisión de la demanda, aunque el artículo 12.3 prevé la posibilidad de subsanación: "Si la demanda no reúne los requisitos establecidos, el tribunal concederá un plazo de cinco días para su subsanación, con apercibimiento de que, de no hacerlo, se dictará auto de inadmisión". Esta previsión, en línea con el principio </w:t>
      </w:r>
      <w:r w:rsidRPr="00D17E3C">
        <w:rPr>
          <w:rStyle w:val="nfasis"/>
        </w:rPr>
        <w:t xml:space="preserve">pro </w:t>
      </w:r>
      <w:proofErr w:type="spellStart"/>
      <w:r w:rsidRPr="00D17E3C">
        <w:rPr>
          <w:rStyle w:val="nfasis"/>
        </w:rPr>
        <w:t>actione</w:t>
      </w:r>
      <w:proofErr w:type="spellEnd"/>
      <w:r w:rsidRPr="00D17E3C">
        <w:t>, permite corregir defectos formales que no afecten al fondo del asunto.</w:t>
      </w:r>
    </w:p>
    <w:p w14:paraId="6FC84463" w14:textId="77777777" w:rsidR="00F51812" w:rsidRPr="00D17E3C" w:rsidRDefault="00F51812" w:rsidP="00D17E3C">
      <w:pPr>
        <w:pStyle w:val="Ttulo3"/>
        <w:jc w:val="both"/>
      </w:pPr>
      <w:r w:rsidRPr="00D17E3C">
        <w:t>6.2. Presupuestos de fondo (para que la sentencia sea estimatoria)</w:t>
      </w:r>
    </w:p>
    <w:p w14:paraId="70F47722" w14:textId="77777777" w:rsidR="00F51812" w:rsidRPr="00D17E3C" w:rsidRDefault="00F51812" w:rsidP="00D17E3C">
      <w:pPr>
        <w:pStyle w:val="ds-markdown-paragraph"/>
        <w:jc w:val="both"/>
      </w:pPr>
      <w:r w:rsidRPr="00D17E3C">
        <w:t>Los presupuestos de fondo son los elementos que el demandante debe probar para que el tribunal estime su pretensión y otorgue el amparo. A diferencia de los presupuestos de admisibilidad, que operan como filtros de entrada, estos presupuestos se refieren al contenido mismo de la pretensión y su valoración determina el sentido del fallo.</w:t>
      </w:r>
    </w:p>
    <w:p w14:paraId="6D8B4637" w14:textId="77777777" w:rsidR="00F51812" w:rsidRPr="00D17E3C" w:rsidRDefault="00F51812" w:rsidP="00D17E3C">
      <w:pPr>
        <w:pStyle w:val="Ttulo4"/>
        <w:jc w:val="both"/>
      </w:pPr>
      <w:r w:rsidRPr="00D17E3C">
        <w:lastRenderedPageBreak/>
        <w:t>1. Vulneración de un derecho constitucional</w:t>
      </w:r>
    </w:p>
    <w:p w14:paraId="1311975B" w14:textId="77777777" w:rsidR="00F51812" w:rsidRPr="00D17E3C" w:rsidRDefault="00F51812" w:rsidP="00D17E3C">
      <w:pPr>
        <w:pStyle w:val="ds-markdown-paragraph"/>
        <w:jc w:val="both"/>
      </w:pPr>
      <w:r w:rsidRPr="00D17E3C">
        <w:t xml:space="preserve">El presupuesto fundamental del amparo es la existencia de una </w:t>
      </w:r>
      <w:r w:rsidRPr="00D17E3C">
        <w:rPr>
          <w:rStyle w:val="Textoennegrita"/>
        </w:rPr>
        <w:t>vulneración actual</w:t>
      </w:r>
      <w:r w:rsidRPr="00D17E3C">
        <w:t xml:space="preserve"> de un derecho reconocido en la Constitución. No basta con invocar el derecho de manera abstracta; es necesario demostrar cómo el acto u omisión impugnados han afectado la esfera jurídica del demandante en relación con ese derecho.</w:t>
      </w:r>
    </w:p>
    <w:p w14:paraId="24E83CC7" w14:textId="77777777" w:rsidR="00F51812" w:rsidRPr="00D17E3C" w:rsidRDefault="00F51812" w:rsidP="00D17E3C">
      <w:pPr>
        <w:pStyle w:val="ds-markdown-paragraph"/>
        <w:jc w:val="both"/>
      </w:pPr>
      <w:r w:rsidRPr="00D17E3C">
        <w:t xml:space="preserve">La vulneración debe ser </w:t>
      </w:r>
      <w:r w:rsidRPr="00D17E3C">
        <w:rPr>
          <w:rStyle w:val="Textoennegrita"/>
        </w:rPr>
        <w:t>actual</w:t>
      </w:r>
      <w:r w:rsidRPr="00D17E3C">
        <w:t>, es decir, debe existir en el momento de interponerse la demanda. Sin embargo, como hemos visto, el artículo 14 permite impugnar vulneraciones continuadas mientras subsistan, y las medidas cautelares del artículo 16 permiten actuar frente a amenazas inminentes.</w:t>
      </w:r>
    </w:p>
    <w:p w14:paraId="7C70530A" w14:textId="77777777" w:rsidR="00F51812" w:rsidRPr="00D17E3C" w:rsidRDefault="00F51812" w:rsidP="00D17E3C">
      <w:pPr>
        <w:pStyle w:val="ds-markdown-paragraph"/>
        <w:jc w:val="both"/>
      </w:pPr>
      <w:r w:rsidRPr="00D17E3C">
        <w:t xml:space="preserve">La determinación de lo que constituye una vulneración constitucionalmente relevante exige un análisis cuidadoso. No toda infracción legal afecta a un derecho constitucional; es necesario que la lesión incida en el </w:t>
      </w:r>
      <w:r w:rsidRPr="00D17E3C">
        <w:rPr>
          <w:rStyle w:val="Textoennegrita"/>
        </w:rPr>
        <w:t>contenido esencial</w:t>
      </w:r>
      <w:r w:rsidRPr="00D17E3C">
        <w:t xml:space="preserve"> del derecho o que, al menos, suponga una afectación significativa del mismo. Como ha señalado el Dr. Amed Ramírez Sánchez, "la clave está en diferenciar la mera vulneración de la legalidad ordinaria de la afectación al contenido esencial de un derecho constitucional. No es lo mismo una infracción de un reglamento que un acto que vacía de contenido un derecho fundamental".</w:t>
      </w:r>
    </w:p>
    <w:p w14:paraId="7C2EA209" w14:textId="77777777" w:rsidR="00F51812" w:rsidRPr="00D17E3C" w:rsidRDefault="00F51812" w:rsidP="00D17E3C">
      <w:pPr>
        <w:pStyle w:val="Ttulo4"/>
        <w:jc w:val="both"/>
      </w:pPr>
      <w:r w:rsidRPr="00D17E3C">
        <w:t>2. Imputabilidad</w:t>
      </w:r>
    </w:p>
    <w:p w14:paraId="240B39C5" w14:textId="77777777" w:rsidR="00F51812" w:rsidRPr="00D17E3C" w:rsidRDefault="00F51812" w:rsidP="00D17E3C">
      <w:pPr>
        <w:pStyle w:val="ds-markdown-paragraph"/>
        <w:jc w:val="both"/>
      </w:pPr>
      <w:r w:rsidRPr="00D17E3C">
        <w:t xml:space="preserve">La vulneración debe ser </w:t>
      </w:r>
      <w:r w:rsidRPr="00D17E3C">
        <w:rPr>
          <w:rStyle w:val="Textoennegrita"/>
        </w:rPr>
        <w:t>imputable</w:t>
      </w:r>
      <w:r w:rsidRPr="00D17E3C">
        <w:t xml:space="preserve"> al demandado, esto es, debe existir una relación de causalidad entre la acción u omisión de este y la lesión del derecho. La imputabilidad se determina en función de la posición que ocupa el demandado y de su capacidad para producir el resultado lesivo.</w:t>
      </w:r>
    </w:p>
    <w:p w14:paraId="5DB3EFD7" w14:textId="77777777" w:rsidR="00F51812" w:rsidRPr="00D17E3C" w:rsidRDefault="00F51812" w:rsidP="00D17E3C">
      <w:pPr>
        <w:pStyle w:val="ds-markdown-paragraph"/>
        <w:jc w:val="both"/>
      </w:pPr>
      <w:r w:rsidRPr="00D17E3C">
        <w:t>En el caso de los órganos del Estado, la imputabilidad se extiende a las actuaciones de sus directivos, funcionarios y empleados realizadas con motivo de sus funciones. El Estado responde, pues, por las actuaciones de quienes actúan en su nombre, con independencia de que exista o no responsabilidad personal del funcionario.</w:t>
      </w:r>
    </w:p>
    <w:p w14:paraId="5B04EA90" w14:textId="77777777" w:rsidR="00F51812" w:rsidRPr="00D17E3C" w:rsidRDefault="00F51812" w:rsidP="00D17E3C">
      <w:pPr>
        <w:pStyle w:val="ds-markdown-paragraph"/>
        <w:jc w:val="both"/>
      </w:pPr>
      <w:r w:rsidRPr="00D17E3C">
        <w:t>En el caso de los particulares y entes no estatales, la imputabilidad requiere que el demandado tenga capacidad para producir la lesión y que esta sea consecuencia directa de su actuación. Por ejemplo, en el caso del particular que corta el suministro eléctrico a su vecino, la imputabilidad resulta evidente; en otros supuestos, puede ser necesario analizar la posición de dominio o la influencia del demandado sobre la situación lesiva.</w:t>
      </w:r>
    </w:p>
    <w:p w14:paraId="66A77FE2" w14:textId="77777777" w:rsidR="00F51812" w:rsidRPr="00D17E3C" w:rsidRDefault="00F51812" w:rsidP="00D17E3C">
      <w:pPr>
        <w:pStyle w:val="Ttulo4"/>
        <w:jc w:val="both"/>
      </w:pPr>
      <w:r w:rsidRPr="00D17E3C">
        <w:t>3. Daño o perjuicio</w:t>
      </w:r>
    </w:p>
    <w:p w14:paraId="42E1FEAE" w14:textId="77777777" w:rsidR="00F51812" w:rsidRPr="00D17E3C" w:rsidRDefault="00F51812" w:rsidP="00D17E3C">
      <w:pPr>
        <w:pStyle w:val="ds-markdown-paragraph"/>
        <w:jc w:val="both"/>
      </w:pPr>
      <w:r w:rsidRPr="00D17E3C">
        <w:t>El artículo 99 de la Constitución exige que, como consecuencia de la vulneración, la persona "sufriere daños o perjuicios". La Ley 153 mantiene esta exigencia, aunque el artículo 16 permite adoptar medidas cautelares frente a amenazas fundadas de vulneración.</w:t>
      </w:r>
    </w:p>
    <w:p w14:paraId="72F44388" w14:textId="77777777" w:rsidR="00F51812" w:rsidRPr="00D17E3C" w:rsidRDefault="00F51812" w:rsidP="00D17E3C">
      <w:pPr>
        <w:pStyle w:val="ds-markdown-paragraph"/>
        <w:jc w:val="both"/>
      </w:pPr>
      <w:r w:rsidRPr="00D17E3C">
        <w:t>El daño puede ser de dos tipos:</w:t>
      </w:r>
    </w:p>
    <w:p w14:paraId="1FCFAEF2" w14:textId="77777777" w:rsidR="00F51812" w:rsidRPr="00D17E3C" w:rsidRDefault="00F51812" w:rsidP="00D17E3C">
      <w:pPr>
        <w:pStyle w:val="ds-markdown-paragraph"/>
        <w:numPr>
          <w:ilvl w:val="0"/>
          <w:numId w:val="18"/>
        </w:numPr>
        <w:jc w:val="both"/>
      </w:pPr>
      <w:r w:rsidRPr="00D17E3C">
        <w:rPr>
          <w:rStyle w:val="Textoennegrita"/>
        </w:rPr>
        <w:lastRenderedPageBreak/>
        <w:t>Daño material</w:t>
      </w:r>
      <w:r w:rsidRPr="00D17E3C">
        <w:t>: comprende los perjuicios económicos o patrimoniales derivados de la vulneración. Puede incluir tanto el daño emergente (lo efectivamente perdido) como el lucro cesante (lo que se ha dejado de ganar).</w:t>
      </w:r>
    </w:p>
    <w:p w14:paraId="7D773B2C" w14:textId="77777777" w:rsidR="00F51812" w:rsidRPr="00D17E3C" w:rsidRDefault="00F51812" w:rsidP="00D17E3C">
      <w:pPr>
        <w:pStyle w:val="ds-markdown-paragraph"/>
        <w:numPr>
          <w:ilvl w:val="0"/>
          <w:numId w:val="18"/>
        </w:numPr>
        <w:jc w:val="both"/>
      </w:pPr>
      <w:r w:rsidRPr="00D17E3C">
        <w:rPr>
          <w:rStyle w:val="Textoennegrita"/>
        </w:rPr>
        <w:t>Daño moral</w:t>
      </w:r>
      <w:r w:rsidRPr="00D17E3C">
        <w:t>: afecta a la esfera espiritual o afectiva de la persona, a su honor, su intimidad, su imagen o sus sentimientos. La reparación del daño moral puede adoptar diversas formas: indemnización económica, retractación pública, disculpas, etc.</w:t>
      </w:r>
    </w:p>
    <w:p w14:paraId="62260F34" w14:textId="77777777" w:rsidR="00F51812" w:rsidRPr="00D17E3C" w:rsidRDefault="00F51812" w:rsidP="00D17E3C">
      <w:pPr>
        <w:pStyle w:val="ds-markdown-paragraph"/>
        <w:jc w:val="both"/>
      </w:pPr>
      <w:r w:rsidRPr="00D17E3C">
        <w:t>La acreditación del daño exige una prueba suficiente de su existencia y de su relación con la vulneración. En el caso del daño moral, por su propia naturaleza, la prueba puede ser más compleja, admitiéndose presunciones o indicios cuando resulte difícil una acreditación directa.</w:t>
      </w:r>
    </w:p>
    <w:p w14:paraId="6922206B" w14:textId="77777777" w:rsidR="00F51812" w:rsidRPr="00D17E3C" w:rsidRDefault="00F51812" w:rsidP="00D17E3C">
      <w:pPr>
        <w:pStyle w:val="Ttulo4"/>
        <w:jc w:val="both"/>
      </w:pPr>
      <w:r w:rsidRPr="00D17E3C">
        <w:t>4. Relación de causalidad</w:t>
      </w:r>
    </w:p>
    <w:p w14:paraId="5D42A39A" w14:textId="77777777" w:rsidR="00F51812" w:rsidRPr="00D17E3C" w:rsidRDefault="00F51812" w:rsidP="00D17E3C">
      <w:pPr>
        <w:pStyle w:val="ds-markdown-paragraph"/>
        <w:jc w:val="both"/>
      </w:pPr>
      <w:r w:rsidRPr="00D17E3C">
        <w:t xml:space="preserve">Debe existir una </w:t>
      </w:r>
      <w:r w:rsidRPr="00D17E3C">
        <w:rPr>
          <w:rStyle w:val="Textoennegrita"/>
        </w:rPr>
        <w:t>conexión lógica y jurídica</w:t>
      </w:r>
      <w:r w:rsidRPr="00D17E3C">
        <w:t xml:space="preserve"> entre la acción u omisión del demandado y el daño sufrido por el demandante. La relación de causalidad no tiene por qué ser exclusiva —pueden concurrir otras causas—, pero sí debe ser determinante: sin la actuación del demandado, el daño no se habría producido.</w:t>
      </w:r>
    </w:p>
    <w:p w14:paraId="608B3903" w14:textId="77777777" w:rsidR="00F51812" w:rsidRPr="00D17E3C" w:rsidRDefault="00F51812" w:rsidP="00D17E3C">
      <w:pPr>
        <w:pStyle w:val="ds-markdown-paragraph"/>
        <w:jc w:val="both"/>
      </w:pPr>
      <w:r w:rsidRPr="00D17E3C">
        <w:t>La jurisprudencia comparada ha desarrollado diversas teorías sobre la causalidad (causalidad adecuada, imputación objetiva, etc.) que pueden servir de orientación para los tribunales cubanos. En todo caso, la relación de causalidad debe apreciarse con flexibilidad, evitando exigencias desproporcionadas que hagan imposible la reparación.</w:t>
      </w:r>
    </w:p>
    <w:p w14:paraId="581721C6" w14:textId="77777777" w:rsidR="00F51812" w:rsidRPr="00D17E3C" w:rsidRDefault="00F51812" w:rsidP="00D17E3C">
      <w:pPr>
        <w:pStyle w:val="Ttulo4"/>
        <w:jc w:val="both"/>
      </w:pPr>
      <w:r w:rsidRPr="00D17E3C">
        <w:t>5. La pretensión y las formas de reparación</w:t>
      </w:r>
    </w:p>
    <w:p w14:paraId="0A77822C" w14:textId="77777777" w:rsidR="00F51812" w:rsidRPr="00D17E3C" w:rsidRDefault="00F51812" w:rsidP="00D17E3C">
      <w:pPr>
        <w:pStyle w:val="ds-markdown-paragraph"/>
        <w:jc w:val="both"/>
      </w:pPr>
      <w:r w:rsidRPr="00D17E3C">
        <w:t>La Ley 153, en su artículo 39, establece que la sentencia estimatoria contendrá "la declaración de vulneración del derecho constitucional, la restitución del derecho y, en su caso, la reparación de los daños y perjuicios causados". Las formas de reparación pueden ser muy variadas, como ha puesto de relieve el Dr. Amed Ramírez Sánchez en sus análisis: restitución, indemnización, reparaciones simbólicas, garantías de no repetición, entre otras.</w:t>
      </w:r>
    </w:p>
    <w:p w14:paraId="25C99246" w14:textId="77777777" w:rsidR="00F51812" w:rsidRPr="00D17E3C" w:rsidRDefault="00F51812" w:rsidP="00D17E3C">
      <w:pPr>
        <w:pStyle w:val="ds-markdown-paragraph"/>
        <w:jc w:val="both"/>
      </w:pPr>
      <w:r w:rsidRPr="00D17E3C">
        <w:t xml:space="preserve">La </w:t>
      </w:r>
      <w:r w:rsidRPr="00D17E3C">
        <w:rPr>
          <w:rStyle w:val="Textoennegrita"/>
        </w:rPr>
        <w:t>restitución</w:t>
      </w:r>
      <w:r w:rsidRPr="00D17E3C">
        <w:t xml:space="preserve"> es la forma primaria de reparación: se trata de reponer las cosas al estado anterior a la vulneración. Por ejemplo, la reincorporación al puesto de trabajo, la devolución de un bien indebidamente ocupado, o la restauración del suministro eléctrico.</w:t>
      </w:r>
    </w:p>
    <w:p w14:paraId="40FD5B6D" w14:textId="77777777" w:rsidR="00F51812" w:rsidRPr="00D17E3C" w:rsidRDefault="00F51812" w:rsidP="00D17E3C">
      <w:pPr>
        <w:pStyle w:val="ds-markdown-paragraph"/>
        <w:jc w:val="both"/>
      </w:pPr>
      <w:r w:rsidRPr="00D17E3C">
        <w:t xml:space="preserve">La </w:t>
      </w:r>
      <w:r w:rsidRPr="00D17E3C">
        <w:rPr>
          <w:rStyle w:val="Textoennegrita"/>
        </w:rPr>
        <w:t>indemnización</w:t>
      </w:r>
      <w:r w:rsidRPr="00D17E3C">
        <w:t xml:space="preserve"> procede cuando la restitución no es posible o es insuficiente para reparar íntegramente el daño. Debe cubrir tanto el daño material como el moral, y su cuantía se determinará en función de la prueba practicada y de las circunstancias del caso.</w:t>
      </w:r>
    </w:p>
    <w:p w14:paraId="52A92FD3" w14:textId="77777777" w:rsidR="00F51812" w:rsidRPr="00D17E3C" w:rsidRDefault="00F51812" w:rsidP="00D17E3C">
      <w:pPr>
        <w:pStyle w:val="ds-markdown-paragraph"/>
        <w:jc w:val="both"/>
      </w:pPr>
      <w:r w:rsidRPr="00D17E3C">
        <w:t xml:space="preserve">Las </w:t>
      </w:r>
      <w:r w:rsidRPr="00D17E3C">
        <w:rPr>
          <w:rStyle w:val="Textoennegrita"/>
        </w:rPr>
        <w:t>reparaciones simbólicas</w:t>
      </w:r>
      <w:r w:rsidRPr="00D17E3C">
        <w:t xml:space="preserve"> (retractación pública, disculpas, reconocimiento de la responsabilidad) son especialmente relevantes en casos de daño moral o cuando la vulneración ha afectado a la dignidad de la persona. El ordenamiento cubano admite expresamente estas formas de reparación, como se aprecia en alguna de las demandas analizadas que solicitaban la retractación pública del funcionario que había injuriado al demandante.</w:t>
      </w:r>
    </w:p>
    <w:p w14:paraId="3F9C9994" w14:textId="77777777" w:rsidR="00F51812" w:rsidRPr="00D17E3C" w:rsidRDefault="00F51812" w:rsidP="00D17E3C">
      <w:pPr>
        <w:pStyle w:val="ds-markdown-paragraph"/>
        <w:jc w:val="both"/>
      </w:pPr>
      <w:r w:rsidRPr="00D17E3C">
        <w:lastRenderedPageBreak/>
        <w:t xml:space="preserve">Las </w:t>
      </w:r>
      <w:r w:rsidRPr="00D17E3C">
        <w:rPr>
          <w:rStyle w:val="Textoennegrita"/>
        </w:rPr>
        <w:t>garantías de no repetición</w:t>
      </w:r>
      <w:r w:rsidRPr="00D17E3C">
        <w:t xml:space="preserve"> tienen un carácter preventivo y prospectivo: buscan asegurar que la vulneración no se reproduzca en el futuro. Pueden incluir la modificación de prácticas administrativas, la adopción de medidas de formación para funcionarios, o el cambio de normativas lesivas.</w:t>
      </w:r>
    </w:p>
    <w:p w14:paraId="75BC9A21" w14:textId="77777777" w:rsidR="00F51812" w:rsidRPr="00D17E3C" w:rsidRDefault="00F51812" w:rsidP="00D17E3C">
      <w:pPr>
        <w:pStyle w:val="ds-markdown-paragraph"/>
        <w:jc w:val="both"/>
      </w:pPr>
      <w:r w:rsidRPr="00D17E3C">
        <w:t xml:space="preserve">En todo caso, la sentencia de amparo debe ser </w:t>
      </w:r>
      <w:r w:rsidRPr="00D17E3C">
        <w:rPr>
          <w:rStyle w:val="Textoennegrita"/>
        </w:rPr>
        <w:t>efectiva</w:t>
      </w:r>
      <w:r w:rsidRPr="00D17E3C">
        <w:t>. El artículo 40 de la Ley 153 establece que "las sentencias dictadas en proceso de amparo son de obligado cumplimiento y se ejecutarán de inmediato". Esta previsión, que atribuye al propio tribunal de amparo la facultad de ejecutar sus resoluciones, refuerza la eficacia del proceso y evita que la sentencia se convierta en una declaración estéril.</w:t>
      </w:r>
    </w:p>
    <w:p w14:paraId="5F71DC3F" w14:textId="77777777" w:rsidR="00F51812" w:rsidRPr="00D17E3C" w:rsidRDefault="00F51812" w:rsidP="00D17E3C">
      <w:pPr>
        <w:pStyle w:val="ds-markdown-paragraph"/>
        <w:jc w:val="both"/>
      </w:pPr>
      <w:r w:rsidRPr="00D17E3C">
        <w:t>La profesora Martha Prieto Valdés ha insistido en esta idea: "La efectividad de la sentencia es la prueba definitiva de la eficacia del amparo. De nada sirve una sentencia estimatoria si luego no se ejecuta o su cumplimiento se dilata en el tiempo. Por eso la ley ha previsto mecanismos de ejecución inmediata y ha atribuido al propio tribunal la facultad de hacer cumplir sus resoluciones".</w:t>
      </w:r>
    </w:p>
    <w:p w14:paraId="5A34DD1F"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6.3. Causas de inadmisión en la jurisprudencia</w:t>
      </w:r>
    </w:p>
    <w:p w14:paraId="01F12776"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análisis de los primeros autos dictados por las Salas de Amparo, así como de la escasa pero significativa jurisprudencia del Tribunal Supremo Popular, permite identificar las causas más frecuentes de inadmisión de las demandas de amparo. Estas resoluciones, aunque limitadas en número, revelan los criterios interpretativos que están aplicando los tribunales y ofrecen valiosas lecciones para la práctica forense y para la comprensión del alcance real del proceso constitucional.</w:t>
      </w:r>
    </w:p>
    <w:p w14:paraId="1B839B95"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Existencia de vía administrativa no agotada: el Auto No. 1/2023 de Matanzas</w:t>
      </w:r>
    </w:p>
    <w:p w14:paraId="22F46213"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El </w:t>
      </w:r>
      <w:r w:rsidRPr="00D17E3C">
        <w:rPr>
          <w:rFonts w:ascii="Times New Roman" w:eastAsia="Times New Roman" w:hAnsi="Times New Roman" w:cs="Times New Roman"/>
          <w:b/>
          <w:bCs/>
          <w:sz w:val="24"/>
          <w:szCs w:val="24"/>
          <w:lang w:eastAsia="es-ES"/>
        </w:rPr>
        <w:t>Auto No. 1 de 2023</w:t>
      </w:r>
      <w:r w:rsidRPr="00D17E3C">
        <w:rPr>
          <w:rFonts w:ascii="Times New Roman" w:eastAsia="Times New Roman" w:hAnsi="Times New Roman" w:cs="Times New Roman"/>
          <w:sz w:val="24"/>
          <w:szCs w:val="24"/>
          <w:lang w:eastAsia="es-ES"/>
        </w:rPr>
        <w:t xml:space="preserve">, dictado por la Sala de Amparo del Tribunal Provincial Popular de Matanzas, constituye un ejemplo paradigmático de aplicación del principio de subsidiariedad. En este caso, la Sra. Yanet </w:t>
      </w:r>
      <w:proofErr w:type="spellStart"/>
      <w:r w:rsidRPr="00D17E3C">
        <w:rPr>
          <w:rFonts w:ascii="Times New Roman" w:eastAsia="Times New Roman" w:hAnsi="Times New Roman" w:cs="Times New Roman"/>
          <w:sz w:val="24"/>
          <w:szCs w:val="24"/>
          <w:lang w:eastAsia="es-ES"/>
        </w:rPr>
        <w:t>Bisset</w:t>
      </w:r>
      <w:proofErr w:type="spellEnd"/>
      <w:r w:rsidRPr="00D17E3C">
        <w:rPr>
          <w:rFonts w:ascii="Times New Roman" w:eastAsia="Times New Roman" w:hAnsi="Times New Roman" w:cs="Times New Roman"/>
          <w:sz w:val="24"/>
          <w:szCs w:val="24"/>
          <w:lang w:eastAsia="es-ES"/>
        </w:rPr>
        <w:t xml:space="preserve"> de Armas demandaba a la Organización Básica Eléctrica de Cárdenas y a un particular, porque este último le había cortado el suministro eléctrico y la empresa se negaba a realizar una nueva acometida. La demandante alegaba vulneración de los derechos a la alimentación, recreación, hogar adecuado y servicios básicos de calidad.</w:t>
      </w:r>
    </w:p>
    <w:p w14:paraId="14632D33"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tribunal inadmitió la demanda argumentando que el conflicto tenía una vía de defensa propia en el proceso administrativo (Ley 142/2021) y que debían agotarse previamente los trámites administrativos y civiles —como el cese de convivencia— para determinar el estatus jurídico de la demandante en el inmueble. Señaló el auto:</w:t>
      </w:r>
    </w:p>
    <w:p w14:paraId="3BC9BD24" w14:textId="77777777" w:rsidR="00886789" w:rsidRPr="00D17E3C" w:rsidRDefault="00886789" w:rsidP="00D17E3C">
      <w:pPr>
        <w:spacing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"Una vez identificada la existencia de una vía de defensa propia para la tramitación judicial de este tipo de conflictos; resulta oportuno aclarar que no desconocen los jueces la sensibilidad del asunto que se reclama, no obstante, pretende quien acciona se subrogue esta Sala en lugar y grado de la jurisdicción y competencia administrativa."</w:t>
      </w:r>
    </w:p>
    <w:p w14:paraId="4569F016"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Este auto revela una aplicación estricta del artículo 5.2, que exige que el demandante acredite la inexistencia de otra vía judicial. Sin embargo, también plantea interrogantes sobre la efectividad de la tutela: la necesidad de agotar múltiples vías (administrativa, civil) puede dilatar la protección </w:t>
      </w:r>
      <w:r w:rsidRPr="00D17E3C">
        <w:rPr>
          <w:rFonts w:ascii="Times New Roman" w:eastAsia="Times New Roman" w:hAnsi="Times New Roman" w:cs="Times New Roman"/>
          <w:sz w:val="24"/>
          <w:szCs w:val="24"/>
          <w:lang w:eastAsia="es-ES"/>
        </w:rPr>
        <w:lastRenderedPageBreak/>
        <w:t>del derecho a servicios básicos, afectando gravemente la calidad de vida de la demandante. La situación de vulnerabilidad —una familia con personas de edad avanzada—, aunque mencionada en los hechos, no fue considerada suficiente para activar la excepción de trascendencia.</w:t>
      </w:r>
    </w:p>
    <w:p w14:paraId="0C2C45F3"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Falta de trascendencia jurídico-social: la Sentencia 12/2024 del Tribunal Supremo</w:t>
      </w:r>
    </w:p>
    <w:p w14:paraId="19843978"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w:t>
      </w:r>
      <w:r w:rsidRPr="00D17E3C">
        <w:rPr>
          <w:rFonts w:ascii="Times New Roman" w:eastAsia="Times New Roman" w:hAnsi="Times New Roman" w:cs="Times New Roman"/>
          <w:b/>
          <w:bCs/>
          <w:sz w:val="24"/>
          <w:szCs w:val="24"/>
          <w:lang w:eastAsia="es-ES"/>
        </w:rPr>
        <w:t>Sentencia No. 12-2024-1800-3430</w:t>
      </w:r>
      <w:r w:rsidRPr="00D17E3C">
        <w:rPr>
          <w:rFonts w:ascii="Times New Roman" w:eastAsia="Times New Roman" w:hAnsi="Times New Roman" w:cs="Times New Roman"/>
          <w:sz w:val="24"/>
          <w:szCs w:val="24"/>
          <w:lang w:eastAsia="es-ES"/>
        </w:rPr>
        <w:t>, de 22 de octubre de 2024, dictada por la Sala de Amparo del Tribunal Supremo Popular, constituye el pronunciamiento de más alto nivel sobre el concepto de trascendencia jurídico-social. El caso involucraba a la Sra. Mirtha Villa Portales, viuda del fallecido promovente, quien demandaba la ejecución de una resolución administrativa de vivienda que ordenaba desalojar a unos ocupantes ilegales. Habían transcurrido más de ocho años sin que la administración actuara, y la demandante alegaba vulneración del derecho a una vivienda adecuada, a la propiedad, a la protección a la familia y a un procedimiento sin dilaciones indebidas.</w:t>
      </w:r>
    </w:p>
    <w:p w14:paraId="009D814C"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Tribunal Supremo desestimó el recurso de apelación y confirmó la inadmisión, argumentando que el conflicto era, en esencia, un problema de ejecución de una decisión administrativa, para lo que estaba reservado su conocimiento en otro orden jurisdiccional (lo contencioso-administrativo). Sobre la trascendencia, señaló:</w:t>
      </w:r>
    </w:p>
    <w:p w14:paraId="3575E5C6" w14:textId="77777777" w:rsidR="00886789" w:rsidRPr="00D17E3C" w:rsidRDefault="00886789" w:rsidP="00D17E3C">
      <w:pPr>
        <w:spacing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"aun cuando se trata de un concepto indeterminado, este tiene que tener su expresión en cada caso, coherente con las particularidades específicas del proceso de amparo constitucional, que debe ser preferente, expedito y concentrado, y sentado que el diferendo es una cuestión en esencia relacionada con la ejecución de una decisión administrativa, para el que está reservado su conocimiento en otro orden jurisdiccional, es evidente que no clasifica en la especial situación que se conceptualiza en el mencionado Artículo 5, apartado 3."</w:t>
      </w:r>
    </w:p>
    <w:p w14:paraId="06FCBA5F"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Esta sentencia establece una doctrina clara: el amparo no es un proceso supletorio de la ineficacia de la administración ni de la lentitud de la justicia ordinaria. La subsidiariedad es la regla, y la trascendencia, la excepción, pero una excepción que debe justificarse en la naturaleza misma del derecho vulnerado y en la necesidad de una tutela "preferente, expedita y concentrada", características que no suelen darse en los conflictos sobre ejecución de actos administrativos.</w:t>
      </w:r>
    </w:p>
    <w:p w14:paraId="28867A7F"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Sin embargo, la decisión también plantea interrogantes. La demora de ocho años en ejecutar una resolución administrativa, unida a la situación de vulnerabilidad de la familia afectada, ¿no configura una vulneración autónoma del derecho a un procedimiento sin dilaciones indebidas (artículo 94) y del derecho a la tutela judicial efectiva (artículo 92)? La respuesta del Tribunal Supremo parece negativa, pero la cuestión queda abierta al debate doctrinal.</w:t>
      </w:r>
    </w:p>
    <w:p w14:paraId="4A162584"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Falta de legitimación</w:t>
      </w:r>
    </w:p>
    <w:p w14:paraId="4EAA0874"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Otra causa frecuente de inadmisión es la falta de legitimación activa, esto es, que quien demanda no acredita su condición de persona agraviada. Esta causa puede presentarse en diversas modalidades:</w:t>
      </w:r>
    </w:p>
    <w:p w14:paraId="6C131943" w14:textId="77777777" w:rsidR="00886789" w:rsidRPr="00D17E3C" w:rsidRDefault="00886789" w:rsidP="00D17E3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Cuando quien demanda no es el titular del derecho que se dice vulnerado, sino un tercero sin interés legítimo.</w:t>
      </w:r>
    </w:p>
    <w:p w14:paraId="33BD185A" w14:textId="77777777" w:rsidR="00886789" w:rsidRPr="00D17E3C" w:rsidRDefault="00886789" w:rsidP="00D17E3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lastRenderedPageBreak/>
        <w:t>Cuando la persona jurídica demandante no acredita la representación suficiente de quien firma la demanda.</w:t>
      </w:r>
    </w:p>
    <w:p w14:paraId="785BF5A8" w14:textId="77777777" w:rsidR="00886789" w:rsidRPr="00D17E3C" w:rsidRDefault="00886789" w:rsidP="00D17E3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Cuando se demanda en nombre de un colectivo o grupo sin la debida representación o sin acreditar la afectación individualizada.</w:t>
      </w:r>
    </w:p>
    <w:p w14:paraId="7AEC1A60"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jurisprudencia comparada ha desarrollado el concepto de </w:t>
      </w:r>
      <w:r w:rsidRPr="00D17E3C">
        <w:rPr>
          <w:rFonts w:ascii="Times New Roman" w:eastAsia="Times New Roman" w:hAnsi="Times New Roman" w:cs="Times New Roman"/>
          <w:b/>
          <w:bCs/>
          <w:sz w:val="24"/>
          <w:szCs w:val="24"/>
          <w:lang w:eastAsia="es-ES"/>
        </w:rPr>
        <w:t>interés legítimo</w:t>
      </w:r>
      <w:r w:rsidRPr="00D17E3C">
        <w:rPr>
          <w:rFonts w:ascii="Times New Roman" w:eastAsia="Times New Roman" w:hAnsi="Times New Roman" w:cs="Times New Roman"/>
          <w:sz w:val="24"/>
          <w:szCs w:val="24"/>
          <w:lang w:eastAsia="es-ES"/>
        </w:rPr>
        <w:t xml:space="preserve"> como título habilitante para el amparo, más amplio que el interés </w:t>
      </w:r>
      <w:proofErr w:type="gramStart"/>
      <w:r w:rsidRPr="00D17E3C">
        <w:rPr>
          <w:rFonts w:ascii="Times New Roman" w:eastAsia="Times New Roman" w:hAnsi="Times New Roman" w:cs="Times New Roman"/>
          <w:sz w:val="24"/>
          <w:szCs w:val="24"/>
          <w:lang w:eastAsia="es-ES"/>
        </w:rPr>
        <w:t>directo</w:t>
      </w:r>
      <w:proofErr w:type="gramEnd"/>
      <w:r w:rsidRPr="00D17E3C">
        <w:rPr>
          <w:rFonts w:ascii="Times New Roman" w:eastAsia="Times New Roman" w:hAnsi="Times New Roman" w:cs="Times New Roman"/>
          <w:sz w:val="24"/>
          <w:szCs w:val="24"/>
          <w:lang w:eastAsia="es-ES"/>
        </w:rPr>
        <w:t xml:space="preserve"> pero más restringido que el interés difuso. En Cuba, será necesario que los tribunales vayan perfilando este concepto, especialmente en casos que involucren derechos colectivos o difusos.</w:t>
      </w:r>
    </w:p>
    <w:p w14:paraId="4EBCC7E4"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Extemporaneidad</w:t>
      </w:r>
    </w:p>
    <w:p w14:paraId="3B4D48C6"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presentación de la demanda fuera del plazo de 90 días establecido en el artículo 14 constituye otra causa de inadmisión. El plazo, que se computa desde que el demandante conoció la vulneración, es relativamente amplio, pero su incumplimiento determina la inadmisión sin posibilidad de subsanación.</w:t>
      </w:r>
    </w:p>
    <w:p w14:paraId="1EEDB0B1"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jurisprudencia deberá precisar qué debe entenderse por "conocimiento" de la vulneración a los efectos del cómputo del plazo. En particular, cuando la vulneración se produce mediante un acto administrativo notificado formalmente, el plazo comienza a correr desde la notificación; pero cuando se trata de vías de hecho o de omisiones, la determinación del </w:t>
      </w:r>
      <w:proofErr w:type="spellStart"/>
      <w:r w:rsidRPr="00D17E3C">
        <w:rPr>
          <w:rFonts w:ascii="Times New Roman" w:eastAsia="Times New Roman" w:hAnsi="Times New Roman" w:cs="Times New Roman"/>
          <w:i/>
          <w:iCs/>
          <w:sz w:val="24"/>
          <w:szCs w:val="24"/>
          <w:lang w:eastAsia="es-ES"/>
        </w:rPr>
        <w:t>dies</w:t>
      </w:r>
      <w:proofErr w:type="spellEnd"/>
      <w:r w:rsidRPr="00D17E3C">
        <w:rPr>
          <w:rFonts w:ascii="Times New Roman" w:eastAsia="Times New Roman" w:hAnsi="Times New Roman" w:cs="Times New Roman"/>
          <w:i/>
          <w:iCs/>
          <w:sz w:val="24"/>
          <w:szCs w:val="24"/>
          <w:lang w:eastAsia="es-ES"/>
        </w:rPr>
        <w:t xml:space="preserve"> a quo</w:t>
      </w:r>
      <w:r w:rsidRPr="00D17E3C">
        <w:rPr>
          <w:rFonts w:ascii="Times New Roman" w:eastAsia="Times New Roman" w:hAnsi="Times New Roman" w:cs="Times New Roman"/>
          <w:sz w:val="24"/>
          <w:szCs w:val="24"/>
          <w:lang w:eastAsia="es-ES"/>
        </w:rPr>
        <w:t xml:space="preserve"> puede ser más compleja.</w:t>
      </w:r>
    </w:p>
    <w:p w14:paraId="1FA04B32"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previsión del artículo 14.2, que pospone el cómputo para personas en situación de vulnerabilidad "desde el momento en el que estuvieran en condiciones de hacerlo", introduce un elemento de flexibilidad que deberá ser aplicado con criterios razonables, evitando tanto un rigorismo excesivo como una laxitud que vacíe de contenido el plazo.</w:t>
      </w:r>
    </w:p>
    <w:p w14:paraId="63718F49"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Reflexiones sobre las causas de inadmisión</w:t>
      </w:r>
    </w:p>
    <w:p w14:paraId="1692C05C"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análisis de estas causas de inadmisión revela varias cuestiones de interés. En primer lugar, confirma que el principal filtro de acceso al amparo es el artículo 5.2: la existencia de otra vía o la falta de trascendencia justifican la mayoría de las inadmisiones. Los tribunales están aplicando este precepto con rigor, lo que responde a la voluntad del legislador de reservar el amparo para casos verdaderamente excepcionales.</w:t>
      </w:r>
    </w:p>
    <w:p w14:paraId="16EA3EEC"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En segundo lugar, pone de manifiesto la importancia de la </w:t>
      </w:r>
      <w:r w:rsidRPr="00D17E3C">
        <w:rPr>
          <w:rFonts w:ascii="Times New Roman" w:eastAsia="Times New Roman" w:hAnsi="Times New Roman" w:cs="Times New Roman"/>
          <w:b/>
          <w:bCs/>
          <w:sz w:val="24"/>
          <w:szCs w:val="24"/>
          <w:lang w:eastAsia="es-ES"/>
        </w:rPr>
        <w:t>argumentación</w:t>
      </w:r>
      <w:r w:rsidRPr="00D17E3C">
        <w:rPr>
          <w:rFonts w:ascii="Times New Roman" w:eastAsia="Times New Roman" w:hAnsi="Times New Roman" w:cs="Times New Roman"/>
          <w:sz w:val="24"/>
          <w:szCs w:val="24"/>
          <w:lang w:eastAsia="es-ES"/>
        </w:rPr>
        <w:t xml:space="preserve"> en la demanda. La carga de justificar la inexistencia de otra vía o la concurrencia de trascendencia recae sobre el demandante, y su insuficiencia determina la inadmisión. Esto exige de los abogados un conocimiento profundo de la ley y de la jurisprudencia, así como una capacidad para conectar los hechos del caso con los criterios legales.</w:t>
      </w:r>
    </w:p>
    <w:p w14:paraId="337CB1BC"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En tercer lugar, revela el papel central del Tribunal Supremo como órgano de cierre del sistema. La Sentencia 12/2024 fija criterios interpretativos que deben ser seguidos por los tribunales inferiores, aportando seguridad jurídica y uniformidad. Serán necesarios pronunciamientos </w:t>
      </w:r>
      <w:r w:rsidRPr="00D17E3C">
        <w:rPr>
          <w:rFonts w:ascii="Times New Roman" w:eastAsia="Times New Roman" w:hAnsi="Times New Roman" w:cs="Times New Roman"/>
          <w:sz w:val="24"/>
          <w:szCs w:val="24"/>
          <w:lang w:eastAsia="es-ES"/>
        </w:rPr>
        <w:lastRenderedPageBreak/>
        <w:t>ulteriores que aborden otros aspectos del proceso y que perfilen con mayor precisión el concepto de trascendencia.</w:t>
      </w:r>
    </w:p>
    <w:p w14:paraId="51BB5682" w14:textId="77777777" w:rsidR="00886789" w:rsidRPr="00D17E3C" w:rsidRDefault="00886789"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Finalmente, estas decisiones judiciales nos recuerdan que el amparo no es una vía más, sino un proceso excepcional diseñado para la tutela urgente de derechos fundamentales. Su correcta utilización exige de todos los operadores jurídicos —jueces, fiscales, abogados— un compromiso con la efectividad de los derechos y con la coherencia del sistema de garantías constitucionales. Como advierte el profesor Pérez </w:t>
      </w:r>
      <w:proofErr w:type="spellStart"/>
      <w:r w:rsidRPr="00D17E3C">
        <w:rPr>
          <w:rFonts w:ascii="Times New Roman" w:eastAsia="Times New Roman" w:hAnsi="Times New Roman" w:cs="Times New Roman"/>
          <w:sz w:val="24"/>
          <w:szCs w:val="24"/>
          <w:lang w:eastAsia="es-ES"/>
        </w:rPr>
        <w:t>Tremps</w:t>
      </w:r>
      <w:proofErr w:type="spellEnd"/>
      <w:r w:rsidRPr="00D17E3C">
        <w:rPr>
          <w:rFonts w:ascii="Times New Roman" w:eastAsia="Times New Roman" w:hAnsi="Times New Roman" w:cs="Times New Roman"/>
          <w:sz w:val="24"/>
          <w:szCs w:val="24"/>
          <w:lang w:eastAsia="es-ES"/>
        </w:rPr>
        <w:t>, se trata de evitar que el rigor en la aplicación de los filtros de admisión termine por desactivar el amparo como mecanismo de protección de derechos, convirtiendo lo que debía ser una garantía en una mera declaración retórica.</w:t>
      </w:r>
    </w:p>
    <w:p w14:paraId="1E3AD8B2" w14:textId="77777777" w:rsidR="00F75402" w:rsidRPr="00D17E3C" w:rsidRDefault="00F75402" w:rsidP="00D17E3C">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D17E3C">
        <w:rPr>
          <w:rFonts w:ascii="Times New Roman" w:eastAsia="Times New Roman" w:hAnsi="Times New Roman" w:cs="Times New Roman"/>
          <w:b/>
          <w:bCs/>
          <w:sz w:val="27"/>
          <w:szCs w:val="27"/>
          <w:lang w:eastAsia="es-ES"/>
        </w:rPr>
        <w:t>7. Análisis de casos prácticos: la jurisprudencia como fuente</w:t>
      </w:r>
    </w:p>
    <w:p w14:paraId="5297DFB5"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aplicación práctica de la Ley 153/2022 ha generado una incipiente jurisprudencia que permite identificar los criterios interpretativos de los tribunales. El análisis de estos casos resulta esencial para comprender el funcionamiento real del proceso de amparo.</w:t>
      </w:r>
    </w:p>
    <w:p w14:paraId="276E01B1"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7.1. Auto No. 1 de 2023 de la Sala de Amparo de Matanzas</w:t>
      </w:r>
    </w:p>
    <w:p w14:paraId="42439C19"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Hechos:</w:t>
      </w:r>
      <w:r w:rsidRPr="00D17E3C">
        <w:rPr>
          <w:rFonts w:ascii="Times New Roman" w:eastAsia="Times New Roman" w:hAnsi="Times New Roman" w:cs="Times New Roman"/>
          <w:sz w:val="24"/>
          <w:szCs w:val="24"/>
          <w:lang w:eastAsia="es-ES"/>
        </w:rPr>
        <w:t xml:space="preserve"> La Sra. Yanet </w:t>
      </w:r>
      <w:proofErr w:type="spellStart"/>
      <w:r w:rsidRPr="00D17E3C">
        <w:rPr>
          <w:rFonts w:ascii="Times New Roman" w:eastAsia="Times New Roman" w:hAnsi="Times New Roman" w:cs="Times New Roman"/>
          <w:sz w:val="24"/>
          <w:szCs w:val="24"/>
          <w:lang w:eastAsia="es-ES"/>
        </w:rPr>
        <w:t>Bisset</w:t>
      </w:r>
      <w:proofErr w:type="spellEnd"/>
      <w:r w:rsidRPr="00D17E3C">
        <w:rPr>
          <w:rFonts w:ascii="Times New Roman" w:eastAsia="Times New Roman" w:hAnsi="Times New Roman" w:cs="Times New Roman"/>
          <w:sz w:val="24"/>
          <w:szCs w:val="24"/>
          <w:lang w:eastAsia="es-ES"/>
        </w:rPr>
        <w:t xml:space="preserve"> de Armas demanda a la Organización Básica Eléctrica de Cárdenas y a un particular porque este último le cortó el suministro eléctrico y la empresa se niega a realizar una nueva acometida. Alega vulneración de los derechos a la alimentación, recreación, hogar adecuado y servicios básicos de calidad.</w:t>
      </w:r>
    </w:p>
    <w:p w14:paraId="36C838C9"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Decisión del tribunal:</w:t>
      </w:r>
      <w:r w:rsidRPr="00D17E3C">
        <w:rPr>
          <w:rFonts w:ascii="Times New Roman" w:eastAsia="Times New Roman" w:hAnsi="Times New Roman" w:cs="Times New Roman"/>
          <w:sz w:val="24"/>
          <w:szCs w:val="24"/>
          <w:lang w:eastAsia="es-ES"/>
        </w:rPr>
        <w:t xml:space="preserve"> Inadmite la demanda por falta de competencia de la jurisdicción.</w:t>
      </w:r>
    </w:p>
    <w:p w14:paraId="3A37385C"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Fundamento:</w:t>
      </w:r>
      <w:r w:rsidRPr="00D17E3C">
        <w:rPr>
          <w:rFonts w:ascii="Times New Roman" w:eastAsia="Times New Roman" w:hAnsi="Times New Roman" w:cs="Times New Roman"/>
          <w:sz w:val="24"/>
          <w:szCs w:val="24"/>
          <w:lang w:eastAsia="es-ES"/>
        </w:rPr>
        <w:t xml:space="preserve"> El tribunal considera que el conflicto tiene una vía de defensa propia en el proceso administrativo (Ley 142/2021). Además, debe resolverse previamente el expediente de cese de convivencia para determinar el estatus jurídico de la demandante en el inmueble. Señala el auto:</w:t>
      </w:r>
    </w:p>
    <w:p w14:paraId="7379E3E1" w14:textId="77777777" w:rsidR="00F75402" w:rsidRPr="00D17E3C" w:rsidRDefault="00F75402" w:rsidP="00D17E3C">
      <w:pPr>
        <w:spacing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"Una vez identificada la existencia de una vía de defensa propia para la tramitación judicial de este tipo de conflictos; resulta oportuno aclarar que no desconocen los jueces la sensibilidad del asunto que se reclama, no obstante, pretende quien acciona se subrogue esta Sala en lugar y grado de la jurisdicción y competencia administrativa."</w:t>
      </w:r>
    </w:p>
    <w:p w14:paraId="2628335D"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Comentario crítico:</w:t>
      </w:r>
      <w:r w:rsidRPr="00D17E3C">
        <w:rPr>
          <w:rFonts w:ascii="Times New Roman" w:eastAsia="Times New Roman" w:hAnsi="Times New Roman" w:cs="Times New Roman"/>
          <w:sz w:val="24"/>
          <w:szCs w:val="24"/>
          <w:lang w:eastAsia="es-ES"/>
        </w:rPr>
        <w:t xml:space="preserve"> El auto aplica correctamente el principio de subsidiariedad, pero plantea interrogantes sobre la efectividad de la tutela. La necesidad de agotar múltiples vías (administrativa, civil) puede dilatar la protección del derecho a servicios básicos, afectando gravemente la calidad de vida de la demandante. ¿Podría haberse argumentado la trascendencia por la situación de vulnerabilidad?</w:t>
      </w:r>
    </w:p>
    <w:p w14:paraId="6F473DBD"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7.2. Auto No. 3 de 2022 de la Sala de Amparo de Matanzas</w:t>
      </w:r>
    </w:p>
    <w:p w14:paraId="1B187C64"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Hechos:</w:t>
      </w:r>
      <w:r w:rsidRPr="00D17E3C">
        <w:rPr>
          <w:rFonts w:ascii="Times New Roman" w:eastAsia="Times New Roman" w:hAnsi="Times New Roman" w:cs="Times New Roman"/>
          <w:sz w:val="24"/>
          <w:szCs w:val="24"/>
          <w:lang w:eastAsia="es-ES"/>
        </w:rPr>
        <w:t xml:space="preserve"> El Sr. Armando Sánchez Ruiz demanda al </w:t>
      </w:r>
      <w:proofErr w:type="gramStart"/>
      <w:r w:rsidRPr="00D17E3C">
        <w:rPr>
          <w:rFonts w:ascii="Times New Roman" w:eastAsia="Times New Roman" w:hAnsi="Times New Roman" w:cs="Times New Roman"/>
          <w:sz w:val="24"/>
          <w:szCs w:val="24"/>
          <w:lang w:eastAsia="es-ES"/>
        </w:rPr>
        <w:t>Director</w:t>
      </w:r>
      <w:proofErr w:type="gramEnd"/>
      <w:r w:rsidRPr="00D17E3C">
        <w:rPr>
          <w:rFonts w:ascii="Times New Roman" w:eastAsia="Times New Roman" w:hAnsi="Times New Roman" w:cs="Times New Roman"/>
          <w:sz w:val="24"/>
          <w:szCs w:val="24"/>
          <w:lang w:eastAsia="es-ES"/>
        </w:rPr>
        <w:t xml:space="preserve"> de la Dependencia Interna del Gobierno Municipal de Cárdenas, a la Fiscalía Municipal y a la Presidenta del Órgano de Justicia </w:t>
      </w:r>
      <w:r w:rsidRPr="00D17E3C">
        <w:rPr>
          <w:rFonts w:ascii="Times New Roman" w:eastAsia="Times New Roman" w:hAnsi="Times New Roman" w:cs="Times New Roman"/>
          <w:sz w:val="24"/>
          <w:szCs w:val="24"/>
          <w:lang w:eastAsia="es-ES"/>
        </w:rPr>
        <w:lastRenderedPageBreak/>
        <w:t>Laboral, solicitando la ejecución de un acuerdo que declaró con lugar su reclamación laboral. Alega vulneración del derecho al trabajo y del derecho de petición.</w:t>
      </w:r>
    </w:p>
    <w:p w14:paraId="1568BE34"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Decisión del tribunal:</w:t>
      </w:r>
      <w:r w:rsidRPr="00D17E3C">
        <w:rPr>
          <w:rFonts w:ascii="Times New Roman" w:eastAsia="Times New Roman" w:hAnsi="Times New Roman" w:cs="Times New Roman"/>
          <w:sz w:val="24"/>
          <w:szCs w:val="24"/>
          <w:lang w:eastAsia="es-ES"/>
        </w:rPr>
        <w:t xml:space="preserve"> Inadmite la demanda por falta de competencia de la jurisdicción.</w:t>
      </w:r>
    </w:p>
    <w:p w14:paraId="6E559B5E"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Fundamento:</w:t>
      </w:r>
      <w:r w:rsidRPr="00D17E3C">
        <w:rPr>
          <w:rFonts w:ascii="Times New Roman" w:eastAsia="Times New Roman" w:hAnsi="Times New Roman" w:cs="Times New Roman"/>
          <w:sz w:val="24"/>
          <w:szCs w:val="24"/>
          <w:lang w:eastAsia="es-ES"/>
        </w:rPr>
        <w:t xml:space="preserve"> El tribunal considera que la respuesta de la Fiscalía, que anuló el acuerdo favorable al demandante, es aún impugnable en vía administrativa. El plazo para impugnar está transcurriendo y no se ha agotado. Además, al haber sido anulado el acuerdo, desaparece la posibilidad de solicitar su ejecución.</w:t>
      </w:r>
    </w:p>
    <w:p w14:paraId="6536541E"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Comentario crítico:</w:t>
      </w:r>
      <w:r w:rsidRPr="00D17E3C">
        <w:rPr>
          <w:rFonts w:ascii="Times New Roman" w:eastAsia="Times New Roman" w:hAnsi="Times New Roman" w:cs="Times New Roman"/>
          <w:sz w:val="24"/>
          <w:szCs w:val="24"/>
          <w:lang w:eastAsia="es-ES"/>
        </w:rPr>
        <w:t xml:space="preserve"> El auto aplica un criterio de subsidiariedad estricta, exigiendo el agotamiento de todas las instancias administrativas antes de acudir al amparo. Sin embargo, la anulación del acuerdo por la Fiscalía plantea la cuestión de si esta actuación, por sí misma, no constituye una vulneración autónoma del derecho a la tutela judicial efectiva que merecería ser examinada por el amparo.</w:t>
      </w:r>
    </w:p>
    <w:p w14:paraId="7045DD2F" w14:textId="77777777" w:rsidR="00F75402" w:rsidRPr="00D17E3C" w:rsidRDefault="00F75402" w:rsidP="00D17E3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D17E3C">
        <w:rPr>
          <w:rFonts w:ascii="Times New Roman" w:eastAsia="Times New Roman" w:hAnsi="Times New Roman" w:cs="Times New Roman"/>
          <w:b/>
          <w:bCs/>
          <w:sz w:val="24"/>
          <w:szCs w:val="24"/>
          <w:lang w:eastAsia="es-ES"/>
        </w:rPr>
        <w:t>7.3. Sentencia No. 12-2024-1800-3430 del Tribunal Supremo Popular (22 de octubre de 2024)</w:t>
      </w:r>
    </w:p>
    <w:p w14:paraId="43434F8E"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Hechos:</w:t>
      </w:r>
      <w:r w:rsidRPr="00D17E3C">
        <w:rPr>
          <w:rFonts w:ascii="Times New Roman" w:eastAsia="Times New Roman" w:hAnsi="Times New Roman" w:cs="Times New Roman"/>
          <w:sz w:val="24"/>
          <w:szCs w:val="24"/>
          <w:lang w:eastAsia="es-ES"/>
        </w:rPr>
        <w:t xml:space="preserve"> La Sra. Mirtha Villa Portales, en su carácter de viuda del fallecido promovente, demanda para que se ejecute una resolución administrativa de vivienda que ordenaba desalojar a unos ocupantes ilegales. Han pasado más de 8 años y la administración no ha actuado. Alega vulneración del derecho a una vivienda adecuada, a la propiedad, a la protección a la familia y a un procedimiento sin dilaciones indebidas.</w:t>
      </w:r>
    </w:p>
    <w:p w14:paraId="084FE19E"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Decisión del Tribunal Supremo:</w:t>
      </w:r>
      <w:r w:rsidRPr="00D17E3C">
        <w:rPr>
          <w:rFonts w:ascii="Times New Roman" w:eastAsia="Times New Roman" w:hAnsi="Times New Roman" w:cs="Times New Roman"/>
          <w:sz w:val="24"/>
          <w:szCs w:val="24"/>
          <w:lang w:eastAsia="es-ES"/>
        </w:rPr>
        <w:t xml:space="preserve"> Desestima el recurso de apelación y confirma la inadmisión.</w:t>
      </w:r>
    </w:p>
    <w:p w14:paraId="7B8F1481"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Fundamento:</w:t>
      </w:r>
      <w:r w:rsidRPr="00D17E3C">
        <w:rPr>
          <w:rFonts w:ascii="Times New Roman" w:eastAsia="Times New Roman" w:hAnsi="Times New Roman" w:cs="Times New Roman"/>
          <w:sz w:val="24"/>
          <w:szCs w:val="24"/>
          <w:lang w:eastAsia="es-ES"/>
        </w:rPr>
        <w:t xml:space="preserve"> La Sala del Tribunal Supremo argumenta que el conflicto es, en esencia, un problema de ejecución de una decisión administrativa, para lo que está reservado su conocimiento en otro orden jurisdiccional (lo contencioso-administrativo). Sobre la trascendencia, señala:</w:t>
      </w:r>
    </w:p>
    <w:p w14:paraId="3B129C37" w14:textId="77777777" w:rsidR="00F75402" w:rsidRPr="00D17E3C" w:rsidRDefault="00F75402" w:rsidP="00D17E3C">
      <w:pPr>
        <w:spacing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"aun cuando se trata de un concepto indeterminado, este tiene que tener su expresión en cada caso, coherente con las particularidades específicas del proceso de amparo constitucional, que debe ser preferente, expedito y concentrado, y sentado que el diferendo es una cuestión en esencia relacionada con la ejecución de una decisión administrativa, para el que está reservado su conocimiento en otro orden jurisdiccional, es evidente que no clasifica en la especial situación que se conceptualiza en el mencionado Artículo 5, apartado 3."</w:t>
      </w:r>
    </w:p>
    <w:p w14:paraId="53FFAD7D"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Comentario crítico:</w:t>
      </w:r>
      <w:r w:rsidRPr="00D17E3C">
        <w:rPr>
          <w:rFonts w:ascii="Times New Roman" w:eastAsia="Times New Roman" w:hAnsi="Times New Roman" w:cs="Times New Roman"/>
          <w:sz w:val="24"/>
          <w:szCs w:val="24"/>
          <w:lang w:eastAsia="es-ES"/>
        </w:rPr>
        <w:t xml:space="preserve"> Esta sentencia constituye el pronunciamiento de más alto nivel sobre la materia y fija una doctrina clara: </w:t>
      </w:r>
      <w:r w:rsidRPr="00D17E3C">
        <w:rPr>
          <w:rFonts w:ascii="Times New Roman" w:eastAsia="Times New Roman" w:hAnsi="Times New Roman" w:cs="Times New Roman"/>
          <w:b/>
          <w:bCs/>
          <w:sz w:val="24"/>
          <w:szCs w:val="24"/>
          <w:lang w:eastAsia="es-ES"/>
        </w:rPr>
        <w:t>el amparo no es un proceso supletorio de la ineficacia de la administración ni de la lentitud de la justicia ordinaria</w:t>
      </w:r>
      <w:r w:rsidRPr="00D17E3C">
        <w:rPr>
          <w:rFonts w:ascii="Times New Roman" w:eastAsia="Times New Roman" w:hAnsi="Times New Roman" w:cs="Times New Roman"/>
          <w:sz w:val="24"/>
          <w:szCs w:val="24"/>
          <w:lang w:eastAsia="es-ES"/>
        </w:rPr>
        <w:t>. La subsidiariedad es la regla, y la trascendencia, la excepción, pero una excepción que debe justificarse en la naturaleza misma del derecho vulnerado y en la necesidad de una tutela "preferente, expedita y concentrada", características que no suelen darse en los conflictos sobre ejecución de actos administrativos.</w:t>
      </w:r>
    </w:p>
    <w:p w14:paraId="12AF8781"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Sin embargo, la sentencia también plantea interrogantes. La demora de 8 años en ejecutar una resolución administrativa, unida a la situación de vulnerabilidad de la familia, ¿no configura una </w:t>
      </w:r>
      <w:r w:rsidRPr="00D17E3C">
        <w:rPr>
          <w:rFonts w:ascii="Times New Roman" w:eastAsia="Times New Roman" w:hAnsi="Times New Roman" w:cs="Times New Roman"/>
          <w:sz w:val="24"/>
          <w:szCs w:val="24"/>
          <w:lang w:eastAsia="es-ES"/>
        </w:rPr>
        <w:lastRenderedPageBreak/>
        <w:t>vulneración autónoma del derecho a un procedimiento sin dilaciones indebidas (art. 94) y del derecho a la tutela judicial efectiva (art. 92)? La respuesta del Tribunal Supremo parece negativa, pero la cuestión queda abierta al debate doctrinal.</w:t>
      </w:r>
    </w:p>
    <w:p w14:paraId="23F6F23A"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análisis de los casos examinados —especialmente los Autos 1/2023 y 3/2022 de Matanzas, así como la Sentencia 12/2024 del Tribunal Supremo— permite extraer algunas conclusiones provisionales sobre el estado actual de la jurisprudencia en materia de amparo constitucional en Cuba:</w:t>
      </w:r>
    </w:p>
    <w:p w14:paraId="53B76459"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1. Los tribunales aplican estrictamente el principio de subsidiariedad</w:t>
      </w:r>
    </w:p>
    <w:p w14:paraId="3D919CE6"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existencia de una vía ordinaria, aunque sea compleja o lenta, es generalmente suficiente para inadmitir el amparo. Tanto el Auto 1/2023 como la Sentencia 12/2024 confirman que los jueces no están dispuestos a subrogarse en la jurisdicción administrativa o civil, incluso cuando la vía ordinaria pueda resultar ineficaz en la práctica. Esta aplicación rigurosa del artículo 5.2 responde a la voluntad del legislador de reservar el amparo para casos verdaderamente excepcionales, pero plantea interrogantes sobre la efectividad de la tutela cuando la vía ordinaria se muestra incapaz de ofrecer una protección oportuna.</w:t>
      </w:r>
    </w:p>
    <w:p w14:paraId="163CF2FB"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2. El concepto de trascendencia se interpreta restrictivamente</w:t>
      </w:r>
    </w:p>
    <w:p w14:paraId="3B424F57"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No basta con alegar la importancia del derecho o la situación de vulnerabilidad; es necesario demostrar que el caso, por sus características específicas, requiere una tutela "preferente, expedita y concentrada" que la vía ordinaria no puede ofrecer. La Sentencia 12/2024 es particularmente clara en este punto: la mera existencia de una vulneración —ni siquiera la demora de ocho años en ejecutar una resolución administrativa— no convierte automáticamente un conflicto en constitucionalmente trascendente. El Tribunal Supremo exige que la trascendencia se "concrete" en cada caso, lo que implica una carga argumentativa cualificada para el demandante.</w:t>
      </w:r>
    </w:p>
    <w:p w14:paraId="79EA935F"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3. El Tribunal Supremo ejerce su función unificadora</w:t>
      </w:r>
    </w:p>
    <w:p w14:paraId="37248A64"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Sentencia 12/2024 constituye el primer pronunciamiento de alto nivel sobre el artículo 5.2 y establece criterios que deben ser seguidos por los tribunales inferiores, aportando seguridad jurídica. Esta función unificadora es esencial para la coherencia del sistema y para evitar interpretaciones divergentes que puedan generar desigualdad en la aplicación de la ley. Corresponde ahora al Tribunal Supremo seguir perfilando, en sucesivos pronunciamientos, el contenido del concepto de trascendencia y los criterios para su apreciación.</w:t>
      </w:r>
    </w:p>
    <w:p w14:paraId="0FDDE0F1"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4. La carga de la argumentación recae sobre el demandante</w:t>
      </w:r>
    </w:p>
    <w:p w14:paraId="4E0B4362"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Para superar el filtro de admisibilidad, el demandante debe desarrollar una argumentación sólida que conecte los hechos con los criterios del artículo 5.3, demostrando por qué su caso merece la excepción. La mera invocación retórica de la "trascendencia" o la simple mención de la importancia del derecho vulnerado no son suficientes. Se requiere un "esfuerzo argumentativo" que disocie adecuadamente la lesión del derecho de la trascendencia del caso, y que ponga en relación las </w:t>
      </w:r>
      <w:r w:rsidRPr="00D17E3C">
        <w:rPr>
          <w:rFonts w:ascii="Times New Roman" w:eastAsia="Times New Roman" w:hAnsi="Times New Roman" w:cs="Times New Roman"/>
          <w:sz w:val="24"/>
          <w:szCs w:val="24"/>
          <w:lang w:eastAsia="es-ES"/>
        </w:rPr>
        <w:lastRenderedPageBreak/>
        <w:t xml:space="preserve">circunstancias concretas con los criterios legales: significación jurídico-social, </w:t>
      </w:r>
      <w:proofErr w:type="spellStart"/>
      <w:r w:rsidRPr="00D17E3C">
        <w:rPr>
          <w:rFonts w:ascii="Times New Roman" w:eastAsia="Times New Roman" w:hAnsi="Times New Roman" w:cs="Times New Roman"/>
          <w:sz w:val="24"/>
          <w:szCs w:val="24"/>
          <w:lang w:eastAsia="es-ES"/>
        </w:rPr>
        <w:t>irreparabilidad</w:t>
      </w:r>
      <w:proofErr w:type="spellEnd"/>
      <w:r w:rsidRPr="00D17E3C">
        <w:rPr>
          <w:rFonts w:ascii="Times New Roman" w:eastAsia="Times New Roman" w:hAnsi="Times New Roman" w:cs="Times New Roman"/>
          <w:sz w:val="24"/>
          <w:szCs w:val="24"/>
          <w:lang w:eastAsia="es-ES"/>
        </w:rPr>
        <w:t>, vulnerabilidad, etc.</w:t>
      </w:r>
    </w:p>
    <w:p w14:paraId="2124EB88"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experiencia española y sus lecciones para Cuba</w:t>
      </w:r>
    </w:p>
    <w:p w14:paraId="206C8D96"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La jurisprudencia española sobre la "especial trascendencia constitucional", desarrollada a partir de la STC 155/2009, ofrece un valioso término de comparación. Como se analizó en el epígrafe 4.2, el Tribunal Constitucional español identificó siete supuestos en los que cabe apreciar la concurrencia de este requisito: ausencia de doctrina constitucional; aclaración o cambio de doctrina; vulneración proveniente de la ley; interpretación jurisprudencial reiterada lesiva; incumplimiento general de la doctrina constitucional; negativa manifiesta de acatamiento; y relevante repercusión social, económica o política.</w:t>
      </w:r>
    </w:p>
    <w:p w14:paraId="7F806A69"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De esta experiencia pueden extraerse lecciones relevantes para Cuba:</w:t>
      </w:r>
    </w:p>
    <w:p w14:paraId="7C7F43D0" w14:textId="77777777" w:rsidR="00A24804" w:rsidRPr="00D17E3C" w:rsidRDefault="00A24804" w:rsidP="00D17E3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necesidad de una sentencia "madre"</w:t>
      </w:r>
      <w:r w:rsidRPr="00D17E3C">
        <w:rPr>
          <w:rFonts w:ascii="Times New Roman" w:eastAsia="Times New Roman" w:hAnsi="Times New Roman" w:cs="Times New Roman"/>
          <w:sz w:val="24"/>
          <w:szCs w:val="24"/>
          <w:lang w:eastAsia="es-ES"/>
        </w:rPr>
        <w:t xml:space="preserve"> que sistematice los criterios de apreciación de la trascendencia. El Tribunal Constitucional español tardó casi dos años en dictar la STC 155/2009, generando en ese lapso incertidumbre y un elevado número de inadmisiones. Para Cuba, esta lección es crucial: las Salas de Amparo, y muy especialmente el Tribunal Supremo Popular, deberían dictar con prontitud una sentencia que, al igual que la STC 155/2009, sistematice los supuestos en que cabe apreciar la trascendencia jurídico-social.</w:t>
      </w:r>
    </w:p>
    <w:p w14:paraId="39598490" w14:textId="77777777" w:rsidR="00A24804" w:rsidRPr="00D17E3C" w:rsidRDefault="00A24804" w:rsidP="00D17E3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 xml:space="preserve">El carácter </w:t>
      </w:r>
      <w:proofErr w:type="gramStart"/>
      <w:r w:rsidRPr="00D17E3C">
        <w:rPr>
          <w:rFonts w:ascii="Times New Roman" w:eastAsia="Times New Roman" w:hAnsi="Times New Roman" w:cs="Times New Roman"/>
          <w:b/>
          <w:bCs/>
          <w:sz w:val="24"/>
          <w:szCs w:val="24"/>
          <w:lang w:eastAsia="es-ES"/>
        </w:rPr>
        <w:t>abierto</w:t>
      </w:r>
      <w:proofErr w:type="gramEnd"/>
      <w:r w:rsidRPr="00D17E3C">
        <w:rPr>
          <w:rFonts w:ascii="Times New Roman" w:eastAsia="Times New Roman" w:hAnsi="Times New Roman" w:cs="Times New Roman"/>
          <w:b/>
          <w:bCs/>
          <w:sz w:val="24"/>
          <w:szCs w:val="24"/>
          <w:lang w:eastAsia="es-ES"/>
        </w:rPr>
        <w:t xml:space="preserve"> pero no arbitrario del catálogo</w:t>
      </w:r>
      <w:r w:rsidRPr="00D17E3C">
        <w:rPr>
          <w:rFonts w:ascii="Times New Roman" w:eastAsia="Times New Roman" w:hAnsi="Times New Roman" w:cs="Times New Roman"/>
          <w:sz w:val="24"/>
          <w:szCs w:val="24"/>
          <w:lang w:eastAsia="es-ES"/>
        </w:rPr>
        <w:t>. La STC 155/2009 dejó claro que su enumeración no es cerrada, reconociendo "el carácter dinámico del ejercicio de nuestra jurisdicción". Esta flexibilidad es esencial para adaptar el concepto a las realidades cambiantes. Los tribunales cubanos deben estar abiertos a identificar nuevos supuestos de trascendencia no previstos inicialmente, siempre con la debida motivación.</w:t>
      </w:r>
    </w:p>
    <w:p w14:paraId="3A3F67D9" w14:textId="77777777" w:rsidR="00A24804" w:rsidRPr="00D17E3C" w:rsidRDefault="00A24804" w:rsidP="00D17E3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distinción entre lesión y trascendencia</w:t>
      </w:r>
      <w:r w:rsidRPr="00D17E3C">
        <w:rPr>
          <w:rFonts w:ascii="Times New Roman" w:eastAsia="Times New Roman" w:hAnsi="Times New Roman" w:cs="Times New Roman"/>
          <w:sz w:val="24"/>
          <w:szCs w:val="24"/>
          <w:lang w:eastAsia="es-ES"/>
        </w:rPr>
        <w:t>. La jurisprudencia española ha insistido en que la argumentación sobre la existencia de la lesión y la argumentación sobre la trascendencia operan en planos distintos. Esta distinción es fundamental para la práctica forense cubana, donde muchas demandas se limitan a invocar la vulneración sin desarrollar el plus argumentativo que exige la trascendencia.</w:t>
      </w:r>
    </w:p>
    <w:p w14:paraId="2D7FBA03" w14:textId="77777777" w:rsidR="00A24804" w:rsidRPr="00D17E3C" w:rsidRDefault="00A24804" w:rsidP="00D17E3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flexibilidad en la apreciación según la naturaleza del caso</w:t>
      </w:r>
      <w:r w:rsidRPr="00D17E3C">
        <w:rPr>
          <w:rFonts w:ascii="Times New Roman" w:eastAsia="Times New Roman" w:hAnsi="Times New Roman" w:cs="Times New Roman"/>
          <w:sz w:val="24"/>
          <w:szCs w:val="24"/>
          <w:lang w:eastAsia="es-ES"/>
        </w:rPr>
        <w:t>. La práctica española ha demostrado que, en supuestos como los amparos electorales o parlamentarios, o cuando la lesión tiene origen normativo, los tribunales tienden a flexibilizar los requisitos formales de justificación. Esta misma flexibilidad debería aplicarse en Cuba, especialmente en casos que afecten a grupos vulnerables o derechos particularmente sensibles.</w:t>
      </w:r>
    </w:p>
    <w:p w14:paraId="180FD830" w14:textId="77777777" w:rsidR="00A24804" w:rsidRPr="00D17E3C" w:rsidRDefault="00A24804" w:rsidP="00D17E3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El riesgo de una aplicación excesivamente restrictiva</w:t>
      </w:r>
      <w:r w:rsidRPr="00D17E3C">
        <w:rPr>
          <w:rFonts w:ascii="Times New Roman" w:eastAsia="Times New Roman" w:hAnsi="Times New Roman" w:cs="Times New Roman"/>
          <w:sz w:val="24"/>
          <w:szCs w:val="24"/>
          <w:lang w:eastAsia="es-ES"/>
        </w:rPr>
        <w:t xml:space="preserve">. Como advierte el profesor Pérez </w:t>
      </w:r>
      <w:proofErr w:type="spellStart"/>
      <w:r w:rsidRPr="00D17E3C">
        <w:rPr>
          <w:rFonts w:ascii="Times New Roman" w:eastAsia="Times New Roman" w:hAnsi="Times New Roman" w:cs="Times New Roman"/>
          <w:sz w:val="24"/>
          <w:szCs w:val="24"/>
          <w:lang w:eastAsia="es-ES"/>
        </w:rPr>
        <w:t>Tremps</w:t>
      </w:r>
      <w:proofErr w:type="spellEnd"/>
      <w:r w:rsidRPr="00D17E3C">
        <w:rPr>
          <w:rFonts w:ascii="Times New Roman" w:eastAsia="Times New Roman" w:hAnsi="Times New Roman" w:cs="Times New Roman"/>
          <w:sz w:val="24"/>
          <w:szCs w:val="24"/>
          <w:lang w:eastAsia="es-ES"/>
        </w:rPr>
        <w:t>, "en los sistemas de justicia constitucional concentrada la idea del tribunal constitucional como juez de derechos fundamentales está muy arraigada y una institución de este tipo que sólo atiende alrededor del 2% de los recursos de amparo tiene un efecto nocivo sobre la legitimidad de la institución". La experiencia española muestra que el filtro de admisión puede convertirse en una barrera excesivamente rígida que termine por desactivar el amparo como mecanismo de protección de derechos. Para Cuba, donde las estadísticas muestran una bajísima tasa de admisiones, esta advertencia es particularmente relevante.</w:t>
      </w:r>
    </w:p>
    <w:p w14:paraId="32E56DC6" w14:textId="77777777" w:rsidR="00A24804" w:rsidRPr="00D17E3C" w:rsidRDefault="00A24804" w:rsidP="00D17E3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importancia de la motivación en las decisiones de inadmisión</w:t>
      </w:r>
      <w:r w:rsidRPr="00D17E3C">
        <w:rPr>
          <w:rFonts w:ascii="Times New Roman" w:eastAsia="Times New Roman" w:hAnsi="Times New Roman" w:cs="Times New Roman"/>
          <w:sz w:val="24"/>
          <w:szCs w:val="24"/>
          <w:lang w:eastAsia="es-ES"/>
        </w:rPr>
        <w:t xml:space="preserve">. Aunque la reforma española permitió las providencias de inadmisión inmotivadas, el Tribunal Europeo de </w:t>
      </w:r>
      <w:r w:rsidRPr="00D17E3C">
        <w:rPr>
          <w:rFonts w:ascii="Times New Roman" w:eastAsia="Times New Roman" w:hAnsi="Times New Roman" w:cs="Times New Roman"/>
          <w:sz w:val="24"/>
          <w:szCs w:val="24"/>
          <w:lang w:eastAsia="es-ES"/>
        </w:rPr>
        <w:lastRenderedPageBreak/>
        <w:t>Derechos Humanos ha exigido que se garantice un mínimo de seguridad jurídica y transparencia en la aplicación del filtro. Para Cuba, sería recomendable que las decisiones de inadmisión, especialmente las basadas en la falta de trascendencia, fueran suficientemente motivadas, de modo que los operadores jurídicos puedan conocer las razones y adecuar su práctica futura.</w:t>
      </w:r>
    </w:p>
    <w:p w14:paraId="26B11195" w14:textId="77777777" w:rsidR="00A24804" w:rsidRPr="00D17E3C" w:rsidRDefault="00A24804"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jurisprudencia emergente confirma que el proceso de amparo en Cuba se configura como un mecanismo subsidiario y excepcional. El desafío para la abogacía es desarrollar argumentaciones que permitan acreditar la trascendencia en aquellos casos límite que, por su gravedad, merecen una tutela constitucional preferente. El desafío para los tribunales, y muy especialmente para el Tribunal Supremo, es encontrar el equilibrio adecuado entre la necesaria selectividad y la efectiva protección de los derechos, construyendo una doctrina coherente que, sin banalizar el amparo, tampoco lo convierta en una garantía inaccesible. Como advierte Pérez </w:t>
      </w:r>
      <w:proofErr w:type="spellStart"/>
      <w:r w:rsidRPr="00D17E3C">
        <w:rPr>
          <w:rFonts w:ascii="Times New Roman" w:eastAsia="Times New Roman" w:hAnsi="Times New Roman" w:cs="Times New Roman"/>
          <w:sz w:val="24"/>
          <w:szCs w:val="24"/>
          <w:lang w:eastAsia="es-ES"/>
        </w:rPr>
        <w:t>Tremps</w:t>
      </w:r>
      <w:proofErr w:type="spellEnd"/>
      <w:r w:rsidRPr="00D17E3C">
        <w:rPr>
          <w:rFonts w:ascii="Times New Roman" w:eastAsia="Times New Roman" w:hAnsi="Times New Roman" w:cs="Times New Roman"/>
          <w:sz w:val="24"/>
          <w:szCs w:val="24"/>
          <w:lang w:eastAsia="es-ES"/>
        </w:rPr>
        <w:t>, se trata de evitar que el "morir de éxito" —la saturación por exceso de recursos— conduzca a "vivir en el fracaso" —la desactivación del amparo como mecanismo de protección de derechos—.</w:t>
      </w:r>
    </w:p>
    <w:p w14:paraId="12ACD6AF"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A modo de síntesis, y a la luz del análisis desarrollado a lo largo de esta lección, podemos extraer las siguientes conclusiones sobre los fundamentos constitucionales y legales del proceso de amparo en Cuba:</w:t>
      </w:r>
    </w:p>
    <w:p w14:paraId="0BB4A93F"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Primera: Ruptura epistemológica.</w:t>
      </w:r>
      <w:r w:rsidRPr="00D17E3C">
        <w:rPr>
          <w:rFonts w:ascii="Times New Roman" w:eastAsia="Times New Roman" w:hAnsi="Times New Roman" w:cs="Times New Roman"/>
          <w:sz w:val="24"/>
          <w:szCs w:val="24"/>
          <w:lang w:eastAsia="es-ES"/>
        </w:rPr>
        <w:t xml:space="preserve"> El proceso de amparo, tal como lo configuran el artículo 99 constitucional y la Ley 153/2022, supone un cambio de paradigma en la cultura jurídica cubana. Durante más de cuatro décadas, bajo la vigencia de la Constitución de 1976, la práctica jurídica asumió que los derechos constitucionales eran enunciados programáticos, directrices al legislador, pero no derechos subjetivos accionables directamente ante los tribunales. Con la Constitución de 2019 y su desarrollo legislativo, transitamos hacia un modelo donde los derechos son normas jurídicas directas y vinculantes, cuya vulneración puede ser reclamada por cualquier persona ante los tribunales. Este tránsito, sin embargo, no es automático; exige un cambio de mentalidad en jueces, abogados, fiscales y en la propia ciudadanía, que deben apropiarse de las herramientas que el ordenamiento pone a su disposición.</w:t>
      </w:r>
    </w:p>
    <w:p w14:paraId="2CCD8A86"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Segunda: Continuidad histórica.</w:t>
      </w:r>
      <w:r w:rsidRPr="00D17E3C">
        <w:rPr>
          <w:rFonts w:ascii="Times New Roman" w:eastAsia="Times New Roman" w:hAnsi="Times New Roman" w:cs="Times New Roman"/>
          <w:sz w:val="24"/>
          <w:szCs w:val="24"/>
          <w:lang w:eastAsia="es-ES"/>
        </w:rPr>
        <w:t xml:space="preserve"> El amparo de 2019 no surge de la nada. Conecta con una tradición de justicia constitucional que tuvo su momento más brillante en el Tribunal de Garantías Constitucionales y Sociales de la Constitución de 1940, y que se remonta al control difuso instaurado por la Constitución de 1901. Comprender esta historia —los avances, las interrupciones y las recuperaciones— es esencial para valorar el presente y proyectar el futuro. El paréntesis de 1976 a 2019 no borró la memoria institucional; la recuperación del amparo en 2019 es, en buena medida, la recuperación de una tradición que había quedado latente y que ahora renace con nuevos bríos.</w:t>
      </w:r>
    </w:p>
    <w:p w14:paraId="64481473"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Tercera: Sistema de garantías.</w:t>
      </w:r>
      <w:r w:rsidRPr="00D17E3C">
        <w:rPr>
          <w:rFonts w:ascii="Times New Roman" w:eastAsia="Times New Roman" w:hAnsi="Times New Roman" w:cs="Times New Roman"/>
          <w:sz w:val="24"/>
          <w:szCs w:val="24"/>
          <w:lang w:eastAsia="es-ES"/>
        </w:rPr>
        <w:t xml:space="preserve"> El amparo no es una institución aislada. Forma parte de un sistema de garantías que incluye la supremacía constitucional (artículo 7), el principio de legalidad (artículo 9), el acceso a la justicia (artículo 92), el debido proceso (artículo 94), los recursos judiciales (artículo 98), y otras vías de protección como la Ley 167/2023 de atención a quejas y peticiones. Su eficacia depende de la correcta articulación de todas estas piezas y de la capacidad de los operadores jurídicos para utilizarlas de manera coordinada y coherente.</w:t>
      </w:r>
    </w:p>
    <w:p w14:paraId="3C457933"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lastRenderedPageBreak/>
        <w:t>Cuarta: Subsidiariedad como regla.</w:t>
      </w:r>
      <w:r w:rsidRPr="00D17E3C">
        <w:rPr>
          <w:rFonts w:ascii="Times New Roman" w:eastAsia="Times New Roman" w:hAnsi="Times New Roman" w:cs="Times New Roman"/>
          <w:sz w:val="24"/>
          <w:szCs w:val="24"/>
          <w:lang w:eastAsia="es-ES"/>
        </w:rPr>
        <w:t xml:space="preserve"> La Ley 153 opta por un modelo de amparo subsidiario, siguiendo la tradición del derecho comparado. La regla general, establecida en el artículo 5.2, es clara: si existe otra vía judicial para la defensa del derecho, el justiciable debe acudir a ella. Esta opción busca preservar la naturaleza excepcional del proceso constitucional, evitar su desnaturalización y reservarlo para aquellos casos que realmente requieren una tutela preferente, expedita y concentrada.</w:t>
      </w:r>
    </w:p>
    <w:p w14:paraId="50476D99"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Quinta: Trascendencia como excepción.</w:t>
      </w:r>
      <w:r w:rsidRPr="00D17E3C">
        <w:rPr>
          <w:rFonts w:ascii="Times New Roman" w:eastAsia="Times New Roman" w:hAnsi="Times New Roman" w:cs="Times New Roman"/>
          <w:sz w:val="24"/>
          <w:szCs w:val="24"/>
          <w:lang w:eastAsia="es-ES"/>
        </w:rPr>
        <w:t xml:space="preserve"> El concepto de "trascendencia jurídico-social" es la clave para acceder al amparo cuando existe otra vía. Su indeterminación otorga flexibilidad para adaptarse a las circunstancias cambiantes, pero también genera inseguridad y traslada a los operadores jurídicos una enorme responsabilidad interpretativa. La jurisprudencia del Tribunal Supremo, plasmada en la Sentencia 12/2024, apunta hacia una interpretación restrictiva, que exige una argumentación sólida por parte del demandante y que rechaza la equiparación automática entre vulneración y trascendencia. La experiencia española, con su desarrollo de los siete supuestos de la STC 155/2009, ofrece valiosas lecciones para la construcción de una doctrina cubana sobre la materia.</w:t>
      </w:r>
    </w:p>
    <w:p w14:paraId="5F4458C7"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Sexta: Principios rectores.</w:t>
      </w:r>
      <w:r w:rsidRPr="00D17E3C">
        <w:rPr>
          <w:rFonts w:ascii="Times New Roman" w:eastAsia="Times New Roman" w:hAnsi="Times New Roman" w:cs="Times New Roman"/>
          <w:sz w:val="24"/>
          <w:szCs w:val="24"/>
          <w:lang w:eastAsia="es-ES"/>
        </w:rPr>
        <w:t xml:space="preserve"> El proceso de amparo se rige por principios específicos —preferencia, </w:t>
      </w:r>
      <w:proofErr w:type="spellStart"/>
      <w:r w:rsidRPr="00D17E3C">
        <w:rPr>
          <w:rFonts w:ascii="Times New Roman" w:eastAsia="Times New Roman" w:hAnsi="Times New Roman" w:cs="Times New Roman"/>
          <w:sz w:val="24"/>
          <w:szCs w:val="24"/>
          <w:lang w:eastAsia="es-ES"/>
        </w:rPr>
        <w:t>expeditez</w:t>
      </w:r>
      <w:proofErr w:type="spellEnd"/>
      <w:r w:rsidRPr="00D17E3C">
        <w:rPr>
          <w:rFonts w:ascii="Times New Roman" w:eastAsia="Times New Roman" w:hAnsi="Times New Roman" w:cs="Times New Roman"/>
          <w:sz w:val="24"/>
          <w:szCs w:val="24"/>
          <w:lang w:eastAsia="es-ES"/>
        </w:rPr>
        <w:t xml:space="preserve">, concentración, oralidad, inmediación, gratuidad— que responden a su naturaleza de mecanismo urgente para la tutela de derechos. El principio </w:t>
      </w:r>
      <w:r w:rsidRPr="00D17E3C">
        <w:rPr>
          <w:rFonts w:ascii="Times New Roman" w:eastAsia="Times New Roman" w:hAnsi="Times New Roman" w:cs="Times New Roman"/>
          <w:i/>
          <w:iCs/>
          <w:sz w:val="24"/>
          <w:szCs w:val="24"/>
          <w:lang w:eastAsia="es-ES"/>
        </w:rPr>
        <w:t>pro homine</w:t>
      </w:r>
      <w:r w:rsidRPr="00D17E3C">
        <w:rPr>
          <w:rFonts w:ascii="Times New Roman" w:eastAsia="Times New Roman" w:hAnsi="Times New Roman" w:cs="Times New Roman"/>
          <w:sz w:val="24"/>
          <w:szCs w:val="24"/>
          <w:lang w:eastAsia="es-ES"/>
        </w:rPr>
        <w:t xml:space="preserve"> (o </w:t>
      </w:r>
      <w:r w:rsidRPr="00D17E3C">
        <w:rPr>
          <w:rFonts w:ascii="Times New Roman" w:eastAsia="Times New Roman" w:hAnsi="Times New Roman" w:cs="Times New Roman"/>
          <w:i/>
          <w:iCs/>
          <w:sz w:val="24"/>
          <w:szCs w:val="24"/>
          <w:lang w:eastAsia="es-ES"/>
        </w:rPr>
        <w:t>pro persona</w:t>
      </w:r>
      <w:r w:rsidRPr="00D17E3C">
        <w:rPr>
          <w:rFonts w:ascii="Times New Roman" w:eastAsia="Times New Roman" w:hAnsi="Times New Roman" w:cs="Times New Roman"/>
          <w:sz w:val="24"/>
          <w:szCs w:val="24"/>
          <w:lang w:eastAsia="es-ES"/>
        </w:rPr>
        <w:t>), recogido en el artículo 5 de la Ley 153, se erige como la guía interpretativa fundamental, exigiendo que las normas se interpreten y apliquen del modo que más favorezca a la persona y al respeto a la dignidad humana.</w:t>
      </w:r>
    </w:p>
    <w:p w14:paraId="5C0EAE19"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Séptima: Presupuestos de admisibilidad y fondo.</w:t>
      </w:r>
      <w:r w:rsidRPr="00D17E3C">
        <w:rPr>
          <w:rFonts w:ascii="Times New Roman" w:eastAsia="Times New Roman" w:hAnsi="Times New Roman" w:cs="Times New Roman"/>
          <w:sz w:val="24"/>
          <w:szCs w:val="24"/>
          <w:lang w:eastAsia="es-ES"/>
        </w:rPr>
        <w:t xml:space="preserve"> El proceso de amparo está configurado por un conjunto de presupuestos que determinan su viabilidad. Los presupuestos de admisibilidad —legitimación, plazo, inexistencia de otra vía o concurrencia de trascendencia, postulación— operan como filtros de entrada que garantizan que solo accedan al proceso los casos que cumplen los requisitos legales. Los presupuestos de fondo —vulneración del derecho, imputabilidad, daño, relación de causalidad— son los elementos que deben probarse para obtener una sentencia estimatoria. El cumplimiento de estos requisitos no es un mero formalismo, sino la garantía de que el proceso constitucional se reserva para aquellos casos que realmente requieren una tutela preferente y expedita.</w:t>
      </w:r>
    </w:p>
    <w:p w14:paraId="3A39CCD3"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Octava: Desafíos pendientes.</w:t>
      </w:r>
      <w:r w:rsidRPr="00D17E3C">
        <w:rPr>
          <w:rFonts w:ascii="Times New Roman" w:eastAsia="Times New Roman" w:hAnsi="Times New Roman" w:cs="Times New Roman"/>
          <w:sz w:val="24"/>
          <w:szCs w:val="24"/>
          <w:lang w:eastAsia="es-ES"/>
        </w:rPr>
        <w:t xml:space="preserve"> A pesar de los avances normativos, persisten desafíos importantes que deben ser abordados para garantizar la efectividad del amparo:</w:t>
      </w:r>
    </w:p>
    <w:p w14:paraId="56738907" w14:textId="77777777" w:rsidR="00581D85" w:rsidRPr="00D17E3C" w:rsidRDefault="00581D85" w:rsidP="00D17E3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formación de los operadores jurídicos</w:t>
      </w:r>
      <w:r w:rsidRPr="00D17E3C">
        <w:rPr>
          <w:rFonts w:ascii="Times New Roman" w:eastAsia="Times New Roman" w:hAnsi="Times New Roman" w:cs="Times New Roman"/>
          <w:sz w:val="24"/>
          <w:szCs w:val="24"/>
          <w:lang w:eastAsia="es-ES"/>
        </w:rPr>
        <w:t xml:space="preserve"> en cultura constitucional, en técnicas de interpretación de derechos fundamentales y en la correcta utilización de los filtros de admisibilidad. Cuarenta y seis años de paréntesis en la justicia constitucional no se superan en un día; requieren un esfuerzo sostenido de formación y de construcción de una nueva práctica forense.</w:t>
      </w:r>
    </w:p>
    <w:p w14:paraId="295CAB3C" w14:textId="77777777" w:rsidR="00581D85" w:rsidRPr="00D17E3C" w:rsidRDefault="00581D85" w:rsidP="00D17E3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consolidación de una jurisprudencia coherente</w:t>
      </w:r>
      <w:r w:rsidRPr="00D17E3C">
        <w:rPr>
          <w:rFonts w:ascii="Times New Roman" w:eastAsia="Times New Roman" w:hAnsi="Times New Roman" w:cs="Times New Roman"/>
          <w:sz w:val="24"/>
          <w:szCs w:val="24"/>
          <w:lang w:eastAsia="es-ES"/>
        </w:rPr>
        <w:t>, que vaya perfilando el contenido de la trascendencia jurídico-social y ofrezca seguridad jurídica a los justiciables. El Tribunal Supremo, como órgano de cierre del sistema, tiene la responsabilidad de ejercer su función unificadora y de dictar, a la mayor brevedad, una sentencia "madre" que sistematice los criterios de apreciación de la trascendencia, a imagen de la STC 155/2009 española.</w:t>
      </w:r>
    </w:p>
    <w:p w14:paraId="6321E088" w14:textId="77777777" w:rsidR="00581D85" w:rsidRPr="00D17E3C" w:rsidRDefault="00581D85" w:rsidP="00D17E3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lastRenderedPageBreak/>
        <w:t>La efectiva ejecución de las sentencias</w:t>
      </w:r>
      <w:r w:rsidRPr="00D17E3C">
        <w:rPr>
          <w:rFonts w:ascii="Times New Roman" w:eastAsia="Times New Roman" w:hAnsi="Times New Roman" w:cs="Times New Roman"/>
          <w:sz w:val="24"/>
          <w:szCs w:val="24"/>
          <w:lang w:eastAsia="es-ES"/>
        </w:rPr>
        <w:t>, garantizando que las decisiones judiciales no se conviertan en declaraciones estériles. El artículo 40 de la Ley 153, que ordena la ejecución inmediata, debe ser aplicado con rigor, y los tribunales deben estar dotados de los mecanismos necesarios para hacer cumplir sus resoluciones.</w:t>
      </w:r>
    </w:p>
    <w:p w14:paraId="25AFA30A" w14:textId="77777777" w:rsidR="00581D85" w:rsidRPr="00D17E3C" w:rsidRDefault="00581D85" w:rsidP="00D17E3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El desarrollo de otras garantías constitucionales aún pendientes</w:t>
      </w:r>
      <w:r w:rsidRPr="00D17E3C">
        <w:rPr>
          <w:rFonts w:ascii="Times New Roman" w:eastAsia="Times New Roman" w:hAnsi="Times New Roman" w:cs="Times New Roman"/>
          <w:sz w:val="24"/>
          <w:szCs w:val="24"/>
          <w:lang w:eastAsia="es-ES"/>
        </w:rPr>
        <w:t>, como el control de constitucionalidad de las leyes, actualmente reservado a la Asamblea Nacional del Poder Popular mediante procedimientos políticos. La ausencia de un control judicial concentrado limita la capacidad del sistema para expulsar del ordenamiento las normas contrarias a la Constitución, y traslada al amparo una presión que excede su naturaleza.</w:t>
      </w:r>
    </w:p>
    <w:p w14:paraId="5E0E841B" w14:textId="77777777" w:rsidR="00581D85" w:rsidRPr="00D17E3C" w:rsidRDefault="00581D85" w:rsidP="00D17E3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La generación de datos empíricos</w:t>
      </w:r>
      <w:r w:rsidRPr="00D17E3C">
        <w:rPr>
          <w:rFonts w:ascii="Times New Roman" w:eastAsia="Times New Roman" w:hAnsi="Times New Roman" w:cs="Times New Roman"/>
          <w:sz w:val="24"/>
          <w:szCs w:val="24"/>
          <w:lang w:eastAsia="es-ES"/>
        </w:rPr>
        <w:t xml:space="preserve"> sobre admisiones, plazos, cumplimiento y efectos del amparo, que permitan una evaluación objetiva del funcionamiento del sistema y la calibración de futuras reformas.</w:t>
      </w:r>
    </w:p>
    <w:p w14:paraId="6DEEF8F7"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Como señala la </w:t>
      </w:r>
      <w:proofErr w:type="spellStart"/>
      <w:r w:rsidRPr="00D17E3C">
        <w:rPr>
          <w:rFonts w:ascii="Times New Roman" w:eastAsia="Times New Roman" w:hAnsi="Times New Roman" w:cs="Times New Roman"/>
          <w:sz w:val="24"/>
          <w:szCs w:val="24"/>
          <w:lang w:eastAsia="es-ES"/>
        </w:rPr>
        <w:t>MSc</w:t>
      </w:r>
      <w:proofErr w:type="spellEnd"/>
      <w:r w:rsidRPr="00D17E3C">
        <w:rPr>
          <w:rFonts w:ascii="Times New Roman" w:eastAsia="Times New Roman" w:hAnsi="Times New Roman" w:cs="Times New Roman"/>
          <w:sz w:val="24"/>
          <w:szCs w:val="24"/>
          <w:lang w:eastAsia="es-ES"/>
        </w:rPr>
        <w:t>. Amanda Laura Prieto Valdés, "la ley que desarrolla el proceso de amparo para la defensa de los derechos constitucionales en Cuba está marcada por ser expresión del mandato constitucional de dotar de mayores garantías a las personas, a partir de la concepción de un procedimiento caracterizado por su celeridad, el papel activo que han de tener los tribunales de justicia, la participación de las partes en igualdad de condiciones, con una adecuada simplificación de los trámites, la oralidad y la inmediación como sus principios rectores".</w:t>
      </w:r>
    </w:p>
    <w:p w14:paraId="03D210EC"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El profesor </w:t>
      </w:r>
      <w:proofErr w:type="spellStart"/>
      <w:r w:rsidRPr="00D17E3C">
        <w:rPr>
          <w:rFonts w:ascii="Times New Roman" w:eastAsia="Times New Roman" w:hAnsi="Times New Roman" w:cs="Times New Roman"/>
          <w:sz w:val="24"/>
          <w:szCs w:val="24"/>
          <w:lang w:eastAsia="es-ES"/>
        </w:rPr>
        <w:t>Villabella</w:t>
      </w:r>
      <w:proofErr w:type="spellEnd"/>
      <w:r w:rsidRPr="00D17E3C">
        <w:rPr>
          <w:rFonts w:ascii="Times New Roman" w:eastAsia="Times New Roman" w:hAnsi="Times New Roman" w:cs="Times New Roman"/>
          <w:sz w:val="24"/>
          <w:szCs w:val="24"/>
          <w:lang w:eastAsia="es-ES"/>
        </w:rPr>
        <w:t xml:space="preserve"> Armengol, por su parte, advierte que "el sistema de garantías de la Constitución de 2019 representa un avance significativo respecto al texto de 1976, pero su efectividad dependerá de la voluntad política y de la capacidad de los operadores jurídicos para hacerlo realidad".</w:t>
      </w:r>
    </w:p>
    <w:p w14:paraId="2CDFE482"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proceso de amparo constituye, sin duda, un avance histórico en el constitucionalismo cubano. Su sola existencia es ya una conquista: por primera vez en casi medio siglo, los ciudadanos cuentan con un mecanismo procesal específico para reclamar ante los tribunales la protección de sus derechos fundamentales. Pero su eficacia última dependerá de la capacidad de la comunidad jurídica para interpretarlo y aplicarlo de manera coherente con los principios y valores que inspiran la Constitución de 2019.</w:t>
      </w:r>
    </w:p>
    <w:p w14:paraId="244E209A"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La tarea es tanto académica como práctica: se trata de convertir la promesa normativa en realidad forense, asegurando que los derechos fundamentales sean, efectivamente, derechos de todos y para todos. Como advierte el Dr. Jorge </w:t>
      </w:r>
      <w:proofErr w:type="spellStart"/>
      <w:r w:rsidRPr="00D17E3C">
        <w:rPr>
          <w:rFonts w:ascii="Times New Roman" w:eastAsia="Times New Roman" w:hAnsi="Times New Roman" w:cs="Times New Roman"/>
          <w:sz w:val="24"/>
          <w:szCs w:val="24"/>
          <w:lang w:eastAsia="es-ES"/>
        </w:rPr>
        <w:t>Olver</w:t>
      </w:r>
      <w:proofErr w:type="spellEnd"/>
      <w:r w:rsidRPr="00D17E3C">
        <w:rPr>
          <w:rFonts w:ascii="Times New Roman" w:eastAsia="Times New Roman" w:hAnsi="Times New Roman" w:cs="Times New Roman"/>
          <w:sz w:val="24"/>
          <w:szCs w:val="24"/>
          <w:lang w:eastAsia="es-ES"/>
        </w:rPr>
        <w:t xml:space="preserve"> </w:t>
      </w:r>
      <w:proofErr w:type="spellStart"/>
      <w:r w:rsidRPr="00D17E3C">
        <w:rPr>
          <w:rFonts w:ascii="Times New Roman" w:eastAsia="Times New Roman" w:hAnsi="Times New Roman" w:cs="Times New Roman"/>
          <w:sz w:val="24"/>
          <w:szCs w:val="24"/>
          <w:lang w:eastAsia="es-ES"/>
        </w:rPr>
        <w:t>Mondelo</w:t>
      </w:r>
      <w:proofErr w:type="spellEnd"/>
      <w:r w:rsidRPr="00D17E3C">
        <w:rPr>
          <w:rFonts w:ascii="Times New Roman" w:eastAsia="Times New Roman" w:hAnsi="Times New Roman" w:cs="Times New Roman"/>
          <w:sz w:val="24"/>
          <w:szCs w:val="24"/>
          <w:lang w:eastAsia="es-ES"/>
        </w:rPr>
        <w:t xml:space="preserve"> Tamayo, "el éxito del amparo no se medirá por el número de sentencias que se dicten, sino por su capacidad para hacer efectivos los derechos y para recordar a todos los poderes —públicos y privados— que la Constitución es, en efecto, la norma suprema".</w:t>
      </w:r>
    </w:p>
    <w:p w14:paraId="64457176"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En este empeño, la experiencia comparada —especialmente la española— ofrece valiosas lecciones, pero también advertencias. El filtro de la trascendencia, bien utilizado, puede ser un instrumento para garantizar la calidad y la eficacia del amparo; mal utilizado, puede convertirse en una barrera que frustre las expectativas de tutela de los derechos fundamentales. El reto para los tribunales cubanos, y muy especialmente para el Tribunal Supremo Popular, será encontrar el equilibrio adecuado entre la necesaria selectividad y la efectiva protección de los derechos, construyendo una doctrina coherente que, sin banalizar el amparo, tampoco lo convierta en una garantía inaccesible. Se trata, en definitiva, de evitar que el "morir de éxito" —la saturación por </w:t>
      </w:r>
      <w:r w:rsidRPr="00D17E3C">
        <w:rPr>
          <w:rFonts w:ascii="Times New Roman" w:eastAsia="Times New Roman" w:hAnsi="Times New Roman" w:cs="Times New Roman"/>
          <w:sz w:val="24"/>
          <w:szCs w:val="24"/>
          <w:lang w:eastAsia="es-ES"/>
        </w:rPr>
        <w:lastRenderedPageBreak/>
        <w:t>exceso de recursos— conduzca a "vivir en el fracaso" —la desactivación del amparo como mecanismo de protección de derechos—.</w:t>
      </w:r>
    </w:p>
    <w:p w14:paraId="571E9A93" w14:textId="77777777" w:rsidR="00581D85" w:rsidRPr="00D17E3C" w:rsidRDefault="00581D85"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El camino está trazado. Las herramientas normativas están disponibles. Corresponde ahora a los operadores jurídicos —jueces, fiscales, abogados, académicos— hacerlas realidad, con audacia, con creatividad y con un compromiso inquebrantable con la dignidad humana y la justicia.</w:t>
      </w:r>
    </w:p>
    <w:p w14:paraId="1ED801B3" w14:textId="77777777" w:rsidR="00F75402" w:rsidRPr="00D17E3C" w:rsidRDefault="00F75402" w:rsidP="00D17E3C">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D17E3C">
        <w:rPr>
          <w:rFonts w:ascii="Times New Roman" w:eastAsia="Times New Roman" w:hAnsi="Times New Roman" w:cs="Times New Roman"/>
          <w:b/>
          <w:bCs/>
          <w:sz w:val="27"/>
          <w:szCs w:val="27"/>
          <w:lang w:eastAsia="es-ES"/>
        </w:rPr>
        <w:t>BIBLIOGRAFÍA RECOMENDADA</w:t>
      </w:r>
    </w:p>
    <w:p w14:paraId="5FC5FE4A" w14:textId="77777777" w:rsidR="00F75402" w:rsidRPr="00D17E3C" w:rsidRDefault="00F75402" w:rsidP="00D17E3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Constitución de la República de Cuba, 2019 (arts. 92, 94, 98, 99).</w:t>
      </w:r>
    </w:p>
    <w:p w14:paraId="49B93F4D" w14:textId="77777777" w:rsidR="00F75402" w:rsidRPr="00D17E3C" w:rsidRDefault="00F75402" w:rsidP="00D17E3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Ley No. 153/2022 "Del Proceso de Amparo de los Derechos Constitucionales". </w:t>
      </w:r>
      <w:r w:rsidRPr="00D17E3C">
        <w:rPr>
          <w:rFonts w:ascii="Times New Roman" w:eastAsia="Times New Roman" w:hAnsi="Times New Roman" w:cs="Times New Roman"/>
          <w:i/>
          <w:iCs/>
          <w:sz w:val="24"/>
          <w:szCs w:val="24"/>
          <w:lang w:eastAsia="es-ES"/>
        </w:rPr>
        <w:t>Gaceta Oficial de la República de Cuba</w:t>
      </w:r>
      <w:r w:rsidRPr="00D17E3C">
        <w:rPr>
          <w:rFonts w:ascii="Times New Roman" w:eastAsia="Times New Roman" w:hAnsi="Times New Roman" w:cs="Times New Roman"/>
          <w:sz w:val="24"/>
          <w:szCs w:val="24"/>
          <w:lang w:eastAsia="es-ES"/>
        </w:rPr>
        <w:t>, edición ordinaria No. 74, de 15 de julio de 2022.</w:t>
      </w:r>
    </w:p>
    <w:p w14:paraId="62BE4A08" w14:textId="77777777" w:rsidR="00F75402" w:rsidRPr="00D17E3C" w:rsidRDefault="00F75402" w:rsidP="00D17E3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DÍAZ TENREIRO, C. M. y PÉREZ BERNAL, M. A. "Sobre el amparo y las claves que lo guardan". </w:t>
      </w:r>
      <w:r w:rsidRPr="00D17E3C">
        <w:rPr>
          <w:rFonts w:ascii="Times New Roman" w:eastAsia="Times New Roman" w:hAnsi="Times New Roman" w:cs="Times New Roman"/>
          <w:i/>
          <w:iCs/>
          <w:sz w:val="24"/>
          <w:szCs w:val="24"/>
          <w:lang w:eastAsia="es-ES"/>
        </w:rPr>
        <w:t>Revista Justicia y Derecho</w:t>
      </w:r>
      <w:r w:rsidRPr="00D17E3C">
        <w:rPr>
          <w:rFonts w:ascii="Times New Roman" w:eastAsia="Times New Roman" w:hAnsi="Times New Roman" w:cs="Times New Roman"/>
          <w:sz w:val="24"/>
          <w:szCs w:val="24"/>
          <w:lang w:eastAsia="es-ES"/>
        </w:rPr>
        <w:t>, 2025, pp. 7-31.</w:t>
      </w:r>
    </w:p>
    <w:p w14:paraId="392B05AD" w14:textId="77777777" w:rsidR="00F75402" w:rsidRPr="00D17E3C" w:rsidRDefault="00F75402" w:rsidP="00D17E3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MONDELO TAMAYO, J. O. y LORA ROMERO, D. "El proceso de amparo de los derechos en Cuba. Análisis crítico de sus bases constitucionales y legislativas". </w:t>
      </w:r>
      <w:r w:rsidRPr="00D17E3C">
        <w:rPr>
          <w:rFonts w:ascii="Times New Roman" w:eastAsia="Times New Roman" w:hAnsi="Times New Roman" w:cs="Times New Roman"/>
          <w:i/>
          <w:iCs/>
          <w:sz w:val="24"/>
          <w:szCs w:val="24"/>
          <w:lang w:eastAsia="es-ES"/>
        </w:rPr>
        <w:t>Anuario Iberoamericano de Justicia Constitucional</w:t>
      </w:r>
      <w:r w:rsidRPr="00D17E3C">
        <w:rPr>
          <w:rFonts w:ascii="Times New Roman" w:eastAsia="Times New Roman" w:hAnsi="Times New Roman" w:cs="Times New Roman"/>
          <w:sz w:val="24"/>
          <w:szCs w:val="24"/>
          <w:lang w:eastAsia="es-ES"/>
        </w:rPr>
        <w:t>, 28(1), 2024, pp. 99-128.</w:t>
      </w:r>
    </w:p>
    <w:p w14:paraId="42857F7C" w14:textId="77777777" w:rsidR="00F75402" w:rsidRPr="00D17E3C" w:rsidRDefault="00F75402" w:rsidP="00D17E3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PRIETO VALDÉS, A. L. "Novedad en Cuba: proceso especial para la defensa de los derechos constitucionales". </w:t>
      </w:r>
      <w:r w:rsidRPr="00D17E3C">
        <w:rPr>
          <w:rFonts w:ascii="Times New Roman" w:eastAsia="Times New Roman" w:hAnsi="Times New Roman" w:cs="Times New Roman"/>
          <w:i/>
          <w:iCs/>
          <w:sz w:val="24"/>
          <w:szCs w:val="24"/>
          <w:lang w:eastAsia="es-ES"/>
        </w:rPr>
        <w:t>Revista Cubana de Derecho</w:t>
      </w:r>
      <w:r w:rsidRPr="00D17E3C">
        <w:rPr>
          <w:rFonts w:ascii="Times New Roman" w:eastAsia="Times New Roman" w:hAnsi="Times New Roman" w:cs="Times New Roman"/>
          <w:sz w:val="24"/>
          <w:szCs w:val="24"/>
          <w:lang w:eastAsia="es-ES"/>
        </w:rPr>
        <w:t>, Vol. 2, No. 2, julio-diciembre, 2022, pp. 81-101.</w:t>
      </w:r>
    </w:p>
    <w:p w14:paraId="16789662" w14:textId="77777777" w:rsidR="00F75402" w:rsidRPr="00D17E3C" w:rsidRDefault="00F75402" w:rsidP="00D17E3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PRIETO VALDÉS, M. "El amparo en el nuevo panorama constitucional cubano". En: LLEDÓ YAGÜÉ, F., BENÍTEZ ORTÚZAR, I. y MENDOZA DÍAZ, J. (</w:t>
      </w:r>
      <w:proofErr w:type="spellStart"/>
      <w:r w:rsidRPr="00D17E3C">
        <w:rPr>
          <w:rFonts w:ascii="Times New Roman" w:eastAsia="Times New Roman" w:hAnsi="Times New Roman" w:cs="Times New Roman"/>
          <w:sz w:val="24"/>
          <w:szCs w:val="24"/>
          <w:lang w:eastAsia="es-ES"/>
        </w:rPr>
        <w:t>dirs</w:t>
      </w:r>
      <w:proofErr w:type="spellEnd"/>
      <w:r w:rsidRPr="00D17E3C">
        <w:rPr>
          <w:rFonts w:ascii="Times New Roman" w:eastAsia="Times New Roman" w:hAnsi="Times New Roman" w:cs="Times New Roman"/>
          <w:sz w:val="24"/>
          <w:szCs w:val="24"/>
          <w:lang w:eastAsia="es-ES"/>
        </w:rPr>
        <w:t xml:space="preserve">.), </w:t>
      </w:r>
      <w:r w:rsidRPr="00D17E3C">
        <w:rPr>
          <w:rFonts w:ascii="Times New Roman" w:eastAsia="Times New Roman" w:hAnsi="Times New Roman" w:cs="Times New Roman"/>
          <w:i/>
          <w:iCs/>
          <w:sz w:val="24"/>
          <w:szCs w:val="24"/>
          <w:lang w:eastAsia="es-ES"/>
        </w:rPr>
        <w:t>Garantías de los derechos en el nuevo panorama constitucional cubano</w:t>
      </w:r>
      <w:r w:rsidRPr="00D17E3C">
        <w:rPr>
          <w:rFonts w:ascii="Times New Roman" w:eastAsia="Times New Roman" w:hAnsi="Times New Roman" w:cs="Times New Roman"/>
          <w:sz w:val="24"/>
          <w:szCs w:val="24"/>
          <w:lang w:eastAsia="es-ES"/>
        </w:rPr>
        <w:t>. Madrid: Dykinson, 2020.</w:t>
      </w:r>
    </w:p>
    <w:p w14:paraId="2B2DFB61" w14:textId="77777777" w:rsidR="00F75402" w:rsidRPr="00D17E3C" w:rsidRDefault="00F75402" w:rsidP="00D17E3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RAMÍREZ SÁNCHEZ, A. "La determinación de la jurisdicción competente entre el Proceso de Amparo y el Proceso Administrativo: una polémica que no cesa. Análisis de Casos". Material docente, ONBC, 2024.</w:t>
      </w:r>
    </w:p>
    <w:p w14:paraId="1E11808C" w14:textId="77777777" w:rsidR="00F75402" w:rsidRPr="00D17E3C" w:rsidRDefault="00F75402" w:rsidP="00D17E3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 xml:space="preserve">VILLABELLA ARMENGOL, C. M. "El derecho procesal constitucional cubano en la nueva época. Luces y sombras". </w:t>
      </w:r>
      <w:r w:rsidRPr="00D17E3C">
        <w:rPr>
          <w:rFonts w:ascii="Times New Roman" w:eastAsia="Times New Roman" w:hAnsi="Times New Roman" w:cs="Times New Roman"/>
          <w:i/>
          <w:iCs/>
          <w:sz w:val="24"/>
          <w:szCs w:val="24"/>
          <w:lang w:eastAsia="es-ES"/>
        </w:rPr>
        <w:t>Revista Cubana de Derecho</w:t>
      </w:r>
      <w:r w:rsidRPr="00D17E3C">
        <w:rPr>
          <w:rFonts w:ascii="Times New Roman" w:eastAsia="Times New Roman" w:hAnsi="Times New Roman" w:cs="Times New Roman"/>
          <w:sz w:val="24"/>
          <w:szCs w:val="24"/>
          <w:lang w:eastAsia="es-ES"/>
        </w:rPr>
        <w:t>, V Época, Vol. 2, No. 1, enero-junio 2022.</w:t>
      </w:r>
    </w:p>
    <w:p w14:paraId="207D3934" w14:textId="77777777" w:rsidR="00F75402" w:rsidRPr="00D17E3C" w:rsidRDefault="00D17E3C" w:rsidP="00D17E3C">
      <w:pPr>
        <w:spacing w:after="0"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pict w14:anchorId="2F3F3AF4">
          <v:rect id="_x0000_i1025" style="width:0;height:1.5pt" o:hralign="center" o:hrstd="t" o:hr="t" fillcolor="#a0a0a0" stroked="f"/>
        </w:pict>
      </w:r>
    </w:p>
    <w:p w14:paraId="7F083829"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b/>
          <w:bCs/>
          <w:sz w:val="24"/>
          <w:szCs w:val="24"/>
          <w:lang w:eastAsia="es-ES"/>
        </w:rPr>
        <w:t>Material complementario para el profesor:</w:t>
      </w:r>
    </w:p>
    <w:p w14:paraId="795F668A" w14:textId="77777777" w:rsidR="00F75402" w:rsidRPr="00D17E3C" w:rsidRDefault="00F75402" w:rsidP="00D17E3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Se recomienda la lectura y análisis en clase de los siguientes materiales, que pueden reproducirse parcialmente:</w:t>
      </w:r>
    </w:p>
    <w:p w14:paraId="5BEDC0D4" w14:textId="77777777" w:rsidR="00F75402" w:rsidRPr="00D17E3C" w:rsidRDefault="00F75402" w:rsidP="00D17E3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Auto No. 1 de 2023 de la Sala de Amparo del Tribunal Provincial Popular de Matanzas.</w:t>
      </w:r>
    </w:p>
    <w:p w14:paraId="4B0B793B" w14:textId="77777777" w:rsidR="00F75402" w:rsidRPr="00D17E3C" w:rsidRDefault="00F75402" w:rsidP="00D17E3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Auto No. 3 de 2022 de la Sala de Amparo del Tribunal Provincial Popular de Matanzas.</w:t>
      </w:r>
    </w:p>
    <w:p w14:paraId="12369BB6" w14:textId="77777777" w:rsidR="00F75402" w:rsidRPr="00D17E3C" w:rsidRDefault="00F75402" w:rsidP="00D17E3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Sentencia No. 12-2024-1800-3430 del Tribunal Supremo Popular (Sala de Amparo), de 22 de octubre de 2024.</w:t>
      </w:r>
    </w:p>
    <w:p w14:paraId="54004F56" w14:textId="77777777" w:rsidR="00F75402" w:rsidRPr="00D17E3C" w:rsidRDefault="00F75402" w:rsidP="00D17E3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17E3C">
        <w:rPr>
          <w:rFonts w:ascii="Times New Roman" w:eastAsia="Times New Roman" w:hAnsi="Times New Roman" w:cs="Times New Roman"/>
          <w:sz w:val="24"/>
          <w:szCs w:val="24"/>
          <w:lang w:eastAsia="es-ES"/>
        </w:rPr>
        <w:t>Tabla de demandas de amparo de la ONBC (agosto 2023), para identificar la variedad de objetos procesales.</w:t>
      </w:r>
    </w:p>
    <w:p w14:paraId="06519AA7" w14:textId="77777777" w:rsidR="00DD5322" w:rsidRPr="00D17E3C" w:rsidRDefault="00DD5322" w:rsidP="00D17E3C">
      <w:pPr>
        <w:jc w:val="both"/>
        <w:rPr>
          <w:rFonts w:ascii="Times New Roman" w:hAnsi="Times New Roman" w:cs="Times New Roman"/>
        </w:rPr>
      </w:pPr>
    </w:p>
    <w:sectPr w:rsidR="00DD5322" w:rsidRPr="00D17E3C" w:rsidSect="009D0270">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1FA"/>
    <w:multiLevelType w:val="multilevel"/>
    <w:tmpl w:val="A04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47B3"/>
    <w:multiLevelType w:val="multilevel"/>
    <w:tmpl w:val="BC0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5028D"/>
    <w:multiLevelType w:val="multilevel"/>
    <w:tmpl w:val="3540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710F5"/>
    <w:multiLevelType w:val="multilevel"/>
    <w:tmpl w:val="6DCA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05D2E"/>
    <w:multiLevelType w:val="multilevel"/>
    <w:tmpl w:val="157C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B0DC2"/>
    <w:multiLevelType w:val="multilevel"/>
    <w:tmpl w:val="1780E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5439B"/>
    <w:multiLevelType w:val="multilevel"/>
    <w:tmpl w:val="CB2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A1F70"/>
    <w:multiLevelType w:val="multilevel"/>
    <w:tmpl w:val="6590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848D9"/>
    <w:multiLevelType w:val="multilevel"/>
    <w:tmpl w:val="F576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F3983"/>
    <w:multiLevelType w:val="multilevel"/>
    <w:tmpl w:val="44A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C5DC0"/>
    <w:multiLevelType w:val="multilevel"/>
    <w:tmpl w:val="B496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E507E"/>
    <w:multiLevelType w:val="multilevel"/>
    <w:tmpl w:val="7FB2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628A8"/>
    <w:multiLevelType w:val="multilevel"/>
    <w:tmpl w:val="BC28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53659"/>
    <w:multiLevelType w:val="multilevel"/>
    <w:tmpl w:val="6CA6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25992"/>
    <w:multiLevelType w:val="multilevel"/>
    <w:tmpl w:val="0596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D20AE"/>
    <w:multiLevelType w:val="multilevel"/>
    <w:tmpl w:val="D14E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B022F"/>
    <w:multiLevelType w:val="multilevel"/>
    <w:tmpl w:val="08D6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87D1A"/>
    <w:multiLevelType w:val="multilevel"/>
    <w:tmpl w:val="2C28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478AE"/>
    <w:multiLevelType w:val="multilevel"/>
    <w:tmpl w:val="1496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96C27"/>
    <w:multiLevelType w:val="multilevel"/>
    <w:tmpl w:val="D5DAC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5908DE"/>
    <w:multiLevelType w:val="multilevel"/>
    <w:tmpl w:val="D966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17"/>
  </w:num>
  <w:num w:numId="4">
    <w:abstractNumId w:val="10"/>
  </w:num>
  <w:num w:numId="5">
    <w:abstractNumId w:val="9"/>
  </w:num>
  <w:num w:numId="6">
    <w:abstractNumId w:val="20"/>
  </w:num>
  <w:num w:numId="7">
    <w:abstractNumId w:val="7"/>
  </w:num>
  <w:num w:numId="8">
    <w:abstractNumId w:val="15"/>
  </w:num>
  <w:num w:numId="9">
    <w:abstractNumId w:val="6"/>
  </w:num>
  <w:num w:numId="10">
    <w:abstractNumId w:val="5"/>
  </w:num>
  <w:num w:numId="11">
    <w:abstractNumId w:val="8"/>
  </w:num>
  <w:num w:numId="12">
    <w:abstractNumId w:val="2"/>
  </w:num>
  <w:num w:numId="13">
    <w:abstractNumId w:val="16"/>
  </w:num>
  <w:num w:numId="14">
    <w:abstractNumId w:val="4"/>
  </w:num>
  <w:num w:numId="15">
    <w:abstractNumId w:val="1"/>
  </w:num>
  <w:num w:numId="16">
    <w:abstractNumId w:val="18"/>
  </w:num>
  <w:num w:numId="17">
    <w:abstractNumId w:val="11"/>
  </w:num>
  <w:num w:numId="18">
    <w:abstractNumId w:val="14"/>
  </w:num>
  <w:num w:numId="19">
    <w:abstractNumId w:val="13"/>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02"/>
    <w:rsid w:val="000657A4"/>
    <w:rsid w:val="000D5787"/>
    <w:rsid w:val="001A7DA6"/>
    <w:rsid w:val="0025071A"/>
    <w:rsid w:val="00297658"/>
    <w:rsid w:val="00303DD2"/>
    <w:rsid w:val="005771C5"/>
    <w:rsid w:val="00581D85"/>
    <w:rsid w:val="00655EAC"/>
    <w:rsid w:val="007B5992"/>
    <w:rsid w:val="00834092"/>
    <w:rsid w:val="00886789"/>
    <w:rsid w:val="008E3B09"/>
    <w:rsid w:val="009D0270"/>
    <w:rsid w:val="00A24804"/>
    <w:rsid w:val="00BA7F35"/>
    <w:rsid w:val="00C61CA3"/>
    <w:rsid w:val="00D1214D"/>
    <w:rsid w:val="00D17E3C"/>
    <w:rsid w:val="00DD5322"/>
    <w:rsid w:val="00E12670"/>
    <w:rsid w:val="00E3083C"/>
    <w:rsid w:val="00F51812"/>
    <w:rsid w:val="00F75402"/>
    <w:rsid w:val="00FD2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FF74"/>
  <w15:chartTrackingRefBased/>
  <w15:docId w15:val="{5419013B-D975-48FC-BB9A-12AD65B1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754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7540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7540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F7540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540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7540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75402"/>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F75402"/>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F75402"/>
    <w:rPr>
      <w:b/>
      <w:bCs/>
    </w:rPr>
  </w:style>
  <w:style w:type="paragraph" w:customStyle="1" w:styleId="ds-markdown-paragraph">
    <w:name w:val="ds-markdown-paragraph"/>
    <w:basedOn w:val="Normal"/>
    <w:rsid w:val="00F7540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F75402"/>
    <w:rPr>
      <w:i/>
      <w:iCs/>
    </w:rPr>
  </w:style>
  <w:style w:type="paragraph" w:styleId="Prrafodelista">
    <w:name w:val="List Paragraph"/>
    <w:basedOn w:val="Normal"/>
    <w:uiPriority w:val="34"/>
    <w:qFormat/>
    <w:rsid w:val="00D12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5417">
      <w:bodyDiv w:val="1"/>
      <w:marLeft w:val="0"/>
      <w:marRight w:val="0"/>
      <w:marTop w:val="0"/>
      <w:marBottom w:val="0"/>
      <w:divBdr>
        <w:top w:val="none" w:sz="0" w:space="0" w:color="auto"/>
        <w:left w:val="none" w:sz="0" w:space="0" w:color="auto"/>
        <w:bottom w:val="none" w:sz="0" w:space="0" w:color="auto"/>
        <w:right w:val="none" w:sz="0" w:space="0" w:color="auto"/>
      </w:divBdr>
    </w:div>
    <w:div w:id="133373361">
      <w:bodyDiv w:val="1"/>
      <w:marLeft w:val="0"/>
      <w:marRight w:val="0"/>
      <w:marTop w:val="0"/>
      <w:marBottom w:val="0"/>
      <w:divBdr>
        <w:top w:val="none" w:sz="0" w:space="0" w:color="auto"/>
        <w:left w:val="none" w:sz="0" w:space="0" w:color="auto"/>
        <w:bottom w:val="none" w:sz="0" w:space="0" w:color="auto"/>
        <w:right w:val="none" w:sz="0" w:space="0" w:color="auto"/>
      </w:divBdr>
    </w:div>
    <w:div w:id="206574108">
      <w:bodyDiv w:val="1"/>
      <w:marLeft w:val="0"/>
      <w:marRight w:val="0"/>
      <w:marTop w:val="0"/>
      <w:marBottom w:val="0"/>
      <w:divBdr>
        <w:top w:val="none" w:sz="0" w:space="0" w:color="auto"/>
        <w:left w:val="none" w:sz="0" w:space="0" w:color="auto"/>
        <w:bottom w:val="none" w:sz="0" w:space="0" w:color="auto"/>
        <w:right w:val="none" w:sz="0" w:space="0" w:color="auto"/>
      </w:divBdr>
      <w:divsChild>
        <w:div w:id="1364404961">
          <w:marLeft w:val="0"/>
          <w:marRight w:val="0"/>
          <w:marTop w:val="0"/>
          <w:marBottom w:val="0"/>
          <w:divBdr>
            <w:top w:val="none" w:sz="0" w:space="0" w:color="auto"/>
            <w:left w:val="none" w:sz="0" w:space="0" w:color="auto"/>
            <w:bottom w:val="none" w:sz="0" w:space="0" w:color="auto"/>
            <w:right w:val="none" w:sz="0" w:space="0" w:color="auto"/>
          </w:divBdr>
        </w:div>
      </w:divsChild>
    </w:div>
    <w:div w:id="259485691">
      <w:bodyDiv w:val="1"/>
      <w:marLeft w:val="0"/>
      <w:marRight w:val="0"/>
      <w:marTop w:val="0"/>
      <w:marBottom w:val="0"/>
      <w:divBdr>
        <w:top w:val="none" w:sz="0" w:space="0" w:color="auto"/>
        <w:left w:val="none" w:sz="0" w:space="0" w:color="auto"/>
        <w:bottom w:val="none" w:sz="0" w:space="0" w:color="auto"/>
        <w:right w:val="none" w:sz="0" w:space="0" w:color="auto"/>
      </w:divBdr>
      <w:divsChild>
        <w:div w:id="1527792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621798">
          <w:marLeft w:val="0"/>
          <w:marRight w:val="0"/>
          <w:marTop w:val="0"/>
          <w:marBottom w:val="0"/>
          <w:divBdr>
            <w:top w:val="none" w:sz="0" w:space="0" w:color="auto"/>
            <w:left w:val="none" w:sz="0" w:space="0" w:color="auto"/>
            <w:bottom w:val="none" w:sz="0" w:space="0" w:color="auto"/>
            <w:right w:val="none" w:sz="0" w:space="0" w:color="auto"/>
          </w:divBdr>
        </w:div>
      </w:divsChild>
    </w:div>
    <w:div w:id="550195687">
      <w:bodyDiv w:val="1"/>
      <w:marLeft w:val="0"/>
      <w:marRight w:val="0"/>
      <w:marTop w:val="0"/>
      <w:marBottom w:val="0"/>
      <w:divBdr>
        <w:top w:val="none" w:sz="0" w:space="0" w:color="auto"/>
        <w:left w:val="none" w:sz="0" w:space="0" w:color="auto"/>
        <w:bottom w:val="none" w:sz="0" w:space="0" w:color="auto"/>
        <w:right w:val="none" w:sz="0" w:space="0" w:color="auto"/>
      </w:divBdr>
      <w:divsChild>
        <w:div w:id="431359995">
          <w:marLeft w:val="0"/>
          <w:marRight w:val="0"/>
          <w:marTop w:val="0"/>
          <w:marBottom w:val="0"/>
          <w:divBdr>
            <w:top w:val="none" w:sz="0" w:space="0" w:color="auto"/>
            <w:left w:val="none" w:sz="0" w:space="0" w:color="auto"/>
            <w:bottom w:val="none" w:sz="0" w:space="0" w:color="auto"/>
            <w:right w:val="none" w:sz="0" w:space="0" w:color="auto"/>
          </w:divBdr>
        </w:div>
      </w:divsChild>
    </w:div>
    <w:div w:id="721556672">
      <w:bodyDiv w:val="1"/>
      <w:marLeft w:val="0"/>
      <w:marRight w:val="0"/>
      <w:marTop w:val="0"/>
      <w:marBottom w:val="0"/>
      <w:divBdr>
        <w:top w:val="none" w:sz="0" w:space="0" w:color="auto"/>
        <w:left w:val="none" w:sz="0" w:space="0" w:color="auto"/>
        <w:bottom w:val="none" w:sz="0" w:space="0" w:color="auto"/>
        <w:right w:val="none" w:sz="0" w:space="0" w:color="auto"/>
      </w:divBdr>
    </w:div>
    <w:div w:id="755202477">
      <w:bodyDiv w:val="1"/>
      <w:marLeft w:val="0"/>
      <w:marRight w:val="0"/>
      <w:marTop w:val="0"/>
      <w:marBottom w:val="0"/>
      <w:divBdr>
        <w:top w:val="none" w:sz="0" w:space="0" w:color="auto"/>
        <w:left w:val="none" w:sz="0" w:space="0" w:color="auto"/>
        <w:bottom w:val="none" w:sz="0" w:space="0" w:color="auto"/>
        <w:right w:val="none" w:sz="0" w:space="0" w:color="auto"/>
      </w:divBdr>
      <w:divsChild>
        <w:div w:id="734014892">
          <w:marLeft w:val="0"/>
          <w:marRight w:val="0"/>
          <w:marTop w:val="0"/>
          <w:marBottom w:val="0"/>
          <w:divBdr>
            <w:top w:val="none" w:sz="0" w:space="0" w:color="auto"/>
            <w:left w:val="none" w:sz="0" w:space="0" w:color="auto"/>
            <w:bottom w:val="none" w:sz="0" w:space="0" w:color="auto"/>
            <w:right w:val="none" w:sz="0" w:space="0" w:color="auto"/>
          </w:divBdr>
        </w:div>
      </w:divsChild>
    </w:div>
    <w:div w:id="814569590">
      <w:bodyDiv w:val="1"/>
      <w:marLeft w:val="0"/>
      <w:marRight w:val="0"/>
      <w:marTop w:val="0"/>
      <w:marBottom w:val="0"/>
      <w:divBdr>
        <w:top w:val="none" w:sz="0" w:space="0" w:color="auto"/>
        <w:left w:val="none" w:sz="0" w:space="0" w:color="auto"/>
        <w:bottom w:val="none" w:sz="0" w:space="0" w:color="auto"/>
        <w:right w:val="none" w:sz="0" w:space="0" w:color="auto"/>
      </w:divBdr>
      <w:divsChild>
        <w:div w:id="1955868486">
          <w:marLeft w:val="0"/>
          <w:marRight w:val="0"/>
          <w:marTop w:val="0"/>
          <w:marBottom w:val="0"/>
          <w:divBdr>
            <w:top w:val="none" w:sz="0" w:space="0" w:color="auto"/>
            <w:left w:val="none" w:sz="0" w:space="0" w:color="auto"/>
            <w:bottom w:val="none" w:sz="0" w:space="0" w:color="auto"/>
            <w:right w:val="none" w:sz="0" w:space="0" w:color="auto"/>
          </w:divBdr>
          <w:divsChild>
            <w:div w:id="19082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820">
      <w:bodyDiv w:val="1"/>
      <w:marLeft w:val="0"/>
      <w:marRight w:val="0"/>
      <w:marTop w:val="0"/>
      <w:marBottom w:val="0"/>
      <w:divBdr>
        <w:top w:val="none" w:sz="0" w:space="0" w:color="auto"/>
        <w:left w:val="none" w:sz="0" w:space="0" w:color="auto"/>
        <w:bottom w:val="none" w:sz="0" w:space="0" w:color="auto"/>
        <w:right w:val="none" w:sz="0" w:space="0" w:color="auto"/>
      </w:divBdr>
      <w:divsChild>
        <w:div w:id="1965042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16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465443">
          <w:marLeft w:val="0"/>
          <w:marRight w:val="0"/>
          <w:marTop w:val="0"/>
          <w:marBottom w:val="0"/>
          <w:divBdr>
            <w:top w:val="none" w:sz="0" w:space="0" w:color="auto"/>
            <w:left w:val="none" w:sz="0" w:space="0" w:color="auto"/>
            <w:bottom w:val="none" w:sz="0" w:space="0" w:color="auto"/>
            <w:right w:val="none" w:sz="0" w:space="0" w:color="auto"/>
          </w:divBdr>
        </w:div>
        <w:div w:id="1723092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62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9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455870">
      <w:bodyDiv w:val="1"/>
      <w:marLeft w:val="0"/>
      <w:marRight w:val="0"/>
      <w:marTop w:val="0"/>
      <w:marBottom w:val="0"/>
      <w:divBdr>
        <w:top w:val="none" w:sz="0" w:space="0" w:color="auto"/>
        <w:left w:val="none" w:sz="0" w:space="0" w:color="auto"/>
        <w:bottom w:val="none" w:sz="0" w:space="0" w:color="auto"/>
        <w:right w:val="none" w:sz="0" w:space="0" w:color="auto"/>
      </w:divBdr>
      <w:divsChild>
        <w:div w:id="155269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719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973164">
      <w:bodyDiv w:val="1"/>
      <w:marLeft w:val="0"/>
      <w:marRight w:val="0"/>
      <w:marTop w:val="0"/>
      <w:marBottom w:val="0"/>
      <w:divBdr>
        <w:top w:val="none" w:sz="0" w:space="0" w:color="auto"/>
        <w:left w:val="none" w:sz="0" w:space="0" w:color="auto"/>
        <w:bottom w:val="none" w:sz="0" w:space="0" w:color="auto"/>
        <w:right w:val="none" w:sz="0" w:space="0" w:color="auto"/>
      </w:divBdr>
      <w:divsChild>
        <w:div w:id="581330933">
          <w:marLeft w:val="0"/>
          <w:marRight w:val="0"/>
          <w:marTop w:val="0"/>
          <w:marBottom w:val="0"/>
          <w:divBdr>
            <w:top w:val="none" w:sz="0" w:space="0" w:color="auto"/>
            <w:left w:val="none" w:sz="0" w:space="0" w:color="auto"/>
            <w:bottom w:val="none" w:sz="0" w:space="0" w:color="auto"/>
            <w:right w:val="none" w:sz="0" w:space="0" w:color="auto"/>
          </w:divBdr>
        </w:div>
      </w:divsChild>
    </w:div>
    <w:div w:id="1307125348">
      <w:bodyDiv w:val="1"/>
      <w:marLeft w:val="0"/>
      <w:marRight w:val="0"/>
      <w:marTop w:val="0"/>
      <w:marBottom w:val="0"/>
      <w:divBdr>
        <w:top w:val="none" w:sz="0" w:space="0" w:color="auto"/>
        <w:left w:val="none" w:sz="0" w:space="0" w:color="auto"/>
        <w:bottom w:val="none" w:sz="0" w:space="0" w:color="auto"/>
        <w:right w:val="none" w:sz="0" w:space="0" w:color="auto"/>
      </w:divBdr>
      <w:divsChild>
        <w:div w:id="180093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402036">
      <w:bodyDiv w:val="1"/>
      <w:marLeft w:val="0"/>
      <w:marRight w:val="0"/>
      <w:marTop w:val="0"/>
      <w:marBottom w:val="0"/>
      <w:divBdr>
        <w:top w:val="none" w:sz="0" w:space="0" w:color="auto"/>
        <w:left w:val="none" w:sz="0" w:space="0" w:color="auto"/>
        <w:bottom w:val="none" w:sz="0" w:space="0" w:color="auto"/>
        <w:right w:val="none" w:sz="0" w:space="0" w:color="auto"/>
      </w:divBdr>
      <w:divsChild>
        <w:div w:id="623266757">
          <w:marLeft w:val="0"/>
          <w:marRight w:val="0"/>
          <w:marTop w:val="0"/>
          <w:marBottom w:val="0"/>
          <w:divBdr>
            <w:top w:val="none" w:sz="0" w:space="0" w:color="auto"/>
            <w:left w:val="none" w:sz="0" w:space="0" w:color="auto"/>
            <w:bottom w:val="none" w:sz="0" w:space="0" w:color="auto"/>
            <w:right w:val="none" w:sz="0" w:space="0" w:color="auto"/>
          </w:divBdr>
          <w:divsChild>
            <w:div w:id="18353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8361">
      <w:bodyDiv w:val="1"/>
      <w:marLeft w:val="0"/>
      <w:marRight w:val="0"/>
      <w:marTop w:val="0"/>
      <w:marBottom w:val="0"/>
      <w:divBdr>
        <w:top w:val="none" w:sz="0" w:space="0" w:color="auto"/>
        <w:left w:val="none" w:sz="0" w:space="0" w:color="auto"/>
        <w:bottom w:val="none" w:sz="0" w:space="0" w:color="auto"/>
        <w:right w:val="none" w:sz="0" w:space="0" w:color="auto"/>
      </w:divBdr>
    </w:div>
    <w:div w:id="1924023416">
      <w:bodyDiv w:val="1"/>
      <w:marLeft w:val="0"/>
      <w:marRight w:val="0"/>
      <w:marTop w:val="0"/>
      <w:marBottom w:val="0"/>
      <w:divBdr>
        <w:top w:val="none" w:sz="0" w:space="0" w:color="auto"/>
        <w:left w:val="none" w:sz="0" w:space="0" w:color="auto"/>
        <w:bottom w:val="none" w:sz="0" w:space="0" w:color="auto"/>
        <w:right w:val="none" w:sz="0" w:space="0" w:color="auto"/>
      </w:divBdr>
      <w:divsChild>
        <w:div w:id="1223786107">
          <w:marLeft w:val="0"/>
          <w:marRight w:val="0"/>
          <w:marTop w:val="0"/>
          <w:marBottom w:val="0"/>
          <w:divBdr>
            <w:top w:val="none" w:sz="0" w:space="0" w:color="auto"/>
            <w:left w:val="none" w:sz="0" w:space="0" w:color="auto"/>
            <w:bottom w:val="none" w:sz="0" w:space="0" w:color="auto"/>
            <w:right w:val="none" w:sz="0" w:space="0" w:color="auto"/>
          </w:divBdr>
          <w:divsChild>
            <w:div w:id="1724252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1141163">
      <w:bodyDiv w:val="1"/>
      <w:marLeft w:val="0"/>
      <w:marRight w:val="0"/>
      <w:marTop w:val="0"/>
      <w:marBottom w:val="0"/>
      <w:divBdr>
        <w:top w:val="none" w:sz="0" w:space="0" w:color="auto"/>
        <w:left w:val="none" w:sz="0" w:space="0" w:color="auto"/>
        <w:bottom w:val="none" w:sz="0" w:space="0" w:color="auto"/>
        <w:right w:val="none" w:sz="0" w:space="0" w:color="auto"/>
      </w:divBdr>
      <w:divsChild>
        <w:div w:id="181213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66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49</Pages>
  <Words>25026</Words>
  <Characters>137648</Characters>
  <Application>Microsoft Office Word</Application>
  <DocSecurity>0</DocSecurity>
  <Lines>1147</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dc:creator>
  <cp:keywords/>
  <dc:description/>
  <cp:lastModifiedBy>amed</cp:lastModifiedBy>
  <cp:revision>5</cp:revision>
  <dcterms:created xsi:type="dcterms:W3CDTF">2026-02-20T17:00:00Z</dcterms:created>
  <dcterms:modified xsi:type="dcterms:W3CDTF">2026-03-03T05:03:00Z</dcterms:modified>
</cp:coreProperties>
</file>