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A6DAC" w14:textId="77777777" w:rsidR="003B22B0" w:rsidRPr="003B22B0" w:rsidRDefault="003B22B0" w:rsidP="00A11397">
      <w:pPr>
        <w:spacing w:before="120" w:after="120" w:line="240" w:lineRule="auto"/>
        <w:outlineLvl w:val="0"/>
        <w:rPr>
          <w:rFonts w:ascii="Times New Roman" w:eastAsia="Times New Roman" w:hAnsi="Times New Roman" w:cs="Times New Roman"/>
          <w:b/>
          <w:bCs/>
          <w:kern w:val="36"/>
          <w:sz w:val="24"/>
          <w:szCs w:val="24"/>
          <w:lang w:eastAsia="es-ES"/>
        </w:rPr>
      </w:pPr>
      <w:r w:rsidRPr="003B22B0">
        <w:rPr>
          <w:rFonts w:ascii="Times New Roman" w:eastAsia="Times New Roman" w:hAnsi="Times New Roman" w:cs="Times New Roman"/>
          <w:b/>
          <w:bCs/>
          <w:kern w:val="36"/>
          <w:sz w:val="24"/>
          <w:szCs w:val="24"/>
          <w:lang w:eastAsia="es-ES"/>
        </w:rPr>
        <w:t>LECCIÓN V: DILIGENCIAS PRELIMINARES, RÉGIMEN CAUTELAR Y DESARROLLO DEL PROCESO DE AMPARO CONSTITUCIONAL</w:t>
      </w:r>
    </w:p>
    <w:p w14:paraId="3D6E2338" w14:textId="77777777" w:rsidR="003B22B0" w:rsidRPr="003B22B0" w:rsidRDefault="003B22B0" w:rsidP="00A11397">
      <w:pPr>
        <w:spacing w:before="120" w:after="120" w:line="240" w:lineRule="auto"/>
        <w:outlineLvl w:val="1"/>
        <w:rPr>
          <w:rFonts w:ascii="Times New Roman" w:eastAsia="Times New Roman" w:hAnsi="Times New Roman" w:cs="Times New Roman"/>
          <w:b/>
          <w:bCs/>
          <w:sz w:val="24"/>
          <w:szCs w:val="24"/>
          <w:lang w:eastAsia="es-ES"/>
        </w:rPr>
      </w:pPr>
      <w:r w:rsidRPr="003B22B0">
        <w:rPr>
          <w:rFonts w:ascii="Times New Roman" w:eastAsia="Times New Roman" w:hAnsi="Times New Roman" w:cs="Times New Roman"/>
          <w:b/>
          <w:bCs/>
          <w:sz w:val="24"/>
          <w:szCs w:val="24"/>
          <w:lang w:eastAsia="es-ES"/>
        </w:rPr>
        <w:t>SUMARIO</w:t>
      </w:r>
    </w:p>
    <w:p w14:paraId="4549FCFA" w14:textId="77777777" w:rsidR="003B22B0" w:rsidRPr="003B22B0" w:rsidRDefault="003B22B0" w:rsidP="00A11397">
      <w:pPr>
        <w:numPr>
          <w:ilvl w:val="0"/>
          <w:numId w:val="1"/>
        </w:numPr>
        <w:spacing w:before="120" w:after="120" w:line="240" w:lineRule="auto"/>
        <w:rPr>
          <w:rFonts w:ascii="Times New Roman" w:eastAsia="Times New Roman" w:hAnsi="Times New Roman" w:cs="Times New Roman"/>
          <w:sz w:val="24"/>
          <w:szCs w:val="24"/>
          <w:lang w:eastAsia="es-ES"/>
        </w:rPr>
      </w:pPr>
      <w:r w:rsidRPr="003B22B0">
        <w:rPr>
          <w:rFonts w:ascii="Times New Roman" w:eastAsia="Times New Roman" w:hAnsi="Times New Roman" w:cs="Times New Roman"/>
          <w:b/>
          <w:bCs/>
          <w:sz w:val="24"/>
          <w:szCs w:val="24"/>
          <w:lang w:eastAsia="es-ES"/>
        </w:rPr>
        <w:t>Introducción</w:t>
      </w:r>
      <w:r w:rsidRPr="003B22B0">
        <w:rPr>
          <w:rFonts w:ascii="Times New Roman" w:eastAsia="Times New Roman" w:hAnsi="Times New Roman" w:cs="Times New Roman"/>
          <w:sz w:val="24"/>
          <w:szCs w:val="24"/>
          <w:lang w:eastAsia="es-ES"/>
        </w:rPr>
        <w:t>: El amparo como garantía preferente y expedita</w:t>
      </w:r>
    </w:p>
    <w:p w14:paraId="427AD04C" w14:textId="77777777" w:rsidR="003B22B0" w:rsidRPr="003B22B0" w:rsidRDefault="003B22B0" w:rsidP="00A11397">
      <w:pPr>
        <w:numPr>
          <w:ilvl w:val="0"/>
          <w:numId w:val="1"/>
        </w:numPr>
        <w:spacing w:before="120" w:after="120" w:line="240" w:lineRule="auto"/>
        <w:rPr>
          <w:rFonts w:ascii="Times New Roman" w:eastAsia="Times New Roman" w:hAnsi="Times New Roman" w:cs="Times New Roman"/>
          <w:sz w:val="24"/>
          <w:szCs w:val="24"/>
          <w:lang w:eastAsia="es-ES"/>
        </w:rPr>
      </w:pPr>
      <w:r w:rsidRPr="003B22B0">
        <w:rPr>
          <w:rFonts w:ascii="Times New Roman" w:eastAsia="Times New Roman" w:hAnsi="Times New Roman" w:cs="Times New Roman"/>
          <w:b/>
          <w:bCs/>
          <w:sz w:val="24"/>
          <w:szCs w:val="24"/>
          <w:lang w:eastAsia="es-ES"/>
        </w:rPr>
        <w:t>Diligencias Preliminares</w:t>
      </w:r>
      <w:r w:rsidRPr="003B22B0">
        <w:rPr>
          <w:rFonts w:ascii="Times New Roman" w:eastAsia="Times New Roman" w:hAnsi="Times New Roman" w:cs="Times New Roman"/>
          <w:sz w:val="24"/>
          <w:szCs w:val="24"/>
          <w:lang w:eastAsia="es-ES"/>
        </w:rPr>
        <w:t>: Función preparatoria y tipología en la Ley 153/2022</w:t>
      </w:r>
    </w:p>
    <w:p w14:paraId="7C95C667" w14:textId="77777777" w:rsidR="003B22B0" w:rsidRPr="003B22B0" w:rsidRDefault="003B22B0" w:rsidP="00A11397">
      <w:pPr>
        <w:numPr>
          <w:ilvl w:val="0"/>
          <w:numId w:val="1"/>
        </w:numPr>
        <w:spacing w:before="120" w:after="120" w:line="240" w:lineRule="auto"/>
        <w:rPr>
          <w:rFonts w:ascii="Times New Roman" w:eastAsia="Times New Roman" w:hAnsi="Times New Roman" w:cs="Times New Roman"/>
          <w:sz w:val="24"/>
          <w:szCs w:val="24"/>
          <w:lang w:eastAsia="es-ES"/>
        </w:rPr>
      </w:pPr>
      <w:r w:rsidRPr="003B22B0">
        <w:rPr>
          <w:rFonts w:ascii="Times New Roman" w:eastAsia="Times New Roman" w:hAnsi="Times New Roman" w:cs="Times New Roman"/>
          <w:b/>
          <w:bCs/>
          <w:sz w:val="24"/>
          <w:szCs w:val="24"/>
          <w:lang w:eastAsia="es-ES"/>
        </w:rPr>
        <w:t>Régimen Cautelar en el Proceso de Amparo</w:t>
      </w:r>
      <w:r w:rsidRPr="003B22B0">
        <w:rPr>
          <w:rFonts w:ascii="Times New Roman" w:eastAsia="Times New Roman" w:hAnsi="Times New Roman" w:cs="Times New Roman"/>
          <w:sz w:val="24"/>
          <w:szCs w:val="24"/>
          <w:lang w:eastAsia="es-ES"/>
        </w:rPr>
        <w:t>:</w:t>
      </w:r>
    </w:p>
    <w:p w14:paraId="18E9529C" w14:textId="77777777" w:rsidR="003B22B0" w:rsidRPr="003B22B0" w:rsidRDefault="003B22B0" w:rsidP="00A11397">
      <w:pPr>
        <w:numPr>
          <w:ilvl w:val="1"/>
          <w:numId w:val="1"/>
        </w:numPr>
        <w:spacing w:before="120" w:after="120" w:line="240" w:lineRule="auto"/>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3.1. Fundamento constitucional y presupuestos (fumus boni iuris y periculum in mora)</w:t>
      </w:r>
    </w:p>
    <w:p w14:paraId="4A12E172" w14:textId="77777777" w:rsidR="003B22B0" w:rsidRPr="003B22B0" w:rsidRDefault="003B22B0" w:rsidP="00A11397">
      <w:pPr>
        <w:numPr>
          <w:ilvl w:val="1"/>
          <w:numId w:val="1"/>
        </w:numPr>
        <w:spacing w:before="120" w:after="120" w:line="240" w:lineRule="auto"/>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3.2. Tipos de medidas cautelares en el artículo 19</w:t>
      </w:r>
    </w:p>
    <w:p w14:paraId="515FA3C9" w14:textId="77777777" w:rsidR="003B22B0" w:rsidRPr="003B22B0" w:rsidRDefault="003B22B0" w:rsidP="00A11397">
      <w:pPr>
        <w:numPr>
          <w:ilvl w:val="1"/>
          <w:numId w:val="1"/>
        </w:numPr>
        <w:spacing w:before="120" w:after="120" w:line="240" w:lineRule="auto"/>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3.3. Procedimiento para la adopción: urgencia y contradicción diferida</w:t>
      </w:r>
    </w:p>
    <w:p w14:paraId="5D1B39E6" w14:textId="77777777" w:rsidR="003B22B0" w:rsidRPr="003B22B0" w:rsidRDefault="003B22B0" w:rsidP="00A11397">
      <w:pPr>
        <w:numPr>
          <w:ilvl w:val="1"/>
          <w:numId w:val="1"/>
        </w:numPr>
        <w:spacing w:before="120" w:after="120" w:line="240" w:lineRule="auto"/>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3.4. Vigencia, modificación y extinción</w:t>
      </w:r>
    </w:p>
    <w:p w14:paraId="78890B43" w14:textId="77777777" w:rsidR="003B22B0" w:rsidRPr="003B22B0" w:rsidRDefault="003B22B0" w:rsidP="00A11397">
      <w:pPr>
        <w:numPr>
          <w:ilvl w:val="0"/>
          <w:numId w:val="1"/>
        </w:numPr>
        <w:spacing w:before="120" w:after="120" w:line="240" w:lineRule="auto"/>
        <w:rPr>
          <w:rFonts w:ascii="Times New Roman" w:eastAsia="Times New Roman" w:hAnsi="Times New Roman" w:cs="Times New Roman"/>
          <w:sz w:val="24"/>
          <w:szCs w:val="24"/>
          <w:lang w:eastAsia="es-ES"/>
        </w:rPr>
      </w:pPr>
      <w:r w:rsidRPr="003B22B0">
        <w:rPr>
          <w:rFonts w:ascii="Times New Roman" w:eastAsia="Times New Roman" w:hAnsi="Times New Roman" w:cs="Times New Roman"/>
          <w:b/>
          <w:bCs/>
          <w:sz w:val="24"/>
          <w:szCs w:val="24"/>
          <w:lang w:eastAsia="es-ES"/>
        </w:rPr>
        <w:t>La Demanda de Amparo</w:t>
      </w:r>
      <w:r w:rsidRPr="003B22B0">
        <w:rPr>
          <w:rFonts w:ascii="Times New Roman" w:eastAsia="Times New Roman" w:hAnsi="Times New Roman" w:cs="Times New Roman"/>
          <w:sz w:val="24"/>
          <w:szCs w:val="24"/>
          <w:lang w:eastAsia="es-ES"/>
        </w:rPr>
        <w:t>: Requisitos formales, plazo de interposición y control de admisibilidad</w:t>
      </w:r>
    </w:p>
    <w:p w14:paraId="3C81F9F5" w14:textId="77777777" w:rsidR="003B22B0" w:rsidRPr="003B22B0" w:rsidRDefault="003B22B0" w:rsidP="00A11397">
      <w:pPr>
        <w:numPr>
          <w:ilvl w:val="0"/>
          <w:numId w:val="1"/>
        </w:numPr>
        <w:spacing w:before="120" w:after="120" w:line="240" w:lineRule="auto"/>
        <w:rPr>
          <w:rFonts w:ascii="Times New Roman" w:eastAsia="Times New Roman" w:hAnsi="Times New Roman" w:cs="Times New Roman"/>
          <w:sz w:val="24"/>
          <w:szCs w:val="24"/>
          <w:lang w:eastAsia="es-ES"/>
        </w:rPr>
      </w:pPr>
      <w:r w:rsidRPr="003B22B0">
        <w:rPr>
          <w:rFonts w:ascii="Times New Roman" w:eastAsia="Times New Roman" w:hAnsi="Times New Roman" w:cs="Times New Roman"/>
          <w:b/>
          <w:bCs/>
          <w:sz w:val="24"/>
          <w:szCs w:val="24"/>
          <w:lang w:eastAsia="es-ES"/>
        </w:rPr>
        <w:t>Emplazamiento y Contestación</w:t>
      </w:r>
      <w:r w:rsidRPr="003B22B0">
        <w:rPr>
          <w:rFonts w:ascii="Times New Roman" w:eastAsia="Times New Roman" w:hAnsi="Times New Roman" w:cs="Times New Roman"/>
          <w:sz w:val="24"/>
          <w:szCs w:val="24"/>
          <w:lang w:eastAsia="es-ES"/>
        </w:rPr>
        <w:t>: Plazos reducidos, rebeldía y allanamiento</w:t>
      </w:r>
    </w:p>
    <w:p w14:paraId="615F0624" w14:textId="77777777" w:rsidR="003B22B0" w:rsidRPr="003B22B0" w:rsidRDefault="003B22B0" w:rsidP="00A11397">
      <w:pPr>
        <w:numPr>
          <w:ilvl w:val="0"/>
          <w:numId w:val="1"/>
        </w:numPr>
        <w:spacing w:before="120" w:after="120" w:line="240" w:lineRule="auto"/>
        <w:rPr>
          <w:rFonts w:ascii="Times New Roman" w:eastAsia="Times New Roman" w:hAnsi="Times New Roman" w:cs="Times New Roman"/>
          <w:sz w:val="24"/>
          <w:szCs w:val="24"/>
          <w:lang w:eastAsia="es-ES"/>
        </w:rPr>
      </w:pPr>
      <w:r w:rsidRPr="003B22B0">
        <w:rPr>
          <w:rFonts w:ascii="Times New Roman" w:eastAsia="Times New Roman" w:hAnsi="Times New Roman" w:cs="Times New Roman"/>
          <w:b/>
          <w:bCs/>
          <w:sz w:val="24"/>
          <w:szCs w:val="24"/>
          <w:lang w:eastAsia="es-ES"/>
        </w:rPr>
        <w:t>La Audiencia</w:t>
      </w:r>
      <w:r w:rsidRPr="003B22B0">
        <w:rPr>
          <w:rFonts w:ascii="Times New Roman" w:eastAsia="Times New Roman" w:hAnsi="Times New Roman" w:cs="Times New Roman"/>
          <w:sz w:val="24"/>
          <w:szCs w:val="24"/>
          <w:lang w:eastAsia="es-ES"/>
        </w:rPr>
        <w:t>: Concentración, oralidad y fines del acto procesal</w:t>
      </w:r>
    </w:p>
    <w:p w14:paraId="157B80A0" w14:textId="77777777" w:rsidR="003B22B0" w:rsidRPr="003B22B0" w:rsidRDefault="003B22B0" w:rsidP="00A11397">
      <w:pPr>
        <w:numPr>
          <w:ilvl w:val="0"/>
          <w:numId w:val="1"/>
        </w:numPr>
        <w:spacing w:before="120" w:after="120" w:line="240" w:lineRule="auto"/>
        <w:rPr>
          <w:rFonts w:ascii="Times New Roman" w:eastAsia="Times New Roman" w:hAnsi="Times New Roman" w:cs="Times New Roman"/>
          <w:sz w:val="24"/>
          <w:szCs w:val="24"/>
          <w:lang w:eastAsia="es-ES"/>
        </w:rPr>
      </w:pPr>
      <w:r w:rsidRPr="003B22B0">
        <w:rPr>
          <w:rFonts w:ascii="Times New Roman" w:eastAsia="Times New Roman" w:hAnsi="Times New Roman" w:cs="Times New Roman"/>
          <w:b/>
          <w:bCs/>
          <w:sz w:val="24"/>
          <w:szCs w:val="24"/>
          <w:lang w:eastAsia="es-ES"/>
        </w:rPr>
        <w:t>La Prueba en el Amparo</w:t>
      </w:r>
      <w:r w:rsidRPr="003B22B0">
        <w:rPr>
          <w:rFonts w:ascii="Times New Roman" w:eastAsia="Times New Roman" w:hAnsi="Times New Roman" w:cs="Times New Roman"/>
          <w:sz w:val="24"/>
          <w:szCs w:val="24"/>
          <w:lang w:eastAsia="es-ES"/>
        </w:rPr>
        <w:t>: Carga, medios, admisión y particularidades</w:t>
      </w:r>
    </w:p>
    <w:p w14:paraId="3E024308" w14:textId="77777777" w:rsidR="003B22B0" w:rsidRPr="003B22B0" w:rsidRDefault="003B22B0" w:rsidP="00A11397">
      <w:pPr>
        <w:numPr>
          <w:ilvl w:val="0"/>
          <w:numId w:val="1"/>
        </w:numPr>
        <w:spacing w:before="120" w:after="120" w:line="240" w:lineRule="auto"/>
        <w:rPr>
          <w:rFonts w:ascii="Times New Roman" w:eastAsia="Times New Roman" w:hAnsi="Times New Roman" w:cs="Times New Roman"/>
          <w:sz w:val="24"/>
          <w:szCs w:val="24"/>
          <w:lang w:eastAsia="es-ES"/>
        </w:rPr>
      </w:pPr>
      <w:r w:rsidRPr="003B22B0">
        <w:rPr>
          <w:rFonts w:ascii="Times New Roman" w:eastAsia="Times New Roman" w:hAnsi="Times New Roman" w:cs="Times New Roman"/>
          <w:b/>
          <w:bCs/>
          <w:sz w:val="24"/>
          <w:szCs w:val="24"/>
          <w:lang w:eastAsia="es-ES"/>
        </w:rPr>
        <w:t>Conclusiones</w:t>
      </w:r>
    </w:p>
    <w:p w14:paraId="5BC55984" w14:textId="77777777" w:rsidR="003B22B0" w:rsidRPr="003B22B0" w:rsidRDefault="003B22B0" w:rsidP="00A11397">
      <w:pPr>
        <w:spacing w:before="120" w:after="120" w:line="240" w:lineRule="auto"/>
        <w:jc w:val="both"/>
        <w:outlineLvl w:val="1"/>
        <w:rPr>
          <w:rFonts w:ascii="Times New Roman" w:eastAsia="Times New Roman" w:hAnsi="Times New Roman" w:cs="Times New Roman"/>
          <w:b/>
          <w:bCs/>
          <w:sz w:val="24"/>
          <w:szCs w:val="24"/>
          <w:lang w:eastAsia="es-ES"/>
        </w:rPr>
      </w:pPr>
      <w:r w:rsidRPr="003B22B0">
        <w:rPr>
          <w:rFonts w:ascii="Times New Roman" w:eastAsia="Times New Roman" w:hAnsi="Times New Roman" w:cs="Times New Roman"/>
          <w:b/>
          <w:bCs/>
          <w:sz w:val="24"/>
          <w:szCs w:val="24"/>
          <w:lang w:eastAsia="es-ES"/>
        </w:rPr>
        <w:t>1. INTRODUCCIÓN: EL AMPARO COMO GARANTÍA PREFERENTE Y EXPEDITA</w:t>
      </w:r>
    </w:p>
    <w:p w14:paraId="3D0809AD" w14:textId="12654DAB" w:rsidR="003B22B0" w:rsidRPr="003B22B0" w:rsidRDefault="00635C1F" w:rsidP="00A11397">
      <w:pPr>
        <w:spacing w:before="120" w:after="120" w:line="24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P</w:t>
      </w:r>
      <w:r w:rsidR="003B22B0" w:rsidRPr="003B22B0">
        <w:rPr>
          <w:rFonts w:ascii="Times New Roman" w:eastAsia="Times New Roman" w:hAnsi="Times New Roman" w:cs="Times New Roman"/>
          <w:sz w:val="24"/>
          <w:szCs w:val="24"/>
          <w:lang w:eastAsia="es-ES"/>
        </w:rPr>
        <w:t>ermíteme comenzar esta lección con una pregunta que seguramente te has formulado: ¿de qué sirve tener derechos constitucionalmente reconocidos si no existen mecanismos eficaces para protegerlos? Esta interrogante, que ha ocupado a la doctrina procesal durante décadas, encuentra su respuesta en el proceso de amparo, concebido como la garantía jurisdiccional por excelencia de los derechos fundamentales .</w:t>
      </w:r>
    </w:p>
    <w:p w14:paraId="7867FAD3"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La Constitución de la República de Cuba de 2019 incorporó, en su artículo 99, una garantía sin precedentes en nuestro constitucionalismo socialista: el derecho de toda persona a reclamar ante los tribunales la restitución de sus derechos constitucionales vulnerados. Como acertadamente señala el Dr. Juan Mendoza Díaz, este precepto opera la "constitucionalización de la acción", elevando a rango fundamental la facultad de acceder a la jurisdicción para obtener tutela efectiva .</w:t>
      </w:r>
    </w:p>
    <w:p w14:paraId="480E6DB5"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 xml:space="preserve">El desarrollo normativo de este mandato constitucional se materializó en la Ley No. 153/2022, "Del Proceso de Amparo de los Derechos Constitucionales". Su artículo 1 establece que este proceso se configura para conocer de las pretensiones derivadas de la vulneración de derechos constitucionales, con excepción de aquellas que tengan una vía de defensa propia en procesos judiciales de otra materia. Esta disposición, como veremos a lo largo de la lección, determina la naturaleza </w:t>
      </w:r>
      <w:r w:rsidRPr="003B22B0">
        <w:rPr>
          <w:rFonts w:ascii="Times New Roman" w:eastAsia="Times New Roman" w:hAnsi="Times New Roman" w:cs="Times New Roman"/>
          <w:b/>
          <w:bCs/>
          <w:sz w:val="24"/>
          <w:szCs w:val="24"/>
          <w:lang w:eastAsia="es-ES"/>
        </w:rPr>
        <w:t>subsidiaria</w:t>
      </w:r>
      <w:r w:rsidRPr="003B22B0">
        <w:rPr>
          <w:rFonts w:ascii="Times New Roman" w:eastAsia="Times New Roman" w:hAnsi="Times New Roman" w:cs="Times New Roman"/>
          <w:sz w:val="24"/>
          <w:szCs w:val="24"/>
          <w:lang w:eastAsia="es-ES"/>
        </w:rPr>
        <w:t xml:space="preserve"> del amparo: no es una vía paralela, sino el mecanismo último de protección cuando los cauces ordinarios resultan insuficientes.</w:t>
      </w:r>
    </w:p>
    <w:p w14:paraId="6C9398BC"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 xml:space="preserve">Ahora bien, el constituyente y el legislador fueron conscientes de que la justicia que llega tarde no es verdadera justicia. Por ello, el artículo 99 constitucional ordena que el proceso de amparo sea </w:t>
      </w:r>
      <w:r w:rsidRPr="003B22B0">
        <w:rPr>
          <w:rFonts w:ascii="Times New Roman" w:eastAsia="Times New Roman" w:hAnsi="Times New Roman" w:cs="Times New Roman"/>
          <w:b/>
          <w:bCs/>
          <w:sz w:val="24"/>
          <w:szCs w:val="24"/>
          <w:lang w:eastAsia="es-ES"/>
        </w:rPr>
        <w:t>preferente, expedito y concentrado</w:t>
      </w:r>
      <w:r w:rsidRPr="003B22B0">
        <w:rPr>
          <w:rFonts w:ascii="Times New Roman" w:eastAsia="Times New Roman" w:hAnsi="Times New Roman" w:cs="Times New Roman"/>
          <w:sz w:val="24"/>
          <w:szCs w:val="24"/>
          <w:lang w:eastAsia="es-ES"/>
        </w:rPr>
        <w:t>. Preferente, porque debe anteponerse a cualquier otro asunto en la agenda judicial; expedito, porque sus trámites deben ser sencillos y carentes de formalismos innecesarios; concentrado, porque las actuaciones deben agruparse en el menor número posible de audiencias .</w:t>
      </w:r>
    </w:p>
    <w:p w14:paraId="75575848"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lastRenderedPageBreak/>
        <w:t>Estas notas características impregnan todo el iter procesal que estudiaremos en esta lección. Desde las diligencias preliminares —concebidas como herramientas para preparar adecuadamente la pretensión— hasta la fase probatoria —donde la búsqueda de la verdad debe compatibilizarse con la urgencia propia del amparo—, el proceso se estructura para ofrecer una respuesta judicial oportuna y efectiva.</w:t>
      </w:r>
    </w:p>
    <w:p w14:paraId="32E2C941"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La doctrina iberoamericana ha reflexionado profundamente sobre estas cuestiones. El maestro italiano Michele Taruffo, cuya influencia en el pensamiento procesal contemporáneo es innegable, sostuvo que la legitimidad de la decisión judicial depende no solo de su corrección jurídica, sino también de su capacidad para ofrecer una tutela efectiva en un plazo razonable . Esta idea resuena con particular intensidad en el ámbito del amparo, donde está en juego la vigencia misma de los derechos fundamentales.</w:t>
      </w:r>
    </w:p>
    <w:p w14:paraId="414F8945"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A lo largo de esta lección, te invito a recorrer el camino procesal del amparo desde sus momentos iniciales hasta la culminación de la fase probatoria. Analizaremos críticamente las soluciones adoptadas por el legislador cubano, contrastándolas con las elaboraciones de la doctrina especializada y con las experiencias de otros ordenamientos iberoamericanos. El objetivo no es solo que conozcas las normas, sino que comprendas la lógica que las inspira y los desafíos que plantea su aplicación práctica.</w:t>
      </w:r>
    </w:p>
    <w:p w14:paraId="1BFA23F2" w14:textId="77777777" w:rsidR="003B22B0" w:rsidRPr="003B22B0" w:rsidRDefault="003B22B0" w:rsidP="00A11397">
      <w:pPr>
        <w:spacing w:before="120" w:after="120" w:line="240" w:lineRule="auto"/>
        <w:jc w:val="both"/>
        <w:outlineLvl w:val="1"/>
        <w:rPr>
          <w:rFonts w:ascii="Times New Roman" w:eastAsia="Times New Roman" w:hAnsi="Times New Roman" w:cs="Times New Roman"/>
          <w:b/>
          <w:bCs/>
          <w:sz w:val="24"/>
          <w:szCs w:val="24"/>
          <w:lang w:eastAsia="es-ES"/>
        </w:rPr>
      </w:pPr>
      <w:r w:rsidRPr="003B22B0">
        <w:rPr>
          <w:rFonts w:ascii="Times New Roman" w:eastAsia="Times New Roman" w:hAnsi="Times New Roman" w:cs="Times New Roman"/>
          <w:b/>
          <w:bCs/>
          <w:sz w:val="24"/>
          <w:szCs w:val="24"/>
          <w:lang w:eastAsia="es-ES"/>
        </w:rPr>
        <w:t>2. DILIGENCIAS PRELIMINARES: FUNCIÓN PREPARATORIA Y TIPOLOGÍA EN LA LEY 153/2022</w:t>
      </w:r>
    </w:p>
    <w:p w14:paraId="6641B5F5"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 xml:space="preserve">Imaginemos la siguiente situación: una persona considera que ha sido víctima de discriminación por orientación sexual en su centro de trabajo, pero desconoce la identidad completa del funcionario que dictó la resolución lesiva o carece de los documentos que acreditan fehacientemente los hechos. ¿Debe acudir al amparo con una demanda deficientemente fundamentada, arriesgándose a su inadmisión? La respuesta, como seguramente intuyes, es negativa. Para estos supuestos, el ordenamiento procesal prevé las denominadas </w:t>
      </w:r>
      <w:r w:rsidRPr="003B22B0">
        <w:rPr>
          <w:rFonts w:ascii="Times New Roman" w:eastAsia="Times New Roman" w:hAnsi="Times New Roman" w:cs="Times New Roman"/>
          <w:b/>
          <w:bCs/>
          <w:sz w:val="24"/>
          <w:szCs w:val="24"/>
          <w:lang w:eastAsia="es-ES"/>
        </w:rPr>
        <w:t>diligencias preliminares</w:t>
      </w:r>
      <w:r w:rsidRPr="003B22B0">
        <w:rPr>
          <w:rFonts w:ascii="Times New Roman" w:eastAsia="Times New Roman" w:hAnsi="Times New Roman" w:cs="Times New Roman"/>
          <w:sz w:val="24"/>
          <w:szCs w:val="24"/>
          <w:lang w:eastAsia="es-ES"/>
        </w:rPr>
        <w:t>.</w:t>
      </w:r>
    </w:p>
    <w:p w14:paraId="01EE56F1"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El artículo 17 de la Ley 153/2022 establece que, antes de iniciarse el proceso de amparo, pueden realizarse diligencias preliminares en tres direcciones específicas:</w:t>
      </w:r>
    </w:p>
    <w:p w14:paraId="2F8A1459"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b/>
          <w:bCs/>
          <w:sz w:val="24"/>
          <w:szCs w:val="24"/>
          <w:lang w:eastAsia="es-ES"/>
        </w:rPr>
        <w:t>a) Aspectos relativos a la identidad, capacidad, representación o posible legitimación del demandado (art. 17.1.a).</w:t>
      </w:r>
      <w:r w:rsidRPr="003B22B0">
        <w:rPr>
          <w:rFonts w:ascii="Times New Roman" w:eastAsia="Times New Roman" w:hAnsi="Times New Roman" w:cs="Times New Roman"/>
          <w:sz w:val="24"/>
          <w:szCs w:val="24"/>
          <w:lang w:eastAsia="es-ES"/>
        </w:rPr>
        <w:t xml:space="preserve"> Esta previsión resulta esencial cuando el futuro demandante carece de datos precisos sobre quién debe ser llamado al proceso. Piensa, por ejemplo, en una resolución dictada por un órgano colegiado: es posible que el afectado conozca la institución, pero no el nombre concreto de los funcionarios que la suscribieron o su habilitación legal para ello. La diligencia preliminar permite subsanar esta deficiencia informativa.</w:t>
      </w:r>
    </w:p>
    <w:p w14:paraId="5F3B6809"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b/>
          <w:bCs/>
          <w:sz w:val="24"/>
          <w:szCs w:val="24"/>
          <w:lang w:eastAsia="es-ES"/>
        </w:rPr>
        <w:t>b) Cualquier diligencia de prueba anticipada, cuya fuente corra riesgo de perderse o pueda resultar de imposible práctica en el momento procesal correspondiente (art. 17.1.b).</w:t>
      </w:r>
      <w:r w:rsidRPr="003B22B0">
        <w:rPr>
          <w:rFonts w:ascii="Times New Roman" w:eastAsia="Times New Roman" w:hAnsi="Times New Roman" w:cs="Times New Roman"/>
          <w:sz w:val="24"/>
          <w:szCs w:val="24"/>
          <w:lang w:eastAsia="es-ES"/>
        </w:rPr>
        <w:t xml:space="preserve"> Esta disposición constituye una manifestación del principio de necesidad de la prueba, adelantando su práctica para evitar que el transcurso del tiempo la torne imposible. Un ejemplo clásico: el testimonio de una persona gravemente enferma que probablemente no sobreviva hasta la celebración de la audiencia. Su declaración, practicada anticipadamente con todas las garantías de contradicción, podrá ser valorada posteriormente por el tribunal.</w:t>
      </w:r>
    </w:p>
    <w:p w14:paraId="0512F99D"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b/>
          <w:bCs/>
          <w:sz w:val="24"/>
          <w:szCs w:val="24"/>
          <w:lang w:eastAsia="es-ES"/>
        </w:rPr>
        <w:t>c) Cualquier otra diligencia sin cuya práctica urgente se pudiera originar un perjuicio (art. 17.1.c).</w:t>
      </w:r>
      <w:r w:rsidRPr="003B22B0">
        <w:rPr>
          <w:rFonts w:ascii="Times New Roman" w:eastAsia="Times New Roman" w:hAnsi="Times New Roman" w:cs="Times New Roman"/>
          <w:sz w:val="24"/>
          <w:szCs w:val="24"/>
          <w:lang w:eastAsia="es-ES"/>
        </w:rPr>
        <w:t xml:space="preserve"> Se trata de una cláusula residual que otorga al juez la flexibilidad necesaria para adaptarse a circunstancias imprevistas. Su interpretación, como comprenderás, debe ser restrictiva, pues constituye una excepción al principio general de que las diligencias probatorias deben practicarse en el seno del proceso una vez trabada la litis.</w:t>
      </w:r>
    </w:p>
    <w:p w14:paraId="43FEB56E"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lastRenderedPageBreak/>
        <w:t>El procedimiento para la práctica de estas diligencias se rige, en lo pertinente, por lo dispuesto en el Código de Procesos (art. 17.2). Esto significa, en esencia, que debemos acudir supletoriamente a los artículos 221 y siguientes de la Ley 141/2021.</w:t>
      </w:r>
    </w:p>
    <w:p w14:paraId="1D831C0C"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 xml:space="preserve">La solicitud debe formularse ante el tribunal competente para conocer del amparo, con especificación de su finalidad y de los datos necesarios para su práctica. El tribunal resuelve mediante auto y, si estima procedente la diligencia, la decisión se comunica a la persona contra la que se dirigirá la demanda, quien puede oponerse en el plazo de </w:t>
      </w:r>
      <w:r w:rsidRPr="003B22B0">
        <w:rPr>
          <w:rFonts w:ascii="Times New Roman" w:eastAsia="Times New Roman" w:hAnsi="Times New Roman" w:cs="Times New Roman"/>
          <w:b/>
          <w:bCs/>
          <w:sz w:val="24"/>
          <w:szCs w:val="24"/>
          <w:lang w:eastAsia="es-ES"/>
        </w:rPr>
        <w:t>cinco días</w:t>
      </w:r>
      <w:r w:rsidRPr="003B22B0">
        <w:rPr>
          <w:rFonts w:ascii="Times New Roman" w:eastAsia="Times New Roman" w:hAnsi="Times New Roman" w:cs="Times New Roman"/>
          <w:sz w:val="24"/>
          <w:szCs w:val="24"/>
          <w:lang w:eastAsia="es-ES"/>
        </w:rPr>
        <w:t xml:space="preserve"> (art. 224 del Código de Procesos). Esta posibilidad de contradicción constituye una garantía esencial para evitar intromisiones injustificadas en la esfera jurídica del futuro demandado.</w:t>
      </w:r>
    </w:p>
    <w:p w14:paraId="49D7BF17"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Si la oposición formulada resulta compleja, el tribunal puede convocar a una audiencia, en la que las partes expondrán sus respectivas posiciones y se decidirá sobre el mantenimiento o no de la diligencia solicitada. Este trámite, aunque pueda parecer contradictorio con la celeridad que debe caracterizar al amparo, responde a la necesidad de ponderar adecuadamente los derechos en conflicto: de un lado, el derecho a preparar adecuadamente la defensa constitucional; del otro, el derecho a la intimidad, al honor y a la protección de datos del requerido.</w:t>
      </w:r>
    </w:p>
    <w:p w14:paraId="74CAC12D"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 xml:space="preserve">Practicada la diligencia, surge una cuestión crucial: ¿cuándo debe interponerse la demanda? El artículo 18.3 de la Ley 153/2022 establece que la solicitud y adopción de la medida cautelar antes de la interposición de la demanda </w:t>
      </w:r>
      <w:r w:rsidRPr="003B22B0">
        <w:rPr>
          <w:rFonts w:ascii="Times New Roman" w:eastAsia="Times New Roman" w:hAnsi="Times New Roman" w:cs="Times New Roman"/>
          <w:b/>
          <w:bCs/>
          <w:sz w:val="24"/>
          <w:szCs w:val="24"/>
          <w:lang w:eastAsia="es-ES"/>
        </w:rPr>
        <w:t>no modifica el plazo establecido</w:t>
      </w:r>
      <w:r w:rsidRPr="003B22B0">
        <w:rPr>
          <w:rFonts w:ascii="Times New Roman" w:eastAsia="Times New Roman" w:hAnsi="Times New Roman" w:cs="Times New Roman"/>
          <w:sz w:val="24"/>
          <w:szCs w:val="24"/>
          <w:lang w:eastAsia="es-ES"/>
        </w:rPr>
        <w:t xml:space="preserve"> para su presentación. Sin embargo, la ley guarda silencio sobre el plazo para demandar una vez practicadas las diligencias preliminares no cautelares. Ante esta laguna, debemos acudir a la regla general del Código de Procesos (art. 230.1), que fija un plazo de </w:t>
      </w:r>
      <w:r w:rsidRPr="003B22B0">
        <w:rPr>
          <w:rFonts w:ascii="Times New Roman" w:eastAsia="Times New Roman" w:hAnsi="Times New Roman" w:cs="Times New Roman"/>
          <w:b/>
          <w:bCs/>
          <w:sz w:val="24"/>
          <w:szCs w:val="24"/>
          <w:lang w:eastAsia="es-ES"/>
        </w:rPr>
        <w:t>veinte días</w:t>
      </w:r>
      <w:r w:rsidRPr="003B22B0">
        <w:rPr>
          <w:rFonts w:ascii="Times New Roman" w:eastAsia="Times New Roman" w:hAnsi="Times New Roman" w:cs="Times New Roman"/>
          <w:sz w:val="24"/>
          <w:szCs w:val="24"/>
          <w:lang w:eastAsia="es-ES"/>
        </w:rPr>
        <w:t xml:space="preserve"> contados desde la realización de la diligencia.</w:t>
      </w:r>
    </w:p>
    <w:p w14:paraId="2161C3CD"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El incumplimiento de este plazo produce consecuencias graves: la diligencia queda sin efecto y el solicitante debe responder por los daños y perjuicios causados. Esta responsabilidad, como advierte la doctrina, opera como un mecanismo de contención frente a solicitudes meramente inquisitivas o dilatorias .</w:t>
      </w:r>
    </w:p>
    <w:p w14:paraId="3EA14B0B"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 xml:space="preserve">Quisiera llamar tu atención sobre un aspecto práctico de suma importancia. Las diligencias preliminares en el amparo tienen una función predominantemente </w:t>
      </w:r>
      <w:r w:rsidRPr="003B22B0">
        <w:rPr>
          <w:rFonts w:ascii="Times New Roman" w:eastAsia="Times New Roman" w:hAnsi="Times New Roman" w:cs="Times New Roman"/>
          <w:b/>
          <w:bCs/>
          <w:sz w:val="24"/>
          <w:szCs w:val="24"/>
          <w:lang w:eastAsia="es-ES"/>
        </w:rPr>
        <w:t>instrumental</w:t>
      </w:r>
      <w:r w:rsidRPr="003B22B0">
        <w:rPr>
          <w:rFonts w:ascii="Times New Roman" w:eastAsia="Times New Roman" w:hAnsi="Times New Roman" w:cs="Times New Roman"/>
          <w:sz w:val="24"/>
          <w:szCs w:val="24"/>
          <w:lang w:eastAsia="es-ES"/>
        </w:rPr>
        <w:t>: no constituyen un fin en sí mismas, sino que están orientadas a permitir una adecuada fundamentación de la demanda. Por ello, el tribunal debe ser especialmente cuidadoso al ponderar su procedencia, evitando tanto un formalismo excesivo que obstaculice el acceso a la justicia, como una flexibilidad desmedida que pueda generar cargas indebidas al futuro demandado.</w:t>
      </w:r>
    </w:p>
    <w:p w14:paraId="4CC8A7FB" w14:textId="128B69B1" w:rsidR="003B22B0" w:rsidRPr="00A11397"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La doctrina cubana más reciente, representada por autores como Guzmán Hernández, ha señalado que el éxito del amparo como garantía efectiva depende, en buena medida, de una adecuada preparación de la pretensión . Las diligencias preliminares, correctamente utilizadas, contribuyen decisivamente a este objetivo, permitiendo que la demanda llegue al tribunal con los elementos necesarios para superar el filtro de admisibilidad y, eventualmente, prosperar en cuanto al fondo.</w:t>
      </w:r>
    </w:p>
    <w:p w14:paraId="09625EB5" w14:textId="1DD7EA19" w:rsidR="005427EC" w:rsidRPr="00A11397" w:rsidRDefault="005427EC" w:rsidP="00A11397">
      <w:pPr>
        <w:spacing w:before="120" w:after="120" w:line="240" w:lineRule="auto"/>
        <w:jc w:val="both"/>
        <w:rPr>
          <w:rFonts w:ascii="Times New Roman" w:eastAsia="Times New Roman" w:hAnsi="Times New Roman" w:cs="Times New Roman"/>
          <w:sz w:val="24"/>
          <w:szCs w:val="24"/>
          <w:lang w:eastAsia="es-ES"/>
        </w:rPr>
      </w:pPr>
    </w:p>
    <w:p w14:paraId="7F3C783A" w14:textId="77777777" w:rsidR="005427EC" w:rsidRPr="003B22B0" w:rsidRDefault="005427EC" w:rsidP="00A11397">
      <w:pPr>
        <w:spacing w:before="120" w:after="120" w:line="240" w:lineRule="auto"/>
        <w:jc w:val="both"/>
        <w:rPr>
          <w:rFonts w:ascii="Times New Roman" w:eastAsia="Times New Roman" w:hAnsi="Times New Roman" w:cs="Times New Roman"/>
          <w:sz w:val="24"/>
          <w:szCs w:val="24"/>
          <w:lang w:eastAsia="es-ES"/>
        </w:rPr>
      </w:pPr>
    </w:p>
    <w:p w14:paraId="021C3840" w14:textId="77777777" w:rsidR="003B22B0" w:rsidRPr="003B22B0" w:rsidRDefault="003B22B0" w:rsidP="00A11397">
      <w:pPr>
        <w:spacing w:before="120" w:after="120" w:line="240" w:lineRule="auto"/>
        <w:jc w:val="both"/>
        <w:outlineLvl w:val="1"/>
        <w:rPr>
          <w:rFonts w:ascii="Times New Roman" w:eastAsia="Times New Roman" w:hAnsi="Times New Roman" w:cs="Times New Roman"/>
          <w:b/>
          <w:bCs/>
          <w:sz w:val="24"/>
          <w:szCs w:val="24"/>
          <w:lang w:eastAsia="es-ES"/>
        </w:rPr>
      </w:pPr>
      <w:r w:rsidRPr="003B22B0">
        <w:rPr>
          <w:rFonts w:ascii="Times New Roman" w:eastAsia="Times New Roman" w:hAnsi="Times New Roman" w:cs="Times New Roman"/>
          <w:b/>
          <w:bCs/>
          <w:sz w:val="24"/>
          <w:szCs w:val="24"/>
          <w:lang w:eastAsia="es-ES"/>
        </w:rPr>
        <w:t>3. RÉGIMEN CAUTELAR EN EL PROCESO DE AMPARO</w:t>
      </w:r>
    </w:p>
    <w:p w14:paraId="0FA697F0" w14:textId="77777777" w:rsidR="003B22B0" w:rsidRPr="003B22B0" w:rsidRDefault="003B22B0" w:rsidP="00A11397">
      <w:pPr>
        <w:spacing w:before="120" w:after="120" w:line="240" w:lineRule="auto"/>
        <w:jc w:val="both"/>
        <w:outlineLvl w:val="2"/>
        <w:rPr>
          <w:rFonts w:ascii="Times New Roman" w:eastAsia="Times New Roman" w:hAnsi="Times New Roman" w:cs="Times New Roman"/>
          <w:b/>
          <w:bCs/>
          <w:sz w:val="24"/>
          <w:szCs w:val="24"/>
          <w:lang w:eastAsia="es-ES"/>
        </w:rPr>
      </w:pPr>
      <w:r w:rsidRPr="003B22B0">
        <w:rPr>
          <w:rFonts w:ascii="Times New Roman" w:eastAsia="Times New Roman" w:hAnsi="Times New Roman" w:cs="Times New Roman"/>
          <w:b/>
          <w:bCs/>
          <w:sz w:val="24"/>
          <w:szCs w:val="24"/>
          <w:lang w:eastAsia="es-ES"/>
        </w:rPr>
        <w:t>3.1. Fundamento constitucional y presupuestos (fumus boni iuris y periculum in mora)</w:t>
      </w:r>
    </w:p>
    <w:p w14:paraId="051F9DDF"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 xml:space="preserve">El tiempo que inevitablemente transcurre desde la interposición de la demanda hasta el dictado de la sentencia puede producir un daño irreversible al titular del derecho constitucional vulnerado. Pensemos, </w:t>
      </w:r>
      <w:r w:rsidRPr="003B22B0">
        <w:rPr>
          <w:rFonts w:ascii="Times New Roman" w:eastAsia="Times New Roman" w:hAnsi="Times New Roman" w:cs="Times New Roman"/>
          <w:sz w:val="24"/>
          <w:szCs w:val="24"/>
          <w:lang w:eastAsia="es-ES"/>
        </w:rPr>
        <w:lastRenderedPageBreak/>
        <w:t>por ejemplo, en una orden de demolición de una vivienda dictada sin las garantías debidas: si la demolición se ejecuta antes de que el tribunal pueda pronunciarse, la tutela jurisdiccional llegará tarde y la restitución del derecho será materialmente imposible.</w:t>
      </w:r>
    </w:p>
    <w:p w14:paraId="28F829AA"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 xml:space="preserve">Para evitar estas situaciones, el ordenamiento jurídico prevé las </w:t>
      </w:r>
      <w:r w:rsidRPr="003B22B0">
        <w:rPr>
          <w:rFonts w:ascii="Times New Roman" w:eastAsia="Times New Roman" w:hAnsi="Times New Roman" w:cs="Times New Roman"/>
          <w:b/>
          <w:bCs/>
          <w:sz w:val="24"/>
          <w:szCs w:val="24"/>
          <w:lang w:eastAsia="es-ES"/>
        </w:rPr>
        <w:t>medidas cautelares</w:t>
      </w:r>
      <w:r w:rsidRPr="003B22B0">
        <w:rPr>
          <w:rFonts w:ascii="Times New Roman" w:eastAsia="Times New Roman" w:hAnsi="Times New Roman" w:cs="Times New Roman"/>
          <w:sz w:val="24"/>
          <w:szCs w:val="24"/>
          <w:lang w:eastAsia="es-ES"/>
        </w:rPr>
        <w:t>, concebidas como instrumentos destinados a asegurar la efectividad de la futura sentencia. El maestro italiano Piero Calamandrei las definió como una "anticipación provisoria de ciertos efectos de la providencia definitiva, encaminada a prevenir el daño que podría derivar del retardo de la misma". Esta definición, formulada hace décadas, conserva plena vigencia y nos ayuda a comprender la naturaleza instrumental de la tutela cautelar.</w:t>
      </w:r>
    </w:p>
    <w:p w14:paraId="53631455"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En el ámbito específico del amparo constitucional, la relevancia de las medidas cautelares se magnifica. No en vano el artículo 18 de la Ley 153/2022 faculta al tribunal para adoptarlas, de oficio o a instancia de parte, en cualquier momento: previo a la interposición de la demanda, conjuntamente con ella o durante su tramitación.</w:t>
      </w:r>
    </w:p>
    <w:p w14:paraId="1B0FD5DA"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La doctrina procesal, sistematizada por autores como Eduardo Oteiza, exige la concurrencia de dos presupuestos clásicos para el otorgamiento de la tutela cautelar :</w:t>
      </w:r>
    </w:p>
    <w:p w14:paraId="498BBEEC"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b/>
          <w:bCs/>
          <w:sz w:val="24"/>
          <w:szCs w:val="24"/>
          <w:lang w:eastAsia="es-ES"/>
        </w:rPr>
        <w:t>El fumus boni iuris (apariencia de buen derecho).</w:t>
      </w:r>
      <w:r w:rsidRPr="003B22B0">
        <w:rPr>
          <w:rFonts w:ascii="Times New Roman" w:eastAsia="Times New Roman" w:hAnsi="Times New Roman" w:cs="Times New Roman"/>
          <w:sz w:val="24"/>
          <w:szCs w:val="24"/>
          <w:lang w:eastAsia="es-ES"/>
        </w:rPr>
        <w:t xml:space="preserve"> No se exige una prueba plena de la existencia del derecho constitucional vulnerado, sino una verosimilitud fundada de que la pretensión principal será estimada. En palabras de la Dra. Ivonne Pérez Gutiérrez, este presupuesto opera como un "juicio de probabilidad" que permite al juez realizar una valoración preliminar de las posibilidades de éxito de la pretensión, sin prejuzgar el fondo del asunto. En el amparo, la apariencia de buen derecho se concreta en la existencia de indicios razonables de que el acto impugnado efectivamente lesiona un derecho constitucional.</w:t>
      </w:r>
    </w:p>
    <w:p w14:paraId="11283C74"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b/>
          <w:bCs/>
          <w:sz w:val="24"/>
          <w:szCs w:val="24"/>
          <w:lang w:eastAsia="es-ES"/>
        </w:rPr>
        <w:t>El periculum in mora (peligro en la demora).</w:t>
      </w:r>
      <w:r w:rsidRPr="003B22B0">
        <w:rPr>
          <w:rFonts w:ascii="Times New Roman" w:eastAsia="Times New Roman" w:hAnsi="Times New Roman" w:cs="Times New Roman"/>
          <w:sz w:val="24"/>
          <w:szCs w:val="24"/>
          <w:lang w:eastAsia="es-ES"/>
        </w:rPr>
        <w:t xml:space="preserve"> Se requiere un riesgo real, concreto y actual de que, durante el tiempo que transcurra el proceso, se produzcan situaciones que impidan o dificulten gravemente la efectividad de la sentencia estimatoria. No basta con un temor hipotético o remoto. La propia Ley 153/2022, en su artículo 19.2, precisa que procede la medida cautelar "cuando existan indicios del daño o perjuicio que se alega y la no adopción de la cautela solicitada pueda afectar los derechos e intereses legítimos de quien reclama".</w:t>
      </w:r>
    </w:p>
    <w:p w14:paraId="4FA3E403"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 xml:space="preserve">A estos dos presupuestos clásicos, la doctrina añade un tercero: la </w:t>
      </w:r>
      <w:r w:rsidRPr="003B22B0">
        <w:rPr>
          <w:rFonts w:ascii="Times New Roman" w:eastAsia="Times New Roman" w:hAnsi="Times New Roman" w:cs="Times New Roman"/>
          <w:b/>
          <w:bCs/>
          <w:sz w:val="24"/>
          <w:szCs w:val="24"/>
          <w:lang w:eastAsia="es-ES"/>
        </w:rPr>
        <w:t>proporcionalidad</w:t>
      </w:r>
      <w:r w:rsidRPr="003B22B0">
        <w:rPr>
          <w:rFonts w:ascii="Times New Roman" w:eastAsia="Times New Roman" w:hAnsi="Times New Roman" w:cs="Times New Roman"/>
          <w:sz w:val="24"/>
          <w:szCs w:val="24"/>
          <w:lang w:eastAsia="es-ES"/>
        </w:rPr>
        <w:t>. La medida cautelar no puede ser más gravosa para el demandado de lo que sería la propia sentencia estimatoria. El tribunal debe ponderar cuidadosamente los intereses en conflicto, buscando aquella solución que, siendo suficiente para garantizar la efectividad de la tutela, resulte menos lesiva para la contraparte.</w:t>
      </w:r>
    </w:p>
    <w:p w14:paraId="5D6F37EE" w14:textId="77777777" w:rsidR="003B22B0" w:rsidRPr="003B22B0" w:rsidRDefault="003B22B0" w:rsidP="00A11397">
      <w:pPr>
        <w:spacing w:before="120" w:after="120" w:line="240" w:lineRule="auto"/>
        <w:jc w:val="both"/>
        <w:outlineLvl w:val="2"/>
        <w:rPr>
          <w:rFonts w:ascii="Times New Roman" w:eastAsia="Times New Roman" w:hAnsi="Times New Roman" w:cs="Times New Roman"/>
          <w:b/>
          <w:bCs/>
          <w:sz w:val="24"/>
          <w:szCs w:val="24"/>
          <w:lang w:eastAsia="es-ES"/>
        </w:rPr>
      </w:pPr>
      <w:r w:rsidRPr="003B22B0">
        <w:rPr>
          <w:rFonts w:ascii="Times New Roman" w:eastAsia="Times New Roman" w:hAnsi="Times New Roman" w:cs="Times New Roman"/>
          <w:b/>
          <w:bCs/>
          <w:sz w:val="24"/>
          <w:szCs w:val="24"/>
          <w:lang w:eastAsia="es-ES"/>
        </w:rPr>
        <w:t>3.2. Tipos de medidas cautelares en el artículo 19</w:t>
      </w:r>
    </w:p>
    <w:p w14:paraId="0EC1946F"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 xml:space="preserve">La Ley 153/2022 adopta un sistema de </w:t>
      </w:r>
      <w:r w:rsidRPr="003B22B0">
        <w:rPr>
          <w:rFonts w:ascii="Times New Roman" w:eastAsia="Times New Roman" w:hAnsi="Times New Roman" w:cs="Times New Roman"/>
          <w:b/>
          <w:bCs/>
          <w:sz w:val="24"/>
          <w:szCs w:val="24"/>
          <w:lang w:eastAsia="es-ES"/>
        </w:rPr>
        <w:t>numerus apertus</w:t>
      </w:r>
      <w:r w:rsidRPr="003B22B0">
        <w:rPr>
          <w:rFonts w:ascii="Times New Roman" w:eastAsia="Times New Roman" w:hAnsi="Times New Roman" w:cs="Times New Roman"/>
          <w:sz w:val="24"/>
          <w:szCs w:val="24"/>
          <w:lang w:eastAsia="es-ES"/>
        </w:rPr>
        <w:t xml:space="preserve"> en materia cautelar, lo que constituye un acierto técnico de primer orden. Su artículo 19 establece un catálogo ejemplificativo que incluye:</w:t>
      </w:r>
    </w:p>
    <w:p w14:paraId="33681A2D"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b/>
          <w:bCs/>
          <w:sz w:val="24"/>
          <w:szCs w:val="24"/>
          <w:lang w:eastAsia="es-ES"/>
        </w:rPr>
        <w:t>a) El cese inmediato del acto que provoca el daño o perjuicio alegado y de sus efectos.</w:t>
      </w:r>
      <w:r w:rsidRPr="003B22B0">
        <w:rPr>
          <w:rFonts w:ascii="Times New Roman" w:eastAsia="Times New Roman" w:hAnsi="Times New Roman" w:cs="Times New Roman"/>
          <w:sz w:val="24"/>
          <w:szCs w:val="24"/>
          <w:lang w:eastAsia="es-ES"/>
        </w:rPr>
        <w:t xml:space="preserve"> Esta es, sin duda, la medida por excelencia en el proceso de amparo. Su finalidad es paralizar la actividad lesiva mientras se decide sobre su constitucionalidad, evitando que la ejecución inmediata consume una situación antijurídica de imposible o difícil reparación posterior.</w:t>
      </w:r>
    </w:p>
    <w:p w14:paraId="3BC0FE80"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b/>
          <w:bCs/>
          <w:sz w:val="24"/>
          <w:szCs w:val="24"/>
          <w:lang w:eastAsia="es-ES"/>
        </w:rPr>
        <w:t>b) La realización de una actividad o conducta determinada.</w:t>
      </w:r>
      <w:r w:rsidRPr="003B22B0">
        <w:rPr>
          <w:rFonts w:ascii="Times New Roman" w:eastAsia="Times New Roman" w:hAnsi="Times New Roman" w:cs="Times New Roman"/>
          <w:sz w:val="24"/>
          <w:szCs w:val="24"/>
          <w:lang w:eastAsia="es-ES"/>
        </w:rPr>
        <w:t xml:space="preserve"> Se trata de una medida de carácter positivo, mediante la cual el tribunal ordena al demandado que ejecute una prestación concreta. Piensa, por ejemplo, en la provisión urgente de un medicamento a una persona en situación de vulnerabilidad.</w:t>
      </w:r>
    </w:p>
    <w:p w14:paraId="75F03948"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b/>
          <w:bCs/>
          <w:sz w:val="24"/>
          <w:szCs w:val="24"/>
          <w:lang w:eastAsia="es-ES"/>
        </w:rPr>
        <w:lastRenderedPageBreak/>
        <w:t>c) La suspensión o abstención de realizar una actividad o conducta determinada.</w:t>
      </w:r>
      <w:r w:rsidRPr="003B22B0">
        <w:rPr>
          <w:rFonts w:ascii="Times New Roman" w:eastAsia="Times New Roman" w:hAnsi="Times New Roman" w:cs="Times New Roman"/>
          <w:sz w:val="24"/>
          <w:szCs w:val="24"/>
          <w:lang w:eastAsia="es-ES"/>
        </w:rPr>
        <w:t xml:space="preserve"> En este caso, la medida tiene un contenido negativo: el tribunal ordena al demandado que se abstenga de realizar cierta actividad. Es el caso clásico de la suspensión de un procedimiento sancionador o de la paralización de una obra.</w:t>
      </w:r>
    </w:p>
    <w:p w14:paraId="1BD2759F"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b/>
          <w:bCs/>
          <w:sz w:val="24"/>
          <w:szCs w:val="24"/>
          <w:lang w:eastAsia="es-ES"/>
        </w:rPr>
        <w:t>d) El cierre temporal de un local o establecimiento.</w:t>
      </w:r>
      <w:r w:rsidRPr="003B22B0">
        <w:rPr>
          <w:rFonts w:ascii="Times New Roman" w:eastAsia="Times New Roman" w:hAnsi="Times New Roman" w:cs="Times New Roman"/>
          <w:sz w:val="24"/>
          <w:szCs w:val="24"/>
          <w:lang w:eastAsia="es-ES"/>
        </w:rPr>
        <w:t xml:space="preserve"> Esta medida, de particular intensidad, procede cuando la actividad desarrollada en un determinado local es la fuente directa de la vulneración constitucional y su cierre resulta indispensable para preservar el derecho afectado.</w:t>
      </w:r>
    </w:p>
    <w:p w14:paraId="73F70EFA"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b/>
          <w:bCs/>
          <w:sz w:val="24"/>
          <w:szCs w:val="24"/>
          <w:lang w:eastAsia="es-ES"/>
        </w:rPr>
        <w:t>e) Cualquier otra orientada a garantizar la preservación del derecho constitucional que se alega vulnerado o la eficacia del proceso.</w:t>
      </w:r>
      <w:r w:rsidRPr="003B22B0">
        <w:rPr>
          <w:rFonts w:ascii="Times New Roman" w:eastAsia="Times New Roman" w:hAnsi="Times New Roman" w:cs="Times New Roman"/>
          <w:sz w:val="24"/>
          <w:szCs w:val="24"/>
          <w:lang w:eastAsia="es-ES"/>
        </w:rPr>
        <w:t xml:space="preserve"> Esta cláusula de cierre otorga al juez la flexibilidad necesaria para adaptarse a las circunstancias del caso concreto, pudiendo adoptar medidas atípicas cuando las previstas expresamente resulten insuficientes o inadecuadas.</w:t>
      </w:r>
    </w:p>
    <w:p w14:paraId="68069231"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El legislador cubano ha sido especialmente cuidadoso al regular las medidas cautelares en el amparo, consciente de que en este ámbito no solo está en juego la efectividad de la sentencia, sino la vigencia misma de los derechos fundamentales durante la tramitación del proceso .</w:t>
      </w:r>
    </w:p>
    <w:p w14:paraId="5F2347ED" w14:textId="77777777" w:rsidR="003B22B0" w:rsidRPr="003B22B0" w:rsidRDefault="003B22B0" w:rsidP="00A11397">
      <w:pPr>
        <w:spacing w:before="120" w:after="120" w:line="240" w:lineRule="auto"/>
        <w:jc w:val="both"/>
        <w:outlineLvl w:val="2"/>
        <w:rPr>
          <w:rFonts w:ascii="Times New Roman" w:eastAsia="Times New Roman" w:hAnsi="Times New Roman" w:cs="Times New Roman"/>
          <w:b/>
          <w:bCs/>
          <w:sz w:val="24"/>
          <w:szCs w:val="24"/>
          <w:lang w:eastAsia="es-ES"/>
        </w:rPr>
      </w:pPr>
      <w:r w:rsidRPr="003B22B0">
        <w:rPr>
          <w:rFonts w:ascii="Times New Roman" w:eastAsia="Times New Roman" w:hAnsi="Times New Roman" w:cs="Times New Roman"/>
          <w:b/>
          <w:bCs/>
          <w:sz w:val="24"/>
          <w:szCs w:val="24"/>
          <w:lang w:eastAsia="es-ES"/>
        </w:rPr>
        <w:t>3.3. Procedimiento para la adopción: urgencia y contradicción diferida</w:t>
      </w:r>
    </w:p>
    <w:p w14:paraId="678B3F0A"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El procedimiento para la adopción de medidas cautelares en el amparo presenta características singulares, derivadas de la naturaleza del bien jurídico protegido.</w:t>
      </w:r>
    </w:p>
    <w:p w14:paraId="63FE4AB5"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 xml:space="preserve">Como regla general, la medida cautelar se dispone </w:t>
      </w:r>
      <w:r w:rsidRPr="003B22B0">
        <w:rPr>
          <w:rFonts w:ascii="Times New Roman" w:eastAsia="Times New Roman" w:hAnsi="Times New Roman" w:cs="Times New Roman"/>
          <w:b/>
          <w:bCs/>
          <w:sz w:val="24"/>
          <w:szCs w:val="24"/>
          <w:lang w:eastAsia="es-ES"/>
        </w:rPr>
        <w:t>sin necesidad de dar traslado ni escuchar al destinatario</w:t>
      </w:r>
      <w:r w:rsidRPr="003B22B0">
        <w:rPr>
          <w:rFonts w:ascii="Times New Roman" w:eastAsia="Times New Roman" w:hAnsi="Times New Roman" w:cs="Times New Roman"/>
          <w:sz w:val="24"/>
          <w:szCs w:val="24"/>
          <w:lang w:eastAsia="es-ES"/>
        </w:rPr>
        <w:t xml:space="preserve">, y se cumple de inmediato (art. 21.1). Esta solución responde a la lógica del periculum in mora: si la urgencia justifica la adopción de la medida, el tiempo necesario para oír a la contraparte podría frustrar su efectividad. Se trata, por tanto, de una </w:t>
      </w:r>
      <w:r w:rsidRPr="003B22B0">
        <w:rPr>
          <w:rFonts w:ascii="Times New Roman" w:eastAsia="Times New Roman" w:hAnsi="Times New Roman" w:cs="Times New Roman"/>
          <w:b/>
          <w:bCs/>
          <w:sz w:val="24"/>
          <w:szCs w:val="24"/>
          <w:lang w:eastAsia="es-ES"/>
        </w:rPr>
        <w:t>contradicción diferida</w:t>
      </w:r>
      <w:r w:rsidRPr="003B22B0">
        <w:rPr>
          <w:rFonts w:ascii="Times New Roman" w:eastAsia="Times New Roman" w:hAnsi="Times New Roman" w:cs="Times New Roman"/>
          <w:sz w:val="24"/>
          <w:szCs w:val="24"/>
          <w:lang w:eastAsia="es-ES"/>
        </w:rPr>
        <w:t>: el afectado podrá impugnar la medida una vez adoptada, pero su ejecución no se suspende por ello.</w:t>
      </w:r>
    </w:p>
    <w:p w14:paraId="2D84E70F"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No obstante, el propio artículo 21.2 prevé una excepción a esta regla: cuando el tribunal lo considere necesario, en un plazo que no exceda de cinco días desde la solicitud, puede convocar a una audiencia para escuchar las razones de los intervinientes. Esta audiencia procede, fundamentalmente, en aquellos casos en los que la medida solicitada presenta una especial complejidad o cuando su adopción pueda causar perjuicios irreversibles a terceros.</w:t>
      </w:r>
    </w:p>
    <w:p w14:paraId="5EA0F41A"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 xml:space="preserve">La adopción de la medida sin audiencia previa no significa, en modo alguno, que el afectado quede en situación de indefensión. El artículo 21.3 le concede la posibilidad de establecer </w:t>
      </w:r>
      <w:r w:rsidRPr="003B22B0">
        <w:rPr>
          <w:rFonts w:ascii="Times New Roman" w:eastAsia="Times New Roman" w:hAnsi="Times New Roman" w:cs="Times New Roman"/>
          <w:b/>
          <w:bCs/>
          <w:sz w:val="24"/>
          <w:szCs w:val="24"/>
          <w:lang w:eastAsia="es-ES"/>
        </w:rPr>
        <w:t>recurso de súplica</w:t>
      </w:r>
      <w:r w:rsidRPr="003B22B0">
        <w:rPr>
          <w:rFonts w:ascii="Times New Roman" w:eastAsia="Times New Roman" w:hAnsi="Times New Roman" w:cs="Times New Roman"/>
          <w:sz w:val="24"/>
          <w:szCs w:val="24"/>
          <w:lang w:eastAsia="es-ES"/>
        </w:rPr>
        <w:t xml:space="preserve"> contra la resolución que acuerde la medida. Este recurso, que se resuelve por el mismo tribunal que dictó la resolución, permite al afectado exponer las razones por las que considera que la medida no debió adoptarse o debe ser modificada.</w:t>
      </w:r>
    </w:p>
    <w:p w14:paraId="5FC1787D"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 xml:space="preserve">Un aspecto de particular relevancia práctica es la posibilidad de solicitar medidas cautelares con carácter previo a la demanda. El artículo 18.3 establece que, en este supuesto, la demanda debe interponerse en el plazo de los </w:t>
      </w:r>
      <w:r w:rsidRPr="003B22B0">
        <w:rPr>
          <w:rFonts w:ascii="Times New Roman" w:eastAsia="Times New Roman" w:hAnsi="Times New Roman" w:cs="Times New Roman"/>
          <w:b/>
          <w:bCs/>
          <w:sz w:val="24"/>
          <w:szCs w:val="24"/>
          <w:lang w:eastAsia="es-ES"/>
        </w:rPr>
        <w:t>diez días</w:t>
      </w:r>
      <w:r w:rsidRPr="003B22B0">
        <w:rPr>
          <w:rFonts w:ascii="Times New Roman" w:eastAsia="Times New Roman" w:hAnsi="Times New Roman" w:cs="Times New Roman"/>
          <w:sz w:val="24"/>
          <w:szCs w:val="24"/>
          <w:lang w:eastAsia="es-ES"/>
        </w:rPr>
        <w:t xml:space="preserve"> siguientes a la adopción de la medida. Transcurrido este plazo sin que se presente la demanda, la medida cautelar queda sin efecto y se archivan las actuaciones.</w:t>
      </w:r>
    </w:p>
    <w:p w14:paraId="1C383498"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Esta previsión responde a la necesidad de evitar que las medidas cautelares se conviertan en un mecanismo de presión o de satisfacción anticipada y permanente de la pretensión, sin que medie una efectiva voluntad de promover el proceso. Como señala Oteiza, "es importante que la excepción no sea la regla y la aplicación de las medidas cautelares anticipadas sea seria, consecuente y en el contexto esencial del respeto a una garantía fundamental, como es la del debido proceso" .</w:t>
      </w:r>
    </w:p>
    <w:p w14:paraId="33467540" w14:textId="77777777" w:rsidR="003B22B0" w:rsidRPr="003B22B0" w:rsidRDefault="003B22B0" w:rsidP="00A11397">
      <w:pPr>
        <w:spacing w:before="120" w:after="120" w:line="240" w:lineRule="auto"/>
        <w:jc w:val="both"/>
        <w:outlineLvl w:val="2"/>
        <w:rPr>
          <w:rFonts w:ascii="Times New Roman" w:eastAsia="Times New Roman" w:hAnsi="Times New Roman" w:cs="Times New Roman"/>
          <w:b/>
          <w:bCs/>
          <w:sz w:val="24"/>
          <w:szCs w:val="24"/>
          <w:lang w:eastAsia="es-ES"/>
        </w:rPr>
      </w:pPr>
      <w:r w:rsidRPr="003B22B0">
        <w:rPr>
          <w:rFonts w:ascii="Times New Roman" w:eastAsia="Times New Roman" w:hAnsi="Times New Roman" w:cs="Times New Roman"/>
          <w:b/>
          <w:bCs/>
          <w:sz w:val="24"/>
          <w:szCs w:val="24"/>
          <w:lang w:eastAsia="es-ES"/>
        </w:rPr>
        <w:t>3.4. Vigencia, modificación y extinción</w:t>
      </w:r>
    </w:p>
    <w:p w14:paraId="310CDD69"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lastRenderedPageBreak/>
        <w:t xml:space="preserve">Las medidas cautelares tienen un carácter esencialmente </w:t>
      </w:r>
      <w:r w:rsidRPr="003B22B0">
        <w:rPr>
          <w:rFonts w:ascii="Times New Roman" w:eastAsia="Times New Roman" w:hAnsi="Times New Roman" w:cs="Times New Roman"/>
          <w:b/>
          <w:bCs/>
          <w:sz w:val="24"/>
          <w:szCs w:val="24"/>
          <w:lang w:eastAsia="es-ES"/>
        </w:rPr>
        <w:t>provisional</w:t>
      </w:r>
      <w:r w:rsidRPr="003B22B0">
        <w:rPr>
          <w:rFonts w:ascii="Times New Roman" w:eastAsia="Times New Roman" w:hAnsi="Times New Roman" w:cs="Times New Roman"/>
          <w:sz w:val="24"/>
          <w:szCs w:val="24"/>
          <w:lang w:eastAsia="es-ES"/>
        </w:rPr>
        <w:t>. Su vigencia se extiende, como regla general, hasta que se logre el cumplimiento de la sentencia (art. 22.2). No se trata, por tanto, de decisiones definitivas sobre el fondo del asunto, sino de medidas instrumentales destinadas a asegurar la eficacia de la futura sentencia.</w:t>
      </w:r>
    </w:p>
    <w:p w14:paraId="5596D1B8"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 xml:space="preserve">El principio de </w:t>
      </w:r>
      <w:r w:rsidRPr="003B22B0">
        <w:rPr>
          <w:rFonts w:ascii="Times New Roman" w:eastAsia="Times New Roman" w:hAnsi="Times New Roman" w:cs="Times New Roman"/>
          <w:b/>
          <w:bCs/>
          <w:sz w:val="24"/>
          <w:szCs w:val="24"/>
          <w:lang w:eastAsia="es-ES"/>
        </w:rPr>
        <w:t>variabilidad</w:t>
      </w:r>
      <w:r w:rsidRPr="003B22B0">
        <w:rPr>
          <w:rFonts w:ascii="Times New Roman" w:eastAsia="Times New Roman" w:hAnsi="Times New Roman" w:cs="Times New Roman"/>
          <w:sz w:val="24"/>
          <w:szCs w:val="24"/>
          <w:lang w:eastAsia="es-ES"/>
        </w:rPr>
        <w:t xml:space="preserve"> rige en toda su intensidad en materia cautelar. Si las circunstancias que justificaron la adopción de la medida cambian o cesan, el tribunal, de oficio o a instancia de parte, puede modificarla, sustituirla o revocarla (art. 77 de la Ley 142/2021, aplicable supletoriamente). Esta flexibilidad es inherente a la naturaleza instrumental de la tutela cautelar, que debe adaptarse a las mutaciones de la situación fáctica y jurídica subyacente.</w:t>
      </w:r>
    </w:p>
    <w:p w14:paraId="15F8721D"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 xml:space="preserve">La </w:t>
      </w:r>
      <w:r w:rsidRPr="003B22B0">
        <w:rPr>
          <w:rFonts w:ascii="Times New Roman" w:eastAsia="Times New Roman" w:hAnsi="Times New Roman" w:cs="Times New Roman"/>
          <w:b/>
          <w:bCs/>
          <w:sz w:val="24"/>
          <w:szCs w:val="24"/>
          <w:lang w:eastAsia="es-ES"/>
        </w:rPr>
        <w:t>extinción</w:t>
      </w:r>
      <w:r w:rsidRPr="003B22B0">
        <w:rPr>
          <w:rFonts w:ascii="Times New Roman" w:eastAsia="Times New Roman" w:hAnsi="Times New Roman" w:cs="Times New Roman"/>
          <w:sz w:val="24"/>
          <w:szCs w:val="24"/>
          <w:lang w:eastAsia="es-ES"/>
        </w:rPr>
        <w:t xml:space="preserve"> de las medidas cautelares puede deberse a varias causas:</w:t>
      </w:r>
    </w:p>
    <w:p w14:paraId="773E7615" w14:textId="77777777" w:rsidR="003B22B0" w:rsidRPr="003B22B0" w:rsidRDefault="003B22B0" w:rsidP="00A11397">
      <w:pPr>
        <w:numPr>
          <w:ilvl w:val="0"/>
          <w:numId w:val="2"/>
        </w:num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b/>
          <w:bCs/>
          <w:sz w:val="24"/>
          <w:szCs w:val="24"/>
          <w:lang w:eastAsia="es-ES"/>
        </w:rPr>
        <w:t>Firmeza de la sentencia desestimatoria.</w:t>
      </w:r>
      <w:r w:rsidRPr="003B22B0">
        <w:rPr>
          <w:rFonts w:ascii="Times New Roman" w:eastAsia="Times New Roman" w:hAnsi="Times New Roman" w:cs="Times New Roman"/>
          <w:sz w:val="24"/>
          <w:szCs w:val="24"/>
          <w:lang w:eastAsia="es-ES"/>
        </w:rPr>
        <w:t xml:space="preserve"> Si la sentencia definitiva desestima la pretensión del demandante, decae el fundamento mismo de la medida cautelar, que debe extinguirse.</w:t>
      </w:r>
    </w:p>
    <w:p w14:paraId="324502A2" w14:textId="77777777" w:rsidR="003B22B0" w:rsidRPr="003B22B0" w:rsidRDefault="003B22B0" w:rsidP="00A11397">
      <w:pPr>
        <w:numPr>
          <w:ilvl w:val="0"/>
          <w:numId w:val="2"/>
        </w:num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b/>
          <w:bCs/>
          <w:sz w:val="24"/>
          <w:szCs w:val="24"/>
          <w:lang w:eastAsia="es-ES"/>
        </w:rPr>
        <w:t>Caducidad por no presentación de la demanda.</w:t>
      </w:r>
      <w:r w:rsidRPr="003B22B0">
        <w:rPr>
          <w:rFonts w:ascii="Times New Roman" w:eastAsia="Times New Roman" w:hAnsi="Times New Roman" w:cs="Times New Roman"/>
          <w:sz w:val="24"/>
          <w:szCs w:val="24"/>
          <w:lang w:eastAsia="es-ES"/>
        </w:rPr>
        <w:t xml:space="preserve"> Como ya señalamos, las medidas cautelares previas a la demanda se extinguen si no se presenta la demanda en el plazo de diez días.</w:t>
      </w:r>
    </w:p>
    <w:p w14:paraId="1C82D633" w14:textId="77777777" w:rsidR="003B22B0" w:rsidRPr="003B22B0" w:rsidRDefault="003B22B0" w:rsidP="00A11397">
      <w:pPr>
        <w:numPr>
          <w:ilvl w:val="0"/>
          <w:numId w:val="2"/>
        </w:num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b/>
          <w:bCs/>
          <w:sz w:val="24"/>
          <w:szCs w:val="24"/>
          <w:lang w:eastAsia="es-ES"/>
        </w:rPr>
        <w:t>Revocación por cambio de circunstancias.</w:t>
      </w:r>
      <w:r w:rsidRPr="003B22B0">
        <w:rPr>
          <w:rFonts w:ascii="Times New Roman" w:eastAsia="Times New Roman" w:hAnsi="Times New Roman" w:cs="Times New Roman"/>
          <w:sz w:val="24"/>
          <w:szCs w:val="24"/>
          <w:lang w:eastAsia="es-ES"/>
        </w:rPr>
        <w:t xml:space="preserve"> Cuando hayan variado o cesado las circunstancias que determinaron su adopción, el tribunal puede modificarla, sustituirla o revocarla.</w:t>
      </w:r>
    </w:p>
    <w:p w14:paraId="626011BB" w14:textId="77777777" w:rsidR="003B22B0" w:rsidRPr="003B22B0" w:rsidRDefault="003B22B0" w:rsidP="00A11397">
      <w:pPr>
        <w:numPr>
          <w:ilvl w:val="0"/>
          <w:numId w:val="2"/>
        </w:num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b/>
          <w:bCs/>
          <w:sz w:val="24"/>
          <w:szCs w:val="24"/>
          <w:lang w:eastAsia="es-ES"/>
        </w:rPr>
        <w:t>Ejecución de la sentencia estimatoria.</w:t>
      </w:r>
      <w:r w:rsidRPr="003B22B0">
        <w:rPr>
          <w:rFonts w:ascii="Times New Roman" w:eastAsia="Times New Roman" w:hAnsi="Times New Roman" w:cs="Times New Roman"/>
          <w:sz w:val="24"/>
          <w:szCs w:val="24"/>
          <w:lang w:eastAsia="es-ES"/>
        </w:rPr>
        <w:t xml:space="preserve"> La medida se mantiene hasta tanto se logre el cumplimiento de la resolución judicial que pone fin al proceso. Una vez ejecutada la sentencia, la medida cautelar carece de objeto y debe dejarse sin efecto.</w:t>
      </w:r>
    </w:p>
    <w:p w14:paraId="1A951D69"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Finalmente, conviene destacar que la solicitud de medidas cautelares formulada con temeridad o mala fe puede dar lugar a la imposición de costas y a la obligación de indemnizar los daños y perjuicios causados (art. 33.4 de la Ley 153/2022). Esta previsión, lejos de desincentivar el ejercicio legítimo de la tutela cautelar, opera como un filtro contra solicitudes infundadas o meramente dilatorias, en línea con el principio de buena fe y lealtad procesal.</w:t>
      </w:r>
    </w:p>
    <w:p w14:paraId="6B5499C4" w14:textId="77777777" w:rsidR="00395284" w:rsidRPr="00395284" w:rsidRDefault="00395284" w:rsidP="00A11397">
      <w:pPr>
        <w:spacing w:before="120" w:after="120" w:line="240" w:lineRule="auto"/>
        <w:rPr>
          <w:rFonts w:ascii="Times New Roman" w:eastAsia="Times New Roman" w:hAnsi="Times New Roman" w:cs="Times New Roman"/>
          <w:sz w:val="24"/>
          <w:szCs w:val="24"/>
          <w:lang w:eastAsia="es-ES"/>
        </w:rPr>
      </w:pPr>
      <w:r w:rsidRPr="00395284">
        <w:rPr>
          <w:rFonts w:ascii="Times New Roman" w:eastAsia="Times New Roman" w:hAnsi="Times New Roman" w:cs="Times New Roman"/>
          <w:b/>
          <w:bCs/>
          <w:sz w:val="24"/>
          <w:szCs w:val="24"/>
          <w:lang w:eastAsia="es-ES"/>
        </w:rPr>
        <w:t>4. LA DEMANDA DE AMPARO: REQUISITOS FORMALES, PLAZO DE INTERPOSICIÓN Y CONTROL DE ADMISIBILIDAD</w:t>
      </w:r>
    </w:p>
    <w:p w14:paraId="279BD22A" w14:textId="31B19A4C" w:rsidR="00395284" w:rsidRPr="00395284" w:rsidRDefault="00635C1F" w:rsidP="00A11397">
      <w:pPr>
        <w:spacing w:before="120" w:after="120" w:line="24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L</w:t>
      </w:r>
      <w:r w:rsidR="00395284" w:rsidRPr="00395284">
        <w:rPr>
          <w:rFonts w:ascii="Times New Roman" w:eastAsia="Times New Roman" w:hAnsi="Times New Roman" w:cs="Times New Roman"/>
          <w:sz w:val="24"/>
          <w:szCs w:val="24"/>
          <w:lang w:eastAsia="es-ES"/>
        </w:rPr>
        <w:t>legamos ahora al acto procesal por excelencia: la demanda. Si el proceso es el cauce a través del cual se canaliza la pretensión, la demanda es la compuerta que da inicio a todo el iter. Es el vehículo mediante el cual se ejercita el derecho de acción y se solicita formalmente la tutela jurisdiccional. En palabras del Dr. Juan Mendoza Díaz, la demanda es "la expresión concreta de la pretensión procesal, esto es, la declaración de voluntad por la que el actor solicita del órgano jurisdiccional una tutela jurídica determinada frente al demandado". Esta definición nos sitúa ante la verdadera naturaleza de la demanda: no es un mero trámite burocrático, sino un acto de voluntad cualificado que delimita el objeto del proceso y fija los límites dentro de los cuales habrá de desenvolverse el debate y, ulteriormente, la sentencia.</w:t>
      </w:r>
    </w:p>
    <w:p w14:paraId="1FDA66B5" w14:textId="77777777" w:rsidR="00395284" w:rsidRPr="00395284" w:rsidRDefault="00395284" w:rsidP="00A11397">
      <w:pPr>
        <w:spacing w:before="120" w:after="120" w:line="240" w:lineRule="auto"/>
        <w:jc w:val="both"/>
        <w:rPr>
          <w:rFonts w:ascii="Times New Roman" w:eastAsia="Times New Roman" w:hAnsi="Times New Roman" w:cs="Times New Roman"/>
          <w:sz w:val="24"/>
          <w:szCs w:val="24"/>
          <w:lang w:eastAsia="es-ES"/>
        </w:rPr>
      </w:pPr>
      <w:r w:rsidRPr="00395284">
        <w:rPr>
          <w:rFonts w:ascii="Times New Roman" w:eastAsia="Times New Roman" w:hAnsi="Times New Roman" w:cs="Times New Roman"/>
          <w:sz w:val="24"/>
          <w:szCs w:val="24"/>
          <w:lang w:eastAsia="es-ES"/>
        </w:rPr>
        <w:t>El artículo 24 de la Ley 153/2022 establece los requisitos que debe contener el escrito de demanda. Su observancia es esencial para la válida constitución de la relación jurídico-procesal. La omisión o el defecto en estos requisitos puede dar lugar a la inadmisión o al rechazo de la demanda, por lo que conviene que los analicemos con detenimiento, uno por uno, para comprender no solo qué exige la ley, sino también por qué lo exige.</w:t>
      </w:r>
    </w:p>
    <w:p w14:paraId="18A2F23E" w14:textId="77777777" w:rsidR="00395284" w:rsidRPr="00395284" w:rsidRDefault="00395284" w:rsidP="00A11397">
      <w:pPr>
        <w:spacing w:before="120" w:after="120" w:line="240" w:lineRule="auto"/>
        <w:jc w:val="both"/>
        <w:rPr>
          <w:rFonts w:ascii="Times New Roman" w:eastAsia="Times New Roman" w:hAnsi="Times New Roman" w:cs="Times New Roman"/>
          <w:sz w:val="24"/>
          <w:szCs w:val="24"/>
          <w:lang w:eastAsia="es-ES"/>
        </w:rPr>
      </w:pPr>
      <w:r w:rsidRPr="00395284">
        <w:rPr>
          <w:rFonts w:ascii="Times New Roman" w:eastAsia="Times New Roman" w:hAnsi="Times New Roman" w:cs="Times New Roman"/>
          <w:b/>
          <w:bCs/>
          <w:sz w:val="24"/>
          <w:szCs w:val="24"/>
          <w:lang w:eastAsia="es-ES"/>
        </w:rPr>
        <w:t>a) Identificación de las partes (art. 24.1.a).</w:t>
      </w:r>
      <w:r w:rsidRPr="00395284">
        <w:rPr>
          <w:rFonts w:ascii="Times New Roman" w:eastAsia="Times New Roman" w:hAnsi="Times New Roman" w:cs="Times New Roman"/>
          <w:sz w:val="24"/>
          <w:szCs w:val="24"/>
          <w:lang w:eastAsia="es-ES"/>
        </w:rPr>
        <w:t xml:space="preserve"> La demanda debe expresar las generales del actor y del demandado. Respecto de este último, la ley se muestra flexible: basta con señalar la identificación y dirección en la que pueda ser emplazado. ¿Por qué esta flexibilidad? Porque en ocasiones, quien ha sufrido </w:t>
      </w:r>
      <w:r w:rsidRPr="00395284">
        <w:rPr>
          <w:rFonts w:ascii="Times New Roman" w:eastAsia="Times New Roman" w:hAnsi="Times New Roman" w:cs="Times New Roman"/>
          <w:sz w:val="24"/>
          <w:szCs w:val="24"/>
          <w:lang w:eastAsia="es-ES"/>
        </w:rPr>
        <w:lastRenderedPageBreak/>
        <w:t>la vulneración de un derecho constitucional puede no conocer con exactitud todos los datos del funcionario o la autoridad que causó el daño. Piensa, por ejemplo, en una resolución administrativa dictada por un órgano colegiado: el afectado conoce la institución, pero quizás no el nombre de todos los firmantes. La ley no exige un rigor imposible, sino aquel que permite garantizar el derecho de defensa del demandado mediante su correcta localización. La identificación debe ser suficiente para que el tribunal pueda realizar el emplazamiento de manera efectiva.</w:t>
      </w:r>
    </w:p>
    <w:p w14:paraId="3E33E8C0" w14:textId="6F860584" w:rsidR="00395284" w:rsidRPr="00395284" w:rsidRDefault="00395284" w:rsidP="00A11397">
      <w:pPr>
        <w:spacing w:before="120" w:after="120" w:line="240" w:lineRule="auto"/>
        <w:jc w:val="both"/>
        <w:rPr>
          <w:rFonts w:ascii="Times New Roman" w:eastAsia="Times New Roman" w:hAnsi="Times New Roman" w:cs="Times New Roman"/>
          <w:sz w:val="24"/>
          <w:szCs w:val="24"/>
          <w:lang w:eastAsia="es-ES"/>
        </w:rPr>
      </w:pPr>
      <w:r w:rsidRPr="00395284">
        <w:rPr>
          <w:rFonts w:ascii="Times New Roman" w:eastAsia="Times New Roman" w:hAnsi="Times New Roman" w:cs="Times New Roman"/>
          <w:b/>
          <w:bCs/>
          <w:sz w:val="24"/>
          <w:szCs w:val="24"/>
          <w:lang w:eastAsia="es-ES"/>
        </w:rPr>
        <w:t>b) Datos de contacto electrónico (art. 24.1.b).</w:t>
      </w:r>
      <w:r w:rsidRPr="00395284">
        <w:rPr>
          <w:rFonts w:ascii="Times New Roman" w:eastAsia="Times New Roman" w:hAnsi="Times New Roman" w:cs="Times New Roman"/>
          <w:sz w:val="24"/>
          <w:szCs w:val="24"/>
          <w:lang w:eastAsia="es-ES"/>
        </w:rPr>
        <w:t xml:space="preserve"> La demanda debe señalar la dirección electrónica mediante la que pueden diligenciarse las notificaciones, citaciones, emplazamientos y requerimientos. Esta previsión, responde a una realidad ineludible: la progresiva digitalización de la justicia. En un proceso que debe ser expedito, las comunicaciones electrónicas permiten una agilidad que el correo postal o la notificación personal difícilmente pueden igualar. La ley no impone la obligación de tener dirección electrónica, pero quien la tiene debe proporcionarla; y quien no la tiene, deberá estar especialmente atento a los mecanismos sustitutivos de notificación (como la tablilla del tribunal) para no incurrir en indefensión.</w:t>
      </w:r>
    </w:p>
    <w:p w14:paraId="6874D860" w14:textId="77777777" w:rsidR="00395284" w:rsidRPr="00395284" w:rsidRDefault="00395284" w:rsidP="00A11397">
      <w:pPr>
        <w:spacing w:before="120" w:after="120" w:line="240" w:lineRule="auto"/>
        <w:jc w:val="both"/>
        <w:rPr>
          <w:rFonts w:ascii="Times New Roman" w:eastAsia="Times New Roman" w:hAnsi="Times New Roman" w:cs="Times New Roman"/>
          <w:sz w:val="24"/>
          <w:szCs w:val="24"/>
          <w:lang w:eastAsia="es-ES"/>
        </w:rPr>
      </w:pPr>
      <w:r w:rsidRPr="00395284">
        <w:rPr>
          <w:rFonts w:ascii="Times New Roman" w:eastAsia="Times New Roman" w:hAnsi="Times New Roman" w:cs="Times New Roman"/>
          <w:b/>
          <w:bCs/>
          <w:sz w:val="24"/>
          <w:szCs w:val="24"/>
          <w:lang w:eastAsia="es-ES"/>
        </w:rPr>
        <w:t>c) Hechos (art. 24.1.c).</w:t>
      </w:r>
      <w:r w:rsidRPr="00395284">
        <w:rPr>
          <w:rFonts w:ascii="Times New Roman" w:eastAsia="Times New Roman" w:hAnsi="Times New Roman" w:cs="Times New Roman"/>
          <w:sz w:val="24"/>
          <w:szCs w:val="24"/>
          <w:lang w:eastAsia="es-ES"/>
        </w:rPr>
        <w:t xml:space="preserve"> Los hechos en que se sustenta la vulneración del derecho constitucional deben exponerse de forma clara y precisa, con expresión, en su caso, de la cuantificación del daño o perjuicio sufrido. Esta exigencia no es, como podrías pensar inicialmente, un mero formalismo. Es, ante todo, una garantía del principio de contradicción. El demandado tiene derecho a conocer con exactitud qué hechos se le imputan para poder articular su defensa. Una exposición confusa, imprecisa o contradictoria de los hechos colocará al demandado en una situación de indefensión y, eventualmente, podrá dar lugar a la inadmisión de la demanda. La claridad en la narración fáctica es, por tanto, el primer paso para un debate ordenado.</w:t>
      </w:r>
    </w:p>
    <w:p w14:paraId="659DD7C7" w14:textId="77777777" w:rsidR="00395284" w:rsidRPr="00395284" w:rsidRDefault="00395284" w:rsidP="00A11397">
      <w:pPr>
        <w:spacing w:before="120" w:after="120" w:line="240" w:lineRule="auto"/>
        <w:jc w:val="both"/>
        <w:rPr>
          <w:rFonts w:ascii="Times New Roman" w:eastAsia="Times New Roman" w:hAnsi="Times New Roman" w:cs="Times New Roman"/>
          <w:sz w:val="24"/>
          <w:szCs w:val="24"/>
          <w:lang w:eastAsia="es-ES"/>
        </w:rPr>
      </w:pPr>
      <w:r w:rsidRPr="00395284">
        <w:rPr>
          <w:rFonts w:ascii="Times New Roman" w:eastAsia="Times New Roman" w:hAnsi="Times New Roman" w:cs="Times New Roman"/>
          <w:b/>
          <w:bCs/>
          <w:sz w:val="24"/>
          <w:szCs w:val="24"/>
          <w:lang w:eastAsia="es-ES"/>
        </w:rPr>
        <w:t>d) Fundamentos de derecho (art. 24.1.d).</w:t>
      </w:r>
      <w:r w:rsidRPr="00395284">
        <w:rPr>
          <w:rFonts w:ascii="Times New Roman" w:eastAsia="Times New Roman" w:hAnsi="Times New Roman" w:cs="Times New Roman"/>
          <w:sz w:val="24"/>
          <w:szCs w:val="24"/>
          <w:lang w:eastAsia="es-ES"/>
        </w:rPr>
        <w:t xml:space="preserve"> Deben exponerse los fundamentos de derecho, con precisión de los preceptos constitucionales en los que se ampara la pretensión. Aquí conviene que tengamos presente el principio iura novit curia ("el tribunal conoce el derecho"), en virtud del cual el juez no está vinculado por la calificación jurídica que hagan las partes. Sin embargo, la exigencia de exponer los fundamentos de derecho cumple una función esencial: permite al tribunal identificar el marco normativo en que el actor sitúa su reclamación y, con ello, comprender el alcance de la pretensión. Además, facilita el control de admisibilidad, pues el tribunal podrá verificar si, en efecto, los preceptos invocados son los adecuados y si la cuestión planteada es, prima facie, una cuestión de amparo constitucional.</w:t>
      </w:r>
    </w:p>
    <w:p w14:paraId="736BE5A0" w14:textId="384D39E4" w:rsidR="00395284" w:rsidRPr="00395284" w:rsidRDefault="00395284" w:rsidP="00A11397">
      <w:pPr>
        <w:spacing w:before="120" w:after="120" w:line="240" w:lineRule="auto"/>
        <w:jc w:val="both"/>
        <w:rPr>
          <w:rFonts w:ascii="Times New Roman" w:eastAsia="Times New Roman" w:hAnsi="Times New Roman" w:cs="Times New Roman"/>
          <w:sz w:val="24"/>
          <w:szCs w:val="24"/>
          <w:lang w:eastAsia="es-ES"/>
        </w:rPr>
      </w:pPr>
      <w:r w:rsidRPr="00395284">
        <w:rPr>
          <w:rFonts w:ascii="Times New Roman" w:eastAsia="Times New Roman" w:hAnsi="Times New Roman" w:cs="Times New Roman"/>
          <w:b/>
          <w:bCs/>
          <w:sz w:val="24"/>
          <w:szCs w:val="24"/>
          <w:lang w:eastAsia="es-ES"/>
        </w:rPr>
        <w:t>e) Pretensión concreta (art. 24.1.e).</w:t>
      </w:r>
      <w:r w:rsidRPr="00395284">
        <w:rPr>
          <w:rFonts w:ascii="Times New Roman" w:eastAsia="Times New Roman" w:hAnsi="Times New Roman" w:cs="Times New Roman"/>
          <w:sz w:val="24"/>
          <w:szCs w:val="24"/>
          <w:lang w:eastAsia="es-ES"/>
        </w:rPr>
        <w:t xml:space="preserve"> Este es el núcleo esencial de la demanda, el petitum que delimita el objeto del proceso. Debe formularse la pretensión concreta encaminada a lograr la restitución del derecho constitucional vulnerado y, en su caso, a obtener la reparación de los daños o la indemnización de los perjuicios resultantes. Observa, que la ley distingue entre restitución (volver las cosas al estado anterior a la vulneración) y reparación o indemnización (compensar los daños y perjuicios causados). Ambas pueden solicitarse conjuntamente, pero deben ser formuladas con claridad para que el tribunal sepa exactamente qué es lo que se le pide. Una pretensión vaga o genérica (por ejemplo, "solicito que se me haga justicia") es insuficiente y puede conducir a la inadmisión.</w:t>
      </w:r>
    </w:p>
    <w:p w14:paraId="0D552064" w14:textId="77777777" w:rsidR="00395284" w:rsidRPr="00395284" w:rsidRDefault="00395284" w:rsidP="00A11397">
      <w:pPr>
        <w:spacing w:before="120" w:after="120" w:line="240" w:lineRule="auto"/>
        <w:jc w:val="both"/>
        <w:rPr>
          <w:rFonts w:ascii="Times New Roman" w:eastAsia="Times New Roman" w:hAnsi="Times New Roman" w:cs="Times New Roman"/>
          <w:sz w:val="24"/>
          <w:szCs w:val="24"/>
          <w:lang w:eastAsia="es-ES"/>
        </w:rPr>
      </w:pPr>
      <w:r w:rsidRPr="00395284">
        <w:rPr>
          <w:rFonts w:ascii="Times New Roman" w:eastAsia="Times New Roman" w:hAnsi="Times New Roman" w:cs="Times New Roman"/>
          <w:b/>
          <w:bCs/>
          <w:sz w:val="24"/>
          <w:szCs w:val="24"/>
          <w:lang w:eastAsia="es-ES"/>
        </w:rPr>
        <w:t>f) Medios de prueba (art. 24.1.f).</w:t>
      </w:r>
      <w:r w:rsidRPr="00395284">
        <w:rPr>
          <w:rFonts w:ascii="Times New Roman" w:eastAsia="Times New Roman" w:hAnsi="Times New Roman" w:cs="Times New Roman"/>
          <w:sz w:val="24"/>
          <w:szCs w:val="24"/>
          <w:lang w:eastAsia="es-ES"/>
        </w:rPr>
        <w:t xml:space="preserve"> Finalmente, deben indicarse los medios de prueba de que interesa valerse el actor para acreditar los hechos. Esta previsión responde al principio de eventualidad, que exige a las partes desplegar toda su actividad procesal en los momentos procesales oportunos. Indicar los medios de prueba desde la demanda permite al tribunal y a la parte contraria conocer desde el inicio qué elementos probatorios se pretenden utilizar, facilitando la preparación de la defensa y la organización de la audiencia.</w:t>
      </w:r>
    </w:p>
    <w:p w14:paraId="15C85A26" w14:textId="77777777" w:rsidR="00395284" w:rsidRPr="00395284" w:rsidRDefault="00395284" w:rsidP="00A11397">
      <w:pPr>
        <w:spacing w:before="120" w:after="120" w:line="240" w:lineRule="auto"/>
        <w:jc w:val="both"/>
        <w:rPr>
          <w:rFonts w:ascii="Times New Roman" w:eastAsia="Times New Roman" w:hAnsi="Times New Roman" w:cs="Times New Roman"/>
          <w:sz w:val="24"/>
          <w:szCs w:val="24"/>
          <w:lang w:eastAsia="es-ES"/>
        </w:rPr>
      </w:pPr>
      <w:r w:rsidRPr="00395284">
        <w:rPr>
          <w:rFonts w:ascii="Times New Roman" w:eastAsia="Times New Roman" w:hAnsi="Times New Roman" w:cs="Times New Roman"/>
          <w:sz w:val="24"/>
          <w:szCs w:val="24"/>
          <w:lang w:eastAsia="es-ES"/>
        </w:rPr>
        <w:t xml:space="preserve">El artículo 24.2 establece una regla de especial relevancia: </w:t>
      </w:r>
      <w:r w:rsidRPr="00395284">
        <w:rPr>
          <w:rFonts w:ascii="Times New Roman" w:eastAsia="Times New Roman" w:hAnsi="Times New Roman" w:cs="Times New Roman"/>
          <w:b/>
          <w:bCs/>
          <w:sz w:val="24"/>
          <w:szCs w:val="24"/>
          <w:lang w:eastAsia="es-ES"/>
        </w:rPr>
        <w:t>no se pueden acumular las pretensiones de amparo constitucional con otras de naturaleza ordinaria</w:t>
      </w:r>
      <w:r w:rsidRPr="00395284">
        <w:rPr>
          <w:rFonts w:ascii="Times New Roman" w:eastAsia="Times New Roman" w:hAnsi="Times New Roman" w:cs="Times New Roman"/>
          <w:sz w:val="24"/>
          <w:szCs w:val="24"/>
          <w:lang w:eastAsia="es-ES"/>
        </w:rPr>
        <w:t xml:space="preserve">. Esta prohibición responde a la naturaleza </w:t>
      </w:r>
      <w:r w:rsidRPr="00395284">
        <w:rPr>
          <w:rFonts w:ascii="Times New Roman" w:eastAsia="Times New Roman" w:hAnsi="Times New Roman" w:cs="Times New Roman"/>
          <w:sz w:val="24"/>
          <w:szCs w:val="24"/>
          <w:lang w:eastAsia="es-ES"/>
        </w:rPr>
        <w:lastRenderedPageBreak/>
        <w:t>especializada del amparo y evita que su tramitación preferente se vea entorpecida por cuestiones ajenas a la protección de derechos constitucionales. Si el actor considera que, además de la vulneración constitucional, existen otras cuestiones que deben ser resueltas (por ejemplo, reclamaciones de naturaleza contractual), deberá promover los procesos correspondientes por separado.</w:t>
      </w:r>
    </w:p>
    <w:p w14:paraId="423711A9" w14:textId="77777777" w:rsidR="00395284" w:rsidRPr="00395284" w:rsidRDefault="00395284" w:rsidP="00A11397">
      <w:pPr>
        <w:spacing w:before="120" w:after="120" w:line="240" w:lineRule="auto"/>
        <w:jc w:val="both"/>
        <w:rPr>
          <w:rFonts w:ascii="Times New Roman" w:eastAsia="Times New Roman" w:hAnsi="Times New Roman" w:cs="Times New Roman"/>
          <w:sz w:val="24"/>
          <w:szCs w:val="24"/>
          <w:lang w:eastAsia="es-ES"/>
        </w:rPr>
      </w:pPr>
      <w:r w:rsidRPr="00395284">
        <w:rPr>
          <w:rFonts w:ascii="Times New Roman" w:eastAsia="Times New Roman" w:hAnsi="Times New Roman" w:cs="Times New Roman"/>
          <w:sz w:val="24"/>
          <w:szCs w:val="24"/>
          <w:lang w:eastAsia="es-ES"/>
        </w:rPr>
        <w:t xml:space="preserve">Pasemos ahora a una cuestión crucial: el </w:t>
      </w:r>
      <w:r w:rsidRPr="00395284">
        <w:rPr>
          <w:rFonts w:ascii="Times New Roman" w:eastAsia="Times New Roman" w:hAnsi="Times New Roman" w:cs="Times New Roman"/>
          <w:b/>
          <w:bCs/>
          <w:sz w:val="24"/>
          <w:szCs w:val="24"/>
          <w:lang w:eastAsia="es-ES"/>
        </w:rPr>
        <w:t>plazo para la interposición de la demanda</w:t>
      </w:r>
      <w:r w:rsidRPr="00395284">
        <w:rPr>
          <w:rFonts w:ascii="Times New Roman" w:eastAsia="Times New Roman" w:hAnsi="Times New Roman" w:cs="Times New Roman"/>
          <w:sz w:val="24"/>
          <w:szCs w:val="24"/>
          <w:lang w:eastAsia="es-ES"/>
        </w:rPr>
        <w:t xml:space="preserve">. El artículo 23.1 establece un plazo de hasta </w:t>
      </w:r>
      <w:r w:rsidRPr="00395284">
        <w:rPr>
          <w:rFonts w:ascii="Times New Roman" w:eastAsia="Times New Roman" w:hAnsi="Times New Roman" w:cs="Times New Roman"/>
          <w:b/>
          <w:bCs/>
          <w:sz w:val="24"/>
          <w:szCs w:val="24"/>
          <w:lang w:eastAsia="es-ES"/>
        </w:rPr>
        <w:t>noventa días</w:t>
      </w:r>
      <w:r w:rsidRPr="00395284">
        <w:rPr>
          <w:rFonts w:ascii="Times New Roman" w:eastAsia="Times New Roman" w:hAnsi="Times New Roman" w:cs="Times New Roman"/>
          <w:sz w:val="24"/>
          <w:szCs w:val="24"/>
          <w:lang w:eastAsia="es-ES"/>
        </w:rPr>
        <w:t>, contados desde el momento en que el demandante conozca el acto que vulneró el derecho constitucional reclamado. Se trata de un plazo de caducidad, de naturaleza preclusiva: su transcurso extingue el derecho a ejercitar la acción de amparo. La ley opta así por un plazo razonablemente amplio, pero no indefinido, en aras de la seguridad jurídica.</w:t>
      </w:r>
    </w:p>
    <w:p w14:paraId="55AD6087" w14:textId="77777777" w:rsidR="00395284" w:rsidRPr="00395284" w:rsidRDefault="00395284" w:rsidP="00A11397">
      <w:pPr>
        <w:spacing w:before="120" w:after="120" w:line="240" w:lineRule="auto"/>
        <w:jc w:val="both"/>
        <w:rPr>
          <w:rFonts w:ascii="Times New Roman" w:eastAsia="Times New Roman" w:hAnsi="Times New Roman" w:cs="Times New Roman"/>
          <w:sz w:val="24"/>
          <w:szCs w:val="24"/>
          <w:lang w:eastAsia="es-ES"/>
        </w:rPr>
      </w:pPr>
      <w:r w:rsidRPr="00395284">
        <w:rPr>
          <w:rFonts w:ascii="Times New Roman" w:eastAsia="Times New Roman" w:hAnsi="Times New Roman" w:cs="Times New Roman"/>
          <w:sz w:val="24"/>
          <w:szCs w:val="24"/>
          <w:lang w:eastAsia="es-ES"/>
        </w:rPr>
        <w:t>Ahora bien, este plazo general se ve modulado por dos reglas especiales de enorme importancia práctica:</w:t>
      </w:r>
    </w:p>
    <w:p w14:paraId="775CF69A" w14:textId="05B29F25" w:rsidR="00395284" w:rsidRPr="00395284" w:rsidRDefault="00395284" w:rsidP="00A11397">
      <w:pPr>
        <w:spacing w:before="120" w:after="120" w:line="240" w:lineRule="auto"/>
        <w:jc w:val="both"/>
        <w:rPr>
          <w:rFonts w:ascii="Times New Roman" w:eastAsia="Times New Roman" w:hAnsi="Times New Roman" w:cs="Times New Roman"/>
          <w:sz w:val="24"/>
          <w:szCs w:val="24"/>
          <w:lang w:eastAsia="es-ES"/>
        </w:rPr>
      </w:pPr>
      <w:r w:rsidRPr="00395284">
        <w:rPr>
          <w:rFonts w:ascii="Times New Roman" w:eastAsia="Times New Roman" w:hAnsi="Times New Roman" w:cs="Times New Roman"/>
          <w:b/>
          <w:bCs/>
          <w:sz w:val="24"/>
          <w:szCs w:val="24"/>
          <w:lang w:eastAsia="es-ES"/>
        </w:rPr>
        <w:t>Primera regla: situaciones de vulnerabilidad.</w:t>
      </w:r>
      <w:r w:rsidRPr="00395284">
        <w:rPr>
          <w:rFonts w:ascii="Times New Roman" w:eastAsia="Times New Roman" w:hAnsi="Times New Roman" w:cs="Times New Roman"/>
          <w:sz w:val="24"/>
          <w:szCs w:val="24"/>
          <w:lang w:eastAsia="es-ES"/>
        </w:rPr>
        <w:t xml:space="preserve"> El artículo 23.2 dispone que, para las personas que se encuentren en situación de vulnerabilidad u otras circunstancias objetivas que les impidan reclamar, el plazo se computa desde el momento en que estuvieran en condiciones de hacerlo. Esta previsión es una concreción del mandato constitucional de tutela efectiva. Si una persona, por razón de su edad, discapacidad, enfermedad o cualquier otra circunstancia, no ha podido ejercitar la acción dentro del plazo ordinario, el cómputo se suspende hasta que desaparezca el impedimento.</w:t>
      </w:r>
    </w:p>
    <w:p w14:paraId="446D70CD" w14:textId="77777777" w:rsidR="00395284" w:rsidRPr="00395284" w:rsidRDefault="00395284" w:rsidP="00A11397">
      <w:pPr>
        <w:spacing w:before="120" w:after="120" w:line="240" w:lineRule="auto"/>
        <w:jc w:val="both"/>
        <w:rPr>
          <w:rFonts w:ascii="Times New Roman" w:eastAsia="Times New Roman" w:hAnsi="Times New Roman" w:cs="Times New Roman"/>
          <w:sz w:val="24"/>
          <w:szCs w:val="24"/>
          <w:lang w:eastAsia="es-ES"/>
        </w:rPr>
      </w:pPr>
      <w:r w:rsidRPr="00395284">
        <w:rPr>
          <w:rFonts w:ascii="Times New Roman" w:eastAsia="Times New Roman" w:hAnsi="Times New Roman" w:cs="Times New Roman"/>
          <w:b/>
          <w:bCs/>
          <w:sz w:val="24"/>
          <w:szCs w:val="24"/>
          <w:lang w:eastAsia="es-ES"/>
        </w:rPr>
        <w:t>Segunda regla: violaciones continuadas.</w:t>
      </w:r>
      <w:r w:rsidRPr="00395284">
        <w:rPr>
          <w:rFonts w:ascii="Times New Roman" w:eastAsia="Times New Roman" w:hAnsi="Times New Roman" w:cs="Times New Roman"/>
          <w:sz w:val="24"/>
          <w:szCs w:val="24"/>
          <w:lang w:eastAsia="es-ES"/>
        </w:rPr>
        <w:t xml:space="preserve"> El artículo 23.3 establece que, en el caso de vulneraciones que se mantengan en el tiempo, el interesado puede presentar la demanda en cualquier momento mientras subsistan estas o sus efectos. Esta disposición resulta esencial para garantizar la tutela efectiva frente a situaciones que no se agotan en un acto puntual, sino que se prolongan en el tiempo. Piensa, por ejemplo, en una situación de acoso laboral persistente: mientras el acoso continúe, el plazo para interponer el amparo no comienza a correr, porque la vulneración es continua.</w:t>
      </w:r>
    </w:p>
    <w:p w14:paraId="358D2FE1" w14:textId="77777777" w:rsidR="00395284" w:rsidRPr="00395284" w:rsidRDefault="00395284" w:rsidP="00A11397">
      <w:pPr>
        <w:spacing w:before="120" w:after="120" w:line="240" w:lineRule="auto"/>
        <w:jc w:val="both"/>
        <w:rPr>
          <w:rFonts w:ascii="Times New Roman" w:eastAsia="Times New Roman" w:hAnsi="Times New Roman" w:cs="Times New Roman"/>
          <w:sz w:val="24"/>
          <w:szCs w:val="24"/>
          <w:lang w:eastAsia="es-ES"/>
        </w:rPr>
      </w:pPr>
      <w:r w:rsidRPr="00395284">
        <w:rPr>
          <w:rFonts w:ascii="Times New Roman" w:eastAsia="Times New Roman" w:hAnsi="Times New Roman" w:cs="Times New Roman"/>
          <w:sz w:val="24"/>
          <w:szCs w:val="24"/>
          <w:lang w:eastAsia="es-ES"/>
        </w:rPr>
        <w:t xml:space="preserve">El </w:t>
      </w:r>
      <w:r w:rsidRPr="00395284">
        <w:rPr>
          <w:rFonts w:ascii="Times New Roman" w:eastAsia="Times New Roman" w:hAnsi="Times New Roman" w:cs="Times New Roman"/>
          <w:b/>
          <w:bCs/>
          <w:sz w:val="24"/>
          <w:szCs w:val="24"/>
          <w:lang w:eastAsia="es-ES"/>
        </w:rPr>
        <w:t>control de admisibilidad</w:t>
      </w:r>
      <w:r w:rsidRPr="00395284">
        <w:rPr>
          <w:rFonts w:ascii="Times New Roman" w:eastAsia="Times New Roman" w:hAnsi="Times New Roman" w:cs="Times New Roman"/>
          <w:sz w:val="24"/>
          <w:szCs w:val="24"/>
          <w:lang w:eastAsia="es-ES"/>
        </w:rPr>
        <w:t xml:space="preserve"> de la demanda constituye uno de los momentos críticos del proceso de amparo. La Ley 153/2022 establece un sistema de filtros sucesivos que debemos conocer con precisión.</w:t>
      </w:r>
    </w:p>
    <w:p w14:paraId="0472A88D" w14:textId="77777777" w:rsidR="00395284" w:rsidRPr="00395284" w:rsidRDefault="00395284" w:rsidP="00A11397">
      <w:pPr>
        <w:spacing w:before="120" w:after="120" w:line="240" w:lineRule="auto"/>
        <w:jc w:val="both"/>
        <w:rPr>
          <w:rFonts w:ascii="Times New Roman" w:eastAsia="Times New Roman" w:hAnsi="Times New Roman" w:cs="Times New Roman"/>
          <w:sz w:val="24"/>
          <w:szCs w:val="24"/>
          <w:lang w:eastAsia="es-ES"/>
        </w:rPr>
      </w:pPr>
      <w:r w:rsidRPr="00395284">
        <w:rPr>
          <w:rFonts w:ascii="Times New Roman" w:eastAsia="Times New Roman" w:hAnsi="Times New Roman" w:cs="Times New Roman"/>
          <w:b/>
          <w:bCs/>
          <w:sz w:val="24"/>
          <w:szCs w:val="24"/>
          <w:lang w:eastAsia="es-ES"/>
        </w:rPr>
        <w:t>Primer filtro: subsanación de defectos.</w:t>
      </w:r>
      <w:r w:rsidRPr="00395284">
        <w:rPr>
          <w:rFonts w:ascii="Times New Roman" w:eastAsia="Times New Roman" w:hAnsi="Times New Roman" w:cs="Times New Roman"/>
          <w:sz w:val="24"/>
          <w:szCs w:val="24"/>
          <w:lang w:eastAsia="es-ES"/>
        </w:rPr>
        <w:t xml:space="preserve"> El artículo 25.3 faculta al tribunal para disponer la subsanación de la demanda "solo cuando los defectos no puedan ser reparados en un momento posterior del proceso". A tal fin, concede un plazo de </w:t>
      </w:r>
      <w:r w:rsidRPr="00395284">
        <w:rPr>
          <w:rFonts w:ascii="Times New Roman" w:eastAsia="Times New Roman" w:hAnsi="Times New Roman" w:cs="Times New Roman"/>
          <w:b/>
          <w:bCs/>
          <w:sz w:val="24"/>
          <w:szCs w:val="24"/>
          <w:lang w:eastAsia="es-ES"/>
        </w:rPr>
        <w:t>tres días</w:t>
      </w:r>
      <w:r w:rsidRPr="00395284">
        <w:rPr>
          <w:rFonts w:ascii="Times New Roman" w:eastAsia="Times New Roman" w:hAnsi="Times New Roman" w:cs="Times New Roman"/>
          <w:sz w:val="24"/>
          <w:szCs w:val="24"/>
          <w:lang w:eastAsia="es-ES"/>
        </w:rPr>
        <w:t xml:space="preserve"> y, de no ser cumplido, decide la inadmisión mediante auto. Esta previsión, como advierte Guzmán Hernández, debe interpretarse de manera restrictiva en cuanto a los defectos que impiden la subsanación, pero de manera amplia en cuanto a la oportunidad de subsanar. Es decir, siempre que sea posible reparar el defecto sin alterar la naturaleza de la pretensión, el tribunal debe conceder la oportunidad de hacerlo. La finalidad última es evitar que defectos formales obstaculicen el acceso a la justicia constitucional.</w:t>
      </w:r>
    </w:p>
    <w:p w14:paraId="3DB8EC95" w14:textId="77777777" w:rsidR="00395284" w:rsidRPr="00395284" w:rsidRDefault="00395284" w:rsidP="00A11397">
      <w:pPr>
        <w:spacing w:before="120" w:after="120" w:line="240" w:lineRule="auto"/>
        <w:jc w:val="both"/>
        <w:rPr>
          <w:rFonts w:ascii="Times New Roman" w:eastAsia="Times New Roman" w:hAnsi="Times New Roman" w:cs="Times New Roman"/>
          <w:sz w:val="24"/>
          <w:szCs w:val="24"/>
          <w:lang w:eastAsia="es-ES"/>
        </w:rPr>
      </w:pPr>
      <w:r w:rsidRPr="00395284">
        <w:rPr>
          <w:rFonts w:ascii="Times New Roman" w:eastAsia="Times New Roman" w:hAnsi="Times New Roman" w:cs="Times New Roman"/>
          <w:b/>
          <w:bCs/>
          <w:sz w:val="24"/>
          <w:szCs w:val="24"/>
          <w:lang w:eastAsia="es-ES"/>
        </w:rPr>
        <w:t>Segundo filtro: admisión.</w:t>
      </w:r>
      <w:r w:rsidRPr="00395284">
        <w:rPr>
          <w:rFonts w:ascii="Times New Roman" w:eastAsia="Times New Roman" w:hAnsi="Times New Roman" w:cs="Times New Roman"/>
          <w:sz w:val="24"/>
          <w:szCs w:val="24"/>
          <w:lang w:eastAsia="es-ES"/>
        </w:rPr>
        <w:t xml:space="preserve"> Superado el trámite de subsanación, el tribunal decide sobre la admisión de la demanda. Admitida la demanda, se confiere traslado al demandado y se le emplaza para que comparezca y la conteste en el plazo de </w:t>
      </w:r>
      <w:r w:rsidRPr="00395284">
        <w:rPr>
          <w:rFonts w:ascii="Times New Roman" w:eastAsia="Times New Roman" w:hAnsi="Times New Roman" w:cs="Times New Roman"/>
          <w:b/>
          <w:bCs/>
          <w:sz w:val="24"/>
          <w:szCs w:val="24"/>
          <w:lang w:eastAsia="es-ES"/>
        </w:rPr>
        <w:t>diez días</w:t>
      </w:r>
      <w:r w:rsidRPr="00395284">
        <w:rPr>
          <w:rFonts w:ascii="Times New Roman" w:eastAsia="Times New Roman" w:hAnsi="Times New Roman" w:cs="Times New Roman"/>
          <w:sz w:val="24"/>
          <w:szCs w:val="24"/>
          <w:lang w:eastAsia="es-ES"/>
        </w:rPr>
        <w:t xml:space="preserve"> (art. 26). La admisión implica que el tribunal ha superado el control preliminar y considera que la demanda cumple los requisitos formales y no incurre en causas de inadmisión manifiestas.</w:t>
      </w:r>
    </w:p>
    <w:p w14:paraId="1AA896D9" w14:textId="29FC86E7" w:rsidR="00AE19C2" w:rsidRPr="00A11397" w:rsidRDefault="00AE19C2" w:rsidP="00A11397">
      <w:pPr>
        <w:spacing w:before="120" w:after="120" w:line="240" w:lineRule="auto"/>
        <w:jc w:val="both"/>
        <w:rPr>
          <w:rFonts w:ascii="Times New Roman" w:eastAsia="Times New Roman" w:hAnsi="Times New Roman" w:cs="Times New Roman"/>
          <w:color w:val="FF0000"/>
          <w:sz w:val="24"/>
          <w:szCs w:val="24"/>
          <w:lang w:eastAsia="es-ES"/>
        </w:rPr>
      </w:pPr>
      <w:r w:rsidRPr="00A11397">
        <w:rPr>
          <w:rFonts w:ascii="Times New Roman" w:eastAsia="Times New Roman" w:hAnsi="Times New Roman" w:cs="Times New Roman"/>
          <w:color w:val="FF0000"/>
          <w:sz w:val="24"/>
          <w:szCs w:val="24"/>
          <w:lang w:eastAsia="es-ES"/>
        </w:rPr>
        <w:t>LA TRASCENDENCIA JURIDICA SOCIAL</w:t>
      </w:r>
    </w:p>
    <w:p w14:paraId="350B9045" w14:textId="30901493" w:rsidR="00AE19C2" w:rsidRPr="00A11397" w:rsidRDefault="00AE19C2" w:rsidP="00A11397">
      <w:pPr>
        <w:pStyle w:val="ds-markdown-paragraph"/>
        <w:spacing w:before="120" w:beforeAutospacing="0" w:after="120" w:afterAutospacing="0"/>
        <w:jc w:val="both"/>
      </w:pPr>
      <w:r w:rsidRPr="00A11397">
        <w:t xml:space="preserve">Llegados a este punto, debemos enfrentar una realidad que la doctrina especializada ha comenzado a documentar y que resulta indispensable para comprender el estado actual del amparo en Cuba. Me refiero a la </w:t>
      </w:r>
      <w:r w:rsidRPr="00A11397">
        <w:rPr>
          <w:rStyle w:val="Textoennegrita"/>
        </w:rPr>
        <w:t>práctica judicial</w:t>
      </w:r>
      <w:r w:rsidRPr="00A11397">
        <w:t xml:space="preserve"> que se ha ido consolidando en torno al control de admisibilidad y, particularmente, a la aplicación del concepto de "trascendencia jurídico social".</w:t>
      </w:r>
    </w:p>
    <w:p w14:paraId="17AA7FB6" w14:textId="77777777" w:rsidR="00AE19C2" w:rsidRPr="00A11397" w:rsidRDefault="00AE19C2" w:rsidP="00A11397">
      <w:pPr>
        <w:pStyle w:val="ds-markdown-paragraph"/>
        <w:spacing w:before="120" w:beforeAutospacing="0" w:after="120" w:afterAutospacing="0"/>
        <w:jc w:val="both"/>
      </w:pPr>
      <w:r w:rsidRPr="00A11397">
        <w:lastRenderedPageBreak/>
        <w:t xml:space="preserve">El profesor Teodoro Yan Guzmán Hernández, en su estudio publicado en la </w:t>
      </w:r>
      <w:r w:rsidRPr="00A11397">
        <w:rPr>
          <w:rStyle w:val="nfasis"/>
        </w:rPr>
        <w:t>Revista General de Derecho Público Comparado</w:t>
      </w:r>
      <w:r w:rsidRPr="00A11397">
        <w:t>, ofrece un diagnóstico que debe preocuparnos a todos los que creemos en el amparo como garantía efectiva. Según sus investigaciones, "a casi dos años de la entrada en vigor de la Ley 153/2022, sobran los dedos de una mano para contar las demandas que han rebasado el umbral de admisibilidad; el amparo se encuentra aún en un limbo jurídico en Cuba" .</w:t>
      </w:r>
    </w:p>
    <w:p w14:paraId="02F21807" w14:textId="227225D8" w:rsidR="00AE19C2" w:rsidRPr="00A11397" w:rsidRDefault="00AE19C2" w:rsidP="00A11397">
      <w:pPr>
        <w:pStyle w:val="ds-markdown-paragraph"/>
        <w:spacing w:before="120" w:beforeAutospacing="0" w:after="120" w:afterAutospacing="0"/>
        <w:jc w:val="both"/>
      </w:pPr>
      <w:r w:rsidRPr="00A11397">
        <w:t>Esta afirmación, no es una mera especulación académica. Es la constatación de que algo está funcionando mal en la articulación entre la ley y su aplicación práctica. Y en el centro de esta disfunción se encuentra, precisamente, el manejo del concepto de trascendencia jurídico social por parte de nuestros tribunales.</w:t>
      </w:r>
    </w:p>
    <w:p w14:paraId="1C906CC8" w14:textId="77777777" w:rsidR="00AE19C2" w:rsidRPr="00A11397" w:rsidRDefault="00AE19C2" w:rsidP="00A11397">
      <w:pPr>
        <w:pStyle w:val="ds-markdown-paragraph"/>
        <w:spacing w:before="120" w:beforeAutospacing="0" w:after="120" w:afterAutospacing="0"/>
        <w:jc w:val="both"/>
      </w:pPr>
      <w:r w:rsidRPr="00A11397">
        <w:rPr>
          <w:rStyle w:val="Textoennegrita"/>
        </w:rPr>
        <w:t>¿Qué está ocurriendo en la práctica?</w:t>
      </w:r>
    </w:p>
    <w:p w14:paraId="6BA9FCE3" w14:textId="77777777" w:rsidR="00AE19C2" w:rsidRPr="00A11397" w:rsidRDefault="00AE19C2" w:rsidP="00A11397">
      <w:pPr>
        <w:pStyle w:val="ds-markdown-paragraph"/>
        <w:spacing w:before="120" w:beforeAutospacing="0" w:after="120" w:afterAutospacing="0"/>
        <w:jc w:val="both"/>
      </w:pPr>
      <w:r w:rsidRPr="00A11397">
        <w:t>La experiencia forense revela una tendencia preocupante: los tribunales, al enfrentarse a demandas de amparo, están resolviendo su inadmisión mediante fórmulas estereotipadas, carentes de la motivación exigible. Frases como "es evidente que en este caso no resulta trascendente" o "no se observa la trascendencia jurídico social requerida" se repiten en los autos de inadmisión, sin que medie una explicación razonada de por qué el caso concreto no alcanza ese umbral.</w:t>
      </w:r>
    </w:p>
    <w:p w14:paraId="73578533" w14:textId="77777777" w:rsidR="00AE19C2" w:rsidRPr="00A11397" w:rsidRDefault="00AE19C2" w:rsidP="00A11397">
      <w:pPr>
        <w:pStyle w:val="ds-markdown-paragraph"/>
        <w:spacing w:before="120" w:beforeAutospacing="0" w:after="120" w:afterAutospacing="0"/>
        <w:jc w:val="both"/>
      </w:pPr>
      <w:r w:rsidRPr="00A11397">
        <w:t>Detengámonos un momento a analizar qué implica esta práctica. Una resolución judicial, especialmente cuando decide sobre la admisión o inadmisión de una demanda que afecta derechos fundamentales, debe ser el resultado de un proceso intelectual verificable. El juez está obligado a explicar el camino lógico que lo conduce a su conclusión. Pues bien, cuando el tribunal se limita a afirmar dogmáticamente que "no se observa la trascendencia", está eludiendo su deber de motivación. Está, en definitiva, sustituyendo la argumentación por el dictum.</w:t>
      </w:r>
    </w:p>
    <w:p w14:paraId="7F9DF5BA" w14:textId="77777777" w:rsidR="00AE19C2" w:rsidRPr="00A11397" w:rsidRDefault="00AE19C2" w:rsidP="00A11397">
      <w:pPr>
        <w:pStyle w:val="ds-markdown-paragraph"/>
        <w:spacing w:before="120" w:beforeAutospacing="0" w:after="120" w:afterAutospacing="0"/>
        <w:jc w:val="both"/>
      </w:pPr>
      <w:r w:rsidRPr="00A11397">
        <w:t>Guzmán Hernández identifica dos causas estructurales de esta situación: "Por un lado, el empleo del concepto jurídico indeterminado y el tibio intento del legislador para objetivar los criterios de admisibilidad en la norma de desarrollo, y por otro, la ampliación de las facultades de los jueces respecto a la constitución y la falta de especialización de los que integran las salas de amparo" . Observa cómo confluyen aquí una deficiencia normativa (la indeterminación del concepto) y una deficiencia orgánica (la falta de especialización judicial).</w:t>
      </w:r>
    </w:p>
    <w:p w14:paraId="69E8D8AE" w14:textId="77777777" w:rsidR="00AE19C2" w:rsidRPr="00A11397" w:rsidRDefault="00AE19C2" w:rsidP="00A11397">
      <w:pPr>
        <w:pStyle w:val="ds-markdown-paragraph"/>
        <w:spacing w:before="120" w:beforeAutospacing="0" w:after="120" w:afterAutospacing="0"/>
        <w:jc w:val="both"/>
      </w:pPr>
      <w:r w:rsidRPr="00A11397">
        <w:rPr>
          <w:rStyle w:val="Textoennegrita"/>
        </w:rPr>
        <w:t>El riesgo de reduccionismo: la tentación de equiparar trascendencia con vulnerabilidad</w:t>
      </w:r>
    </w:p>
    <w:p w14:paraId="77A76A03" w14:textId="77777777" w:rsidR="00AE19C2" w:rsidRPr="00A11397" w:rsidRDefault="00AE19C2" w:rsidP="00A11397">
      <w:pPr>
        <w:pStyle w:val="ds-markdown-paragraph"/>
        <w:spacing w:before="120" w:beforeAutospacing="0" w:after="120" w:afterAutospacing="0"/>
        <w:jc w:val="both"/>
      </w:pPr>
      <w:r w:rsidRPr="00A11397">
        <w:t>Cuando los tribunales, ante la dificultad de definir qué es la trascendencia jurídico social, recurren casi instintivamente a la situación de vulnerabilidad del demandante como único criterio para admitir la demanda, están operando una reducción conceptual de graves consecuencias. La vulnerabilidad es, según el artículo 5.3, uno de los criterios orientadores, pero no es el único ni debe ser el determinante excluyente. El propio precepto menciona también "la significación jurídico social de la vulneración" y "la posible irreparabilidad del daño o perjuicio causado".</w:t>
      </w:r>
    </w:p>
    <w:p w14:paraId="6C9AE375" w14:textId="77777777" w:rsidR="00AE19C2" w:rsidRPr="00A11397" w:rsidRDefault="00AE19C2" w:rsidP="00A11397">
      <w:pPr>
        <w:pStyle w:val="ds-markdown-paragraph"/>
        <w:spacing w:before="120" w:beforeAutospacing="0" w:after="120" w:afterAutospacing="0"/>
        <w:jc w:val="both"/>
      </w:pPr>
      <w:r w:rsidRPr="00A11397">
        <w:t>Si el amparo termina convirtiéndose, por vía de la práctica judicial, en un proceso reservado exclusivamente para personas en situación de vulnerabilidad, estaríamos ante una grave distorsión de su naturaleza. Porque el amparo no es una garantía para determinados tipos de personas, sino para determinados tipos de derechos: los derechos constitucionales, con independencia de quién sea su titular.</w:t>
      </w:r>
    </w:p>
    <w:p w14:paraId="0D14EEC7" w14:textId="77777777" w:rsidR="00AE19C2" w:rsidRPr="00A11397" w:rsidRDefault="00AE19C2" w:rsidP="00A11397">
      <w:pPr>
        <w:pStyle w:val="ds-markdown-paragraph"/>
        <w:spacing w:before="120" w:beforeAutospacing="0" w:after="120" w:afterAutospacing="0"/>
        <w:jc w:val="both"/>
      </w:pPr>
      <w:r w:rsidRPr="00A11397">
        <w:t>Una persona sin ninguna condición de vulnerabilidad objetiva puede ser víctima de una vulneración constitucional que afecte valores fundamentales del ordenamiento. Pensemos, por ejemplo, en un periodista al que se le impide ejercer su derecho a la información, o en un ciudadano al que se le niega arbitrariamente el acceso a un cargo público. ¿Carecen estos casos de trascendencia por el hecho de que sus titulares no sean "vulnerables" en el sentido estricto del término? La respuesta, obviamente, es negativa.</w:t>
      </w:r>
    </w:p>
    <w:p w14:paraId="7718F1BA" w14:textId="77777777" w:rsidR="00AE19C2" w:rsidRPr="00A11397" w:rsidRDefault="00AE19C2" w:rsidP="00A11397">
      <w:pPr>
        <w:pStyle w:val="ds-markdown-paragraph"/>
        <w:spacing w:before="120" w:beforeAutospacing="0" w:after="120" w:afterAutospacing="0"/>
        <w:jc w:val="both"/>
      </w:pPr>
      <w:r w:rsidRPr="00A11397">
        <w:lastRenderedPageBreak/>
        <w:t>El riesgo, por tanto, es doble: de un lado, se excluyen del amparo a personas que, no siendo vulnerables, sufren vulneraciones constitucionales de indudable trascendencia; de otro lado, se reduce la complejidad del concepto a una sola de sus dimensiones, empobreciendo la riqueza interpretativa que el legislador quiso otorgarle.</w:t>
      </w:r>
    </w:p>
    <w:p w14:paraId="12FE5792" w14:textId="77777777" w:rsidR="00AE19C2" w:rsidRPr="00A11397" w:rsidRDefault="00AE19C2" w:rsidP="00A11397">
      <w:pPr>
        <w:pStyle w:val="ds-markdown-paragraph"/>
        <w:spacing w:before="120" w:beforeAutospacing="0" w:after="120" w:afterAutospacing="0"/>
        <w:jc w:val="both"/>
      </w:pPr>
      <w:r w:rsidRPr="00A11397">
        <w:rPr>
          <w:rStyle w:val="Textoennegrita"/>
        </w:rPr>
        <w:t>La necesidad de construir una dogmática de la trascendencia</w:t>
      </w:r>
    </w:p>
    <w:p w14:paraId="42723E33" w14:textId="10228C2A" w:rsidR="00AE19C2" w:rsidRPr="00A11397" w:rsidRDefault="00AE19C2" w:rsidP="00A11397">
      <w:pPr>
        <w:pStyle w:val="ds-markdown-paragraph"/>
        <w:spacing w:before="120" w:beforeAutospacing="0" w:after="120" w:afterAutospacing="0"/>
        <w:jc w:val="both"/>
      </w:pPr>
      <w:r w:rsidRPr="00A11397">
        <w:t>Ante este panorama, la doctrina está llamada a cumplir una función esencial: contribuir a la elaboración de criterios objetivos que permitan dotar de contenido al concepto de trascendencia jurídico social. No podemos esperar que sea la ley la que resuelva mágicamente esta indeterminación. Será la labor interpretativa de los tribunales, guiada por la reflexión académica, la que vaya perfilando los contornos del concepto.</w:t>
      </w:r>
    </w:p>
    <w:p w14:paraId="33C91347" w14:textId="77777777" w:rsidR="00AE19C2" w:rsidRPr="00A11397" w:rsidRDefault="00AE19C2" w:rsidP="00A11397">
      <w:pPr>
        <w:pStyle w:val="ds-markdown-paragraph"/>
        <w:spacing w:before="120" w:beforeAutospacing="0" w:after="120" w:afterAutospacing="0"/>
        <w:jc w:val="both"/>
      </w:pPr>
      <w:r w:rsidRPr="00A11397">
        <w:t>Guzmán Hernández propone, en este sentido, "definir criterios que coadyuven a la configuración de la trascendencia jurídico social del amparo" . Esta tarea exige, a mi juicio, atender a elementos como:</w:t>
      </w:r>
    </w:p>
    <w:p w14:paraId="43F56216" w14:textId="77777777" w:rsidR="00AE19C2" w:rsidRPr="00A11397" w:rsidRDefault="00AE19C2" w:rsidP="00A11397">
      <w:pPr>
        <w:pStyle w:val="ds-markdown-paragraph"/>
        <w:numPr>
          <w:ilvl w:val="0"/>
          <w:numId w:val="13"/>
        </w:numPr>
        <w:spacing w:before="120" w:beforeAutospacing="0" w:after="120" w:afterAutospacing="0"/>
        <w:jc w:val="both"/>
      </w:pPr>
      <w:r w:rsidRPr="00A11397">
        <w:rPr>
          <w:rStyle w:val="Textoennegrita"/>
        </w:rPr>
        <w:t>La relevancia objetiva del derecho afectado</w:t>
      </w:r>
      <w:r w:rsidRPr="00A11397">
        <w:t>: No todos los derechos constitucionales tienen la misma proyección. La afectación de derechos que inciden en la formación de la opinión pública, en el funcionamiento de las instituciones o en la igualdad de oportunidades puede tener una trascendencia que desborda el caso concreto.</w:t>
      </w:r>
    </w:p>
    <w:p w14:paraId="37C0B0EC" w14:textId="77777777" w:rsidR="00AE19C2" w:rsidRPr="00A11397" w:rsidRDefault="00AE19C2" w:rsidP="00A11397">
      <w:pPr>
        <w:pStyle w:val="ds-markdown-paragraph"/>
        <w:numPr>
          <w:ilvl w:val="0"/>
          <w:numId w:val="13"/>
        </w:numPr>
        <w:spacing w:before="120" w:beforeAutospacing="0" w:after="120" w:afterAutospacing="0"/>
        <w:jc w:val="both"/>
      </w:pPr>
      <w:r w:rsidRPr="00A11397">
        <w:rPr>
          <w:rStyle w:val="Textoennegrita"/>
        </w:rPr>
        <w:t>La existencia de una práctica administrativa o judicial contraria a la Constitución</w:t>
      </w:r>
      <w:r w:rsidRPr="00A11397">
        <w:t>: Cuando la vulneración denunciada no es un hecho aislado, sino que revela una interpretación o aplicación sistemáticamente errónea de la norma constitucional, el amparo adquiere una función correctora que trasciende el interés particular.</w:t>
      </w:r>
    </w:p>
    <w:p w14:paraId="765019C9" w14:textId="77777777" w:rsidR="00AE19C2" w:rsidRPr="00A11397" w:rsidRDefault="00AE19C2" w:rsidP="00A11397">
      <w:pPr>
        <w:pStyle w:val="ds-markdown-paragraph"/>
        <w:numPr>
          <w:ilvl w:val="0"/>
          <w:numId w:val="13"/>
        </w:numPr>
        <w:spacing w:before="120" w:beforeAutospacing="0" w:after="120" w:afterAutospacing="0"/>
        <w:jc w:val="both"/>
      </w:pPr>
      <w:r w:rsidRPr="00A11397">
        <w:rPr>
          <w:rStyle w:val="Textoennegrita"/>
        </w:rPr>
        <w:t>La novedad de la cuestión planteada</w:t>
      </w:r>
      <w:r w:rsidRPr="00A11397">
        <w:t>: Si el caso presenta una cuestión sobre la que no existe pronunciamiento previo del Tribunal Supremo, su resolución puede sentar doctrina con efectos generales.</w:t>
      </w:r>
    </w:p>
    <w:p w14:paraId="79FA1BDE" w14:textId="77777777" w:rsidR="00AE19C2" w:rsidRPr="00A11397" w:rsidRDefault="00AE19C2" w:rsidP="00A11397">
      <w:pPr>
        <w:pStyle w:val="ds-markdown-paragraph"/>
        <w:numPr>
          <w:ilvl w:val="0"/>
          <w:numId w:val="13"/>
        </w:numPr>
        <w:spacing w:before="120" w:beforeAutospacing="0" w:after="120" w:afterAutospacing="0"/>
        <w:jc w:val="both"/>
      </w:pPr>
      <w:r w:rsidRPr="00A11397">
        <w:rPr>
          <w:rStyle w:val="Textoennegrita"/>
        </w:rPr>
        <w:t>La gravedad de la lesión y la insuficiencia de otros mecanismos de protección</w:t>
      </w:r>
      <w:r w:rsidRPr="00A11397">
        <w:t>: Cuando las vías ordinarias, aun existiendo, no ofrecen una protección adecuada por su lentitud o por la naturaleza de la lesión, la trascendencia puede justificar la apertura del amparo.</w:t>
      </w:r>
    </w:p>
    <w:p w14:paraId="0B0C0A90" w14:textId="77777777" w:rsidR="00AE19C2" w:rsidRPr="00A11397" w:rsidRDefault="00AE19C2" w:rsidP="00A11397">
      <w:pPr>
        <w:pStyle w:val="ds-markdown-paragraph"/>
        <w:spacing w:before="120" w:beforeAutospacing="0" w:after="120" w:afterAutospacing="0"/>
        <w:jc w:val="both"/>
      </w:pPr>
      <w:r w:rsidRPr="00A11397">
        <w:rPr>
          <w:rStyle w:val="Textoennegrita"/>
        </w:rPr>
        <w:t>El papel de la motivación judicial</w:t>
      </w:r>
    </w:p>
    <w:p w14:paraId="67FDF3FA" w14:textId="1867DFAE" w:rsidR="00AE19C2" w:rsidRPr="00A11397" w:rsidRDefault="00AE19C2" w:rsidP="00A11397">
      <w:pPr>
        <w:pStyle w:val="ds-markdown-paragraph"/>
        <w:spacing w:before="120" w:beforeAutospacing="0" w:after="120" w:afterAutospacing="0"/>
        <w:jc w:val="both"/>
      </w:pPr>
      <w:r w:rsidRPr="00A11397">
        <w:t xml:space="preserve">Finalmente, debemos insistir en una idea central: el control de admisibilidad, y especialmente la valoración de la trascendencia, debe ser </w:t>
      </w:r>
      <w:r w:rsidRPr="00A11397">
        <w:rPr>
          <w:rStyle w:val="Textoennegrita"/>
        </w:rPr>
        <w:t>motivado</w:t>
      </w:r>
      <w:r w:rsidRPr="00A11397">
        <w:t>. No basta con afirmar; hay que razonar. El auto de inadmisión debe explicar por qué, a la luz de los criterios del artículo 5.3 y de las circunstancias del caso, la demanda no alcanza el umbral requerido. Esta motivación no es un lujo ni una concesión retórica: es una garantía esencial del derecho a la tutela judicial efectiva y un presupuesto para que el demandante pueda, en su caso, impugnar la decisión.</w:t>
      </w:r>
    </w:p>
    <w:p w14:paraId="1485AA78" w14:textId="77777777" w:rsidR="00AE19C2" w:rsidRPr="00A11397" w:rsidRDefault="00AE19C2" w:rsidP="00A11397">
      <w:pPr>
        <w:pStyle w:val="ds-markdown-paragraph"/>
        <w:spacing w:before="120" w:beforeAutospacing="0" w:after="120" w:afterAutospacing="0"/>
        <w:jc w:val="both"/>
      </w:pPr>
      <w:r w:rsidRPr="00A11397">
        <w:t>Cuando el tribunal se limita a frases hechas, está vulnerando el derecho del justiciable a conocer las razones de la decisión y está eludiendo su responsabilidad de construir, caso a caso, la dogmática de la trascendencia. Como bien señala la doctrina, "la falta de especialización de los que integran las salas de amparo" atenta directamente contra la materialización de esta garantía .</w:t>
      </w:r>
    </w:p>
    <w:p w14:paraId="66E97F9B" w14:textId="63FCE76E" w:rsidR="00AE19C2" w:rsidRPr="00A11397" w:rsidRDefault="00AE19C2" w:rsidP="00A11397">
      <w:pPr>
        <w:pStyle w:val="ds-markdown-paragraph"/>
        <w:spacing w:before="120" w:beforeAutospacing="0" w:after="120" w:afterAutospacing="0"/>
        <w:jc w:val="both"/>
      </w:pPr>
      <w:r w:rsidRPr="00A11397">
        <w:t xml:space="preserve">Por ello, cuando en el futuro ejerzas la abogacía o la judicatura, recuerda que la trascendencia jurídico social no es un comodín para inadmitir cómodamente, ni un privilegio para unos pocos. Es un concepto jurídico que exige ser llenado de contenido mediante un esfuerzo argumentativo serio y riguroso. Y es, sobre todo, la puerta de entrada a la justicia constitucional. Una puerta que no puede estar ni tan cerrada </w:t>
      </w:r>
      <w:r w:rsidRPr="00A11397">
        <w:lastRenderedPageBreak/>
        <w:t>que resulte inaccesible, ni tan abierta que desnaturalice el amparo convirtiéndolo en una vía paralela a los procesos ordinarios.</w:t>
      </w:r>
    </w:p>
    <w:p w14:paraId="23D4DABA" w14:textId="7F961C69" w:rsidR="003B22B0" w:rsidRPr="003B22B0" w:rsidRDefault="003B22B0" w:rsidP="00A11397">
      <w:pPr>
        <w:spacing w:before="120" w:after="120" w:line="240" w:lineRule="auto"/>
        <w:jc w:val="both"/>
        <w:outlineLvl w:val="1"/>
        <w:rPr>
          <w:rFonts w:ascii="Times New Roman" w:eastAsia="Times New Roman" w:hAnsi="Times New Roman" w:cs="Times New Roman"/>
          <w:b/>
          <w:bCs/>
          <w:sz w:val="24"/>
          <w:szCs w:val="24"/>
          <w:lang w:eastAsia="es-ES"/>
        </w:rPr>
      </w:pPr>
      <w:r w:rsidRPr="003B22B0">
        <w:rPr>
          <w:rFonts w:ascii="Times New Roman" w:eastAsia="Times New Roman" w:hAnsi="Times New Roman" w:cs="Times New Roman"/>
          <w:b/>
          <w:bCs/>
          <w:sz w:val="24"/>
          <w:szCs w:val="24"/>
          <w:lang w:eastAsia="es-ES"/>
        </w:rPr>
        <w:t>5. EMPLAZAMIENTO Y CONTESTACIÓN: PLAZOS REDUCIDOS, REBELDÍA Y ALLANAMIENTO</w:t>
      </w:r>
    </w:p>
    <w:p w14:paraId="37D7CF89"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Admitida la demanda, el tribunal ordena el emplazamiento del demandado para que comparezca y conteste. Este momento procesal, que en el proceso ordinario puede extenderse por veinte días o más, se comprime significativamente en el amparo, en coherencia con su carácter preferente y expedito.</w:t>
      </w:r>
    </w:p>
    <w:p w14:paraId="6D419CEC"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 xml:space="preserve">El artículo 26 de la Ley 153/2022 establece un plazo de </w:t>
      </w:r>
      <w:r w:rsidRPr="003B22B0">
        <w:rPr>
          <w:rFonts w:ascii="Times New Roman" w:eastAsia="Times New Roman" w:hAnsi="Times New Roman" w:cs="Times New Roman"/>
          <w:b/>
          <w:bCs/>
          <w:sz w:val="24"/>
          <w:szCs w:val="24"/>
          <w:lang w:eastAsia="es-ES"/>
        </w:rPr>
        <w:t>diez días</w:t>
      </w:r>
      <w:r w:rsidRPr="003B22B0">
        <w:rPr>
          <w:rFonts w:ascii="Times New Roman" w:eastAsia="Times New Roman" w:hAnsi="Times New Roman" w:cs="Times New Roman"/>
          <w:sz w:val="24"/>
          <w:szCs w:val="24"/>
          <w:lang w:eastAsia="es-ES"/>
        </w:rPr>
        <w:t xml:space="preserve"> para la contestación. Este plazo, considerablemente más breve que el previsto en otras modalidades procesales, responde a la necesidad de no dilatar innecesariamente la definición de la controversia constitucional.</w:t>
      </w:r>
    </w:p>
    <w:p w14:paraId="092E07FE"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¿Qué debe contener la contestación? El artículo 29.1 remite a la forma establecida para la demanda. Esto significa, en esencia, que el demandado deberá pronunciarse sobre cada uno de los extremos planteados por el actor, pudiendo:</w:t>
      </w:r>
    </w:p>
    <w:p w14:paraId="45F5514C" w14:textId="77777777" w:rsidR="003B22B0" w:rsidRPr="003B22B0" w:rsidRDefault="003B22B0" w:rsidP="00A11397">
      <w:pPr>
        <w:numPr>
          <w:ilvl w:val="0"/>
          <w:numId w:val="4"/>
        </w:num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Negar los hechos alegados.</w:t>
      </w:r>
    </w:p>
    <w:p w14:paraId="6F3CA906" w14:textId="77777777" w:rsidR="003B22B0" w:rsidRPr="003B22B0" w:rsidRDefault="003B22B0" w:rsidP="00A11397">
      <w:pPr>
        <w:numPr>
          <w:ilvl w:val="0"/>
          <w:numId w:val="4"/>
        </w:num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Afirmar hechos distintos o impeditivos.</w:t>
      </w:r>
    </w:p>
    <w:p w14:paraId="052D31E9" w14:textId="77777777" w:rsidR="003B22B0" w:rsidRPr="003B22B0" w:rsidRDefault="003B22B0" w:rsidP="00A11397">
      <w:pPr>
        <w:numPr>
          <w:ilvl w:val="0"/>
          <w:numId w:val="4"/>
        </w:num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Oponer excepciones procesales.</w:t>
      </w:r>
    </w:p>
    <w:p w14:paraId="31E06C52" w14:textId="77777777" w:rsidR="003B22B0" w:rsidRPr="003B22B0" w:rsidRDefault="003B22B0" w:rsidP="00A11397">
      <w:pPr>
        <w:numPr>
          <w:ilvl w:val="0"/>
          <w:numId w:val="4"/>
        </w:num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Cuestionar la procedencia del amparo por falta de trascendencia jurídico social o por existencia de otras vías judiciales idóneas.</w:t>
      </w:r>
    </w:p>
    <w:p w14:paraId="09A853DE"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La ley prevé la posibilidad de subsanar defectos en la contestación, en los mismos términos y condiciones que para la demanda (art. 29.2). Esta regla de simetría procesal garantiza la igualdad de armas entre las partes.</w:t>
      </w:r>
    </w:p>
    <w:p w14:paraId="19A62978"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 xml:space="preserve">Un aspecto de particular relevancia práctica es el tratamiento de la </w:t>
      </w:r>
      <w:r w:rsidRPr="003B22B0">
        <w:rPr>
          <w:rFonts w:ascii="Times New Roman" w:eastAsia="Times New Roman" w:hAnsi="Times New Roman" w:cs="Times New Roman"/>
          <w:b/>
          <w:bCs/>
          <w:sz w:val="24"/>
          <w:szCs w:val="24"/>
          <w:lang w:eastAsia="es-ES"/>
        </w:rPr>
        <w:t>rebeldía</w:t>
      </w:r>
      <w:r w:rsidRPr="003B22B0">
        <w:rPr>
          <w:rFonts w:ascii="Times New Roman" w:eastAsia="Times New Roman" w:hAnsi="Times New Roman" w:cs="Times New Roman"/>
          <w:sz w:val="24"/>
          <w:szCs w:val="24"/>
          <w:lang w:eastAsia="es-ES"/>
        </w:rPr>
        <w:t>. El artículo 27 establece: "Vencido el plazo sin que el demandado haya comparecido, se tiene por contestada la demanda en su perjuicio y continúa el proceso en rebeldía". Esta disposición merece un análisis detenido.</w:t>
      </w:r>
    </w:p>
    <w:p w14:paraId="16918E74"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La expresión "se tiene por contestada la demanda en su perjuicio" no significa, como a veces se interpreta erróneamente, que los hechos alegados por el actor deban tenerse automáticamente por ciertos. Lo que implica es que el demandado pierde la oportunidad procesal de alegar y probar en su defensa, pero el tribunal deberá valorar la pretensión actora a la luz de las pruebas practicadas y de los elementos obrantes en autos. En otras palabras, la rebeldía no exime al actor de probar los hechos en que funda su pretensión, aunque facilita su labor al eliminar la contradicción.</w:t>
      </w:r>
    </w:p>
    <w:p w14:paraId="6912B1E8"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 xml:space="preserve">El artículo 28 contempla otra posibilidad: el </w:t>
      </w:r>
      <w:r w:rsidRPr="003B22B0">
        <w:rPr>
          <w:rFonts w:ascii="Times New Roman" w:eastAsia="Times New Roman" w:hAnsi="Times New Roman" w:cs="Times New Roman"/>
          <w:b/>
          <w:bCs/>
          <w:sz w:val="24"/>
          <w:szCs w:val="24"/>
          <w:lang w:eastAsia="es-ES"/>
        </w:rPr>
        <w:t>allanamiento</w:t>
      </w:r>
      <w:r w:rsidRPr="003B22B0">
        <w:rPr>
          <w:rFonts w:ascii="Times New Roman" w:eastAsia="Times New Roman" w:hAnsi="Times New Roman" w:cs="Times New Roman"/>
          <w:sz w:val="24"/>
          <w:szCs w:val="24"/>
          <w:lang w:eastAsia="es-ES"/>
        </w:rPr>
        <w:t>. Si el demandado se allana, el tribunal puede dictar sentencia sin más trámites. El allanamiento constituye un acto de disposición procesal mediante el cual el demandado acepta la pretensión formulada en su contra, allanando el camino para una pronta resolución del conflicto.</w:t>
      </w:r>
    </w:p>
    <w:p w14:paraId="0D401336"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Ahora bien, ¿puede el tribunal rechazar el allanamiento? La respuesta es afirmativa en determinados supuestos. Cuando el objeto del proceso afecte a derechos indisponibles o cuando el allanamiento encubra un fraude procesal o un acuerdo lesivo para terceros, el tribunal debe continuar con la tramitación del proceso hasta dictar sentencia. Esta matización, aunque no expresamente prevista en la Ley 153/2022, se deriva de los principios generales del proceso y del control que corresponde al tribunal sobre la regularidad de las actuaciones.</w:t>
      </w:r>
    </w:p>
    <w:p w14:paraId="6E2DB0BE"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lastRenderedPageBreak/>
        <w:t>Quisiera detenerme un momento en un aspecto que suele generar dudas en la práctica: ¿qué ocurre si el demandado es un órgano del Estado? El emplazamiento se practicará en la forma establecida en el Código de Procesos, con la particularidad de que deberá entenderse con el representante legal del órgano u organismo correspondiente. La comparecencia, en estos casos, se realizará a través de los servicios jurídicos de la entidad o de la Fiscalía, cuando esta asuma la representación de la administración general del Estado conforme al artículo 65 del Código de Procesos.</w:t>
      </w:r>
    </w:p>
    <w:p w14:paraId="69E256B7"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La doctrina ha destacado la importancia de garantizar que el emplazamiento sea efectivo y permita al demandado conocer con precisión los términos de la pretensión . Un emplazamiento defectuoso puede viciar de nulidad todo lo actuado y provocar la retroacción del procedimiento, con la consiguiente dilación en la tutela del derecho constitucional. Por ello, el tribunal debe ser especialmente cuidadoso en la realización de este acto de comunicación procesal.</w:t>
      </w:r>
    </w:p>
    <w:p w14:paraId="13DCAA89" w14:textId="77777777" w:rsidR="00EF093A" w:rsidRPr="00EF093A" w:rsidRDefault="00EF093A" w:rsidP="00A11397">
      <w:pPr>
        <w:spacing w:before="120" w:after="120" w:line="240" w:lineRule="auto"/>
        <w:jc w:val="both"/>
        <w:rPr>
          <w:rFonts w:ascii="Times New Roman" w:eastAsia="Times New Roman" w:hAnsi="Times New Roman" w:cs="Times New Roman"/>
          <w:sz w:val="24"/>
          <w:szCs w:val="24"/>
          <w:lang w:eastAsia="es-ES"/>
        </w:rPr>
      </w:pPr>
      <w:r w:rsidRPr="00EF093A">
        <w:rPr>
          <w:rFonts w:ascii="Times New Roman" w:eastAsia="Times New Roman" w:hAnsi="Times New Roman" w:cs="Times New Roman"/>
          <w:b/>
          <w:bCs/>
          <w:sz w:val="24"/>
          <w:szCs w:val="24"/>
          <w:lang w:eastAsia="es-ES"/>
        </w:rPr>
        <w:t>6. LA AUDIENCIA: CONCENTRACIÓN, ORALIDAD Y FINES DEL ACTO PROCESAL</w:t>
      </w:r>
    </w:p>
    <w:p w14:paraId="138711DB" w14:textId="78476344" w:rsidR="00EF093A" w:rsidRPr="00EF093A" w:rsidRDefault="00EF093A" w:rsidP="00A11397">
      <w:pPr>
        <w:spacing w:before="120" w:after="120" w:line="240" w:lineRule="auto"/>
        <w:jc w:val="both"/>
        <w:rPr>
          <w:rFonts w:ascii="Times New Roman" w:eastAsia="Times New Roman" w:hAnsi="Times New Roman" w:cs="Times New Roman"/>
          <w:sz w:val="24"/>
          <w:szCs w:val="24"/>
          <w:lang w:eastAsia="es-ES"/>
        </w:rPr>
      </w:pPr>
      <w:r w:rsidRPr="00EF093A">
        <w:rPr>
          <w:rFonts w:ascii="Times New Roman" w:eastAsia="Times New Roman" w:hAnsi="Times New Roman" w:cs="Times New Roman"/>
          <w:sz w:val="24"/>
          <w:szCs w:val="24"/>
          <w:lang w:eastAsia="es-ES"/>
        </w:rPr>
        <w:t>si hay un momento procesal donde el amparo constitucional muestra su verdadera naturaleza, ese es sin duda la audiencia. Hasta ahora hemos recorrido un camino de preparación: las diligencias preliminares para asegurar la prueba o identificar al demandado, las medidas cautelares para evitar que el tiempo juegue en contra del derecho, la demanda que fija la pretensión y la contestación que define la controversia. Pues bien, todos esos actos confluyen y encuentran su sentido en la audiencia. Ella constituye el acto central del proceso de amparo, el espacio donde se materializan los principios de oralidad, inmediación, concentración y publicidad, y donde el tribunal entra en contacto directo con las partes, sus alegaciones y las pruebas.</w:t>
      </w:r>
    </w:p>
    <w:p w14:paraId="3FC4A7FF" w14:textId="77777777" w:rsidR="00EF093A" w:rsidRPr="00EF093A" w:rsidRDefault="00EF093A" w:rsidP="00A11397">
      <w:pPr>
        <w:spacing w:before="120" w:after="120" w:line="240" w:lineRule="auto"/>
        <w:jc w:val="both"/>
        <w:rPr>
          <w:rFonts w:ascii="Times New Roman" w:eastAsia="Times New Roman" w:hAnsi="Times New Roman" w:cs="Times New Roman"/>
          <w:sz w:val="24"/>
          <w:szCs w:val="24"/>
          <w:lang w:eastAsia="es-ES"/>
        </w:rPr>
      </w:pPr>
      <w:r w:rsidRPr="00EF093A">
        <w:rPr>
          <w:rFonts w:ascii="Times New Roman" w:eastAsia="Times New Roman" w:hAnsi="Times New Roman" w:cs="Times New Roman"/>
          <w:sz w:val="24"/>
          <w:szCs w:val="24"/>
          <w:lang w:eastAsia="es-ES"/>
        </w:rPr>
        <w:t>La Ley 153/2022 ha optado por un diseño procesal marcadamente concentrado. Su artículo 30 establece que el proceso se concentrará, "en lo posible, en una sola audiencia, que se señala en un plazo que no exceda de diez días posteriores a la contestación de la demanda". Observa la contundencia de esta disposición: diez días. El legislador no ha querido que el tiempo se diluya entre trámites intermedios. Desde la contestación, el tribunal debe inmediatamente fijar la fecha de la audiencia, y esta debe celebrarse en un brevísimo plazo. Esta celeridad no es casual: responde al mandato constitucional de que el amparo sea un proceso preferente y expedito. La justicia constitucional no puede permitirse los tiempos pausados de otros órdenes jurisdiccionales, porque lo que está en juego es la vigencia inmediata de los derechos fundamentales.</w:t>
      </w:r>
    </w:p>
    <w:p w14:paraId="766DA645" w14:textId="65B80EA7" w:rsidR="00EF093A" w:rsidRPr="00EF093A" w:rsidRDefault="00EF093A" w:rsidP="00A11397">
      <w:pPr>
        <w:spacing w:before="120" w:after="120" w:line="240" w:lineRule="auto"/>
        <w:jc w:val="both"/>
        <w:rPr>
          <w:rFonts w:ascii="Times New Roman" w:eastAsia="Times New Roman" w:hAnsi="Times New Roman" w:cs="Times New Roman"/>
          <w:sz w:val="24"/>
          <w:szCs w:val="24"/>
          <w:lang w:eastAsia="es-ES"/>
        </w:rPr>
      </w:pPr>
      <w:r w:rsidRPr="00EF093A">
        <w:rPr>
          <w:rFonts w:ascii="Times New Roman" w:eastAsia="Times New Roman" w:hAnsi="Times New Roman" w:cs="Times New Roman"/>
          <w:sz w:val="24"/>
          <w:szCs w:val="24"/>
          <w:lang w:eastAsia="es-ES"/>
        </w:rPr>
        <w:t>Ahora bien, detengámonos en un aspecto que seguramente te ha llamado la atención. El artículo 30.2 dispone que las partes concurren a la audiencia "con las pruebas propuestas, aun cuando el tribunal no se haya pronunciado previamente sobre su admisión". Esta regulación, rompe con la lógica tradicional de muchos procesos, donde la admisión de pruebas es un trámite previo y separado de su práctica. ¿Por qué el legislador ha optado por esta solución? La respuesta es sencilla: para ganar tiempo. Si el tribunal tuviera que pronunciarse sobre la admisión de las pruebas antes de la audiencia, eso supondría un trámite intermedio, una resolución notificable y, posiblemente, recursos contra ella. Todo ello dilataría el proceso. En cambio, al concentrar en la propia audiencia tanto la decisión sobre admisión como la práctica de las pruebas, se eliminan tiempos muertos y se avanza con una celeridad muy superior.</w:t>
      </w:r>
    </w:p>
    <w:p w14:paraId="67908D97" w14:textId="77777777" w:rsidR="00EF093A" w:rsidRPr="00EF093A" w:rsidRDefault="00EF093A" w:rsidP="00A11397">
      <w:pPr>
        <w:spacing w:before="120" w:after="120" w:line="240" w:lineRule="auto"/>
        <w:jc w:val="both"/>
        <w:rPr>
          <w:rFonts w:ascii="Times New Roman" w:eastAsia="Times New Roman" w:hAnsi="Times New Roman" w:cs="Times New Roman"/>
          <w:sz w:val="24"/>
          <w:szCs w:val="24"/>
          <w:lang w:eastAsia="es-ES"/>
        </w:rPr>
      </w:pPr>
      <w:r w:rsidRPr="00EF093A">
        <w:rPr>
          <w:rFonts w:ascii="Times New Roman" w:eastAsia="Times New Roman" w:hAnsi="Times New Roman" w:cs="Times New Roman"/>
          <w:sz w:val="24"/>
          <w:szCs w:val="24"/>
          <w:lang w:eastAsia="es-ES"/>
        </w:rPr>
        <w:t>Pero esta concentración no sacrifica las garantías. Fíjate bien: el tribunal se pronunciará sobre la admisión en la propia audiencia, y las partes podrán en ese mismo acto formular sus objeciones y recursos. La inmediación, además, permite que el juez pueda apreciar directamente la pertinencia y utilidad de cada prueba en el contexto del debate que está presenciando. Es una solución inteligente que equilibra celeridad y garantías.</w:t>
      </w:r>
    </w:p>
    <w:p w14:paraId="2F94C2AE" w14:textId="77777777" w:rsidR="00EF093A" w:rsidRPr="00EF093A" w:rsidRDefault="00EF093A" w:rsidP="00A11397">
      <w:pPr>
        <w:spacing w:before="120" w:after="120" w:line="240" w:lineRule="auto"/>
        <w:jc w:val="both"/>
        <w:rPr>
          <w:rFonts w:ascii="Times New Roman" w:eastAsia="Times New Roman" w:hAnsi="Times New Roman" w:cs="Times New Roman"/>
          <w:sz w:val="24"/>
          <w:szCs w:val="24"/>
          <w:lang w:eastAsia="es-ES"/>
        </w:rPr>
      </w:pPr>
      <w:r w:rsidRPr="00EF093A">
        <w:rPr>
          <w:rFonts w:ascii="Times New Roman" w:eastAsia="Times New Roman" w:hAnsi="Times New Roman" w:cs="Times New Roman"/>
          <w:sz w:val="24"/>
          <w:szCs w:val="24"/>
          <w:lang w:eastAsia="es-ES"/>
        </w:rPr>
        <w:lastRenderedPageBreak/>
        <w:t>El artículo 32 de la Ley 153/2022 enumera las finalidades de la audiencia. Para comprenderlas mejor, te propongo sistematizarlas en tres grandes bloques, cada uno con una función específica dentro del proceso.</w:t>
      </w:r>
    </w:p>
    <w:p w14:paraId="78FD6B78" w14:textId="61170CAF" w:rsidR="00EF093A" w:rsidRPr="00EF093A" w:rsidRDefault="00EF093A" w:rsidP="00A11397">
      <w:pPr>
        <w:spacing w:before="120" w:after="120" w:line="240" w:lineRule="auto"/>
        <w:jc w:val="both"/>
        <w:rPr>
          <w:rFonts w:ascii="Times New Roman" w:eastAsia="Times New Roman" w:hAnsi="Times New Roman" w:cs="Times New Roman"/>
          <w:sz w:val="24"/>
          <w:szCs w:val="24"/>
          <w:lang w:eastAsia="es-ES"/>
        </w:rPr>
      </w:pPr>
      <w:r w:rsidRPr="00EF093A">
        <w:rPr>
          <w:rFonts w:ascii="Times New Roman" w:eastAsia="Times New Roman" w:hAnsi="Times New Roman" w:cs="Times New Roman"/>
          <w:b/>
          <w:bCs/>
          <w:sz w:val="24"/>
          <w:szCs w:val="24"/>
          <w:lang w:eastAsia="es-ES"/>
        </w:rPr>
        <w:t>Primer bloque: funciones de ordenación y saneamiento.</w:t>
      </w:r>
      <w:r w:rsidRPr="00EF093A">
        <w:rPr>
          <w:rFonts w:ascii="Times New Roman" w:eastAsia="Times New Roman" w:hAnsi="Times New Roman" w:cs="Times New Roman"/>
          <w:sz w:val="24"/>
          <w:szCs w:val="24"/>
          <w:lang w:eastAsia="es-ES"/>
        </w:rPr>
        <w:t xml:space="preserve"> La audiencia comienza con una fase destinada a asegurar que el proceso esté en condiciones de abordar el fondo de la controversia. En primer lugar, el tribunal escucha a las partes sobre las alegaciones previamente formuladas, permitiendo aclarar aquellos extremos que pudieran resultar imprecisos u oscuros (inciso a). Esta aclaración inicial evita malentendidos y focaliza el debate. A continuación, se procede a concretar los hechos, la pretensión o la defensa, si las partes los modifican, siempre que la variación no tenga carácter sustancial (inciso b). Esta posibilidad, responde al principio de elasticidad del proceso: las partes pueden ajustar sus posiciones a la luz de los acontecimientos, pero sin alterar el núcleo esencial de la controversia. Finalmente, el tribunal resuelve las excepciones procesales y cualquier otra cuestión que impida entrar al fondo del asunto (inciso c). Se trata de un auténtico filtro de saneamiento: si existe algún obstáculo formal que impida un pronunciamiento sobre el fondo (falta de legitimación, cosa juzgada, incompetencia, etc.), es en este momento cuando debe ser resuelto. De esta manera, se evita llegar a la fase probatoria y decisoria para luego descubrir que el proceso es inviable.</w:t>
      </w:r>
    </w:p>
    <w:p w14:paraId="2D10C7C4" w14:textId="77777777" w:rsidR="00EF093A" w:rsidRPr="00EF093A" w:rsidRDefault="00EF093A" w:rsidP="00A11397">
      <w:pPr>
        <w:spacing w:before="120" w:after="120" w:line="240" w:lineRule="auto"/>
        <w:jc w:val="both"/>
        <w:rPr>
          <w:rFonts w:ascii="Times New Roman" w:eastAsia="Times New Roman" w:hAnsi="Times New Roman" w:cs="Times New Roman"/>
          <w:sz w:val="24"/>
          <w:szCs w:val="24"/>
          <w:lang w:eastAsia="es-ES"/>
        </w:rPr>
      </w:pPr>
      <w:r w:rsidRPr="00EF093A">
        <w:rPr>
          <w:rFonts w:ascii="Times New Roman" w:eastAsia="Times New Roman" w:hAnsi="Times New Roman" w:cs="Times New Roman"/>
          <w:b/>
          <w:bCs/>
          <w:sz w:val="24"/>
          <w:szCs w:val="24"/>
          <w:lang w:eastAsia="es-ES"/>
        </w:rPr>
        <w:t>Segundo bloque: función conciliadora.</w:t>
      </w:r>
      <w:r w:rsidRPr="00EF093A">
        <w:rPr>
          <w:rFonts w:ascii="Times New Roman" w:eastAsia="Times New Roman" w:hAnsi="Times New Roman" w:cs="Times New Roman"/>
          <w:sz w:val="24"/>
          <w:szCs w:val="24"/>
          <w:lang w:eastAsia="es-ES"/>
        </w:rPr>
        <w:t xml:space="preserve"> El inciso d) del artículo 32 establece que el tribunal debe "propiciar una posible conciliación respecto de todos o algunos de los puntos controvertidos, siempre que la naturaleza de las pretensiones formuladas tenga carácter disponible". Aquí debemos hacer una precisión importante: en el amparo, no todos los derechos son disponibles. Si está en juego un derecho fundamental de carácter indisponible (por ejemplo, el derecho a la vida, a la integridad física, a la libertad), la conciliación no será posible. Pero existen otros derechos, especialmente los de contenido patrimonial o prestacional, que sí pueden ser objeto de acuerdo. Cuando la conciliación es posible, constituye la forma más rápida y satisfactoria de poner fin al conflicto, pues emana de la voluntad de las propias partes y evita la prolongación del proceso.</w:t>
      </w:r>
    </w:p>
    <w:p w14:paraId="77CC76B4" w14:textId="77777777" w:rsidR="00EF093A" w:rsidRPr="00EF093A" w:rsidRDefault="00EF093A" w:rsidP="00A11397">
      <w:pPr>
        <w:spacing w:before="120" w:after="120" w:line="240" w:lineRule="auto"/>
        <w:jc w:val="both"/>
        <w:rPr>
          <w:rFonts w:ascii="Times New Roman" w:eastAsia="Times New Roman" w:hAnsi="Times New Roman" w:cs="Times New Roman"/>
          <w:sz w:val="24"/>
          <w:szCs w:val="24"/>
          <w:lang w:eastAsia="es-ES"/>
        </w:rPr>
      </w:pPr>
      <w:r w:rsidRPr="00EF093A">
        <w:rPr>
          <w:rFonts w:ascii="Times New Roman" w:eastAsia="Times New Roman" w:hAnsi="Times New Roman" w:cs="Times New Roman"/>
          <w:b/>
          <w:bCs/>
          <w:sz w:val="24"/>
          <w:szCs w:val="24"/>
          <w:lang w:eastAsia="es-ES"/>
        </w:rPr>
        <w:t>Tercer bloque: funciones de instrucción y decisión.</w:t>
      </w:r>
      <w:r w:rsidRPr="00EF093A">
        <w:rPr>
          <w:rFonts w:ascii="Times New Roman" w:eastAsia="Times New Roman" w:hAnsi="Times New Roman" w:cs="Times New Roman"/>
          <w:sz w:val="24"/>
          <w:szCs w:val="24"/>
          <w:lang w:eastAsia="es-ES"/>
        </w:rPr>
        <w:t xml:space="preserve"> Este es el núcleo duro de la audiencia. Una vez superadas las fases anteriores, el tribunal procede a fijar los términos del objeto del proceso y del debate (inciso e). Esta delimitación resulta esencial para garantizar la congruencia de la futura sentencia: lo que no haya sido fijado como objeto del debate no podrá ser luego decidido. A continuación, el tribunal se pronuncia sobre la admisión y denegación de los medios de prueba propuestos, y sobre el orden para su práctica (inciso f). Acto seguido, se practican las pruebas (inciso g). Finalmente, se escuchan los alegatos orales conclusivos de las partes y se declara el proceso concluso para dictar sentencia (inciso h).</w:t>
      </w:r>
    </w:p>
    <w:p w14:paraId="79F2C2AF" w14:textId="4C4E849E" w:rsidR="00EF093A" w:rsidRPr="00EF093A" w:rsidRDefault="00EF093A" w:rsidP="00A11397">
      <w:pPr>
        <w:spacing w:before="120" w:after="120" w:line="240" w:lineRule="auto"/>
        <w:jc w:val="both"/>
        <w:rPr>
          <w:rFonts w:ascii="Times New Roman" w:eastAsia="Times New Roman" w:hAnsi="Times New Roman" w:cs="Times New Roman"/>
          <w:sz w:val="24"/>
          <w:szCs w:val="24"/>
          <w:lang w:eastAsia="es-ES"/>
        </w:rPr>
      </w:pPr>
      <w:r w:rsidRPr="00EF093A">
        <w:rPr>
          <w:rFonts w:ascii="Times New Roman" w:eastAsia="Times New Roman" w:hAnsi="Times New Roman" w:cs="Times New Roman"/>
          <w:sz w:val="24"/>
          <w:szCs w:val="24"/>
          <w:lang w:eastAsia="es-ES"/>
        </w:rPr>
        <w:t>Observa, cómo en un solo acto se concentran funciones que en otros procesos se distribuyen en múltiples comparecencias. Esta concentración no es una mera opción técnica: es una exigencia del carácter preferente del amparo. La justicia constitucional no puede permitirse el lujo de la dispersión.</w:t>
      </w:r>
    </w:p>
    <w:p w14:paraId="7123B7F8" w14:textId="77777777" w:rsidR="00EF093A" w:rsidRPr="00EF093A" w:rsidRDefault="00EF093A" w:rsidP="00A11397">
      <w:pPr>
        <w:spacing w:before="120" w:after="120" w:line="240" w:lineRule="auto"/>
        <w:jc w:val="both"/>
        <w:rPr>
          <w:rFonts w:ascii="Times New Roman" w:eastAsia="Times New Roman" w:hAnsi="Times New Roman" w:cs="Times New Roman"/>
          <w:sz w:val="24"/>
          <w:szCs w:val="24"/>
          <w:lang w:eastAsia="es-ES"/>
        </w:rPr>
      </w:pPr>
      <w:r w:rsidRPr="00EF093A">
        <w:rPr>
          <w:rFonts w:ascii="Times New Roman" w:eastAsia="Times New Roman" w:hAnsi="Times New Roman" w:cs="Times New Roman"/>
          <w:sz w:val="24"/>
          <w:szCs w:val="24"/>
          <w:lang w:eastAsia="es-ES"/>
        </w:rPr>
        <w:t>El artículo 31 establece la obligatoriedad de la presencia de las partes asistidas por sus representantes procesales. Esta exigencia tiene pleno sentido: si la audiencia es el acto central, la presencia de las partes es indispensable para que la inmediación cumpla su función. Ahora bien, ¿qué ocurre si una de las partes no comparece injustificadamente? La ley no lo precisa expresamente, pero debemos acudir supletoriamente al Código de Procesos. Su artículo 536 establece que la incomparecencia injustificada de cualquiera de las partes conlleva que se continúe el proceso en su perjuicio. Además, si el tribunal considera indispensable su presencia, puede suspender el acto y disponer un nuevo señalamiento. En el caso de los representantes procesales, su incomparecencia puede dar lugar a la imposición de multas y a la comunicación a su superior jerárquico.</w:t>
      </w:r>
    </w:p>
    <w:p w14:paraId="0255A3CD" w14:textId="7B428294" w:rsidR="00EF093A" w:rsidRPr="00EF093A" w:rsidRDefault="00EF093A" w:rsidP="00A11397">
      <w:pPr>
        <w:spacing w:before="120" w:after="120" w:line="240" w:lineRule="auto"/>
        <w:jc w:val="both"/>
        <w:rPr>
          <w:rFonts w:ascii="Times New Roman" w:eastAsia="Times New Roman" w:hAnsi="Times New Roman" w:cs="Times New Roman"/>
          <w:sz w:val="24"/>
          <w:szCs w:val="24"/>
          <w:lang w:eastAsia="es-ES"/>
        </w:rPr>
      </w:pPr>
      <w:r w:rsidRPr="00EF093A">
        <w:rPr>
          <w:rFonts w:ascii="Times New Roman" w:eastAsia="Times New Roman" w:hAnsi="Times New Roman" w:cs="Times New Roman"/>
          <w:sz w:val="24"/>
          <w:szCs w:val="24"/>
          <w:lang w:eastAsia="es-ES"/>
        </w:rPr>
        <w:lastRenderedPageBreak/>
        <w:t>Un aspecto de particular relevancia práctica es la posibilidad de que la audiencia no pueda concluir en un solo acto. El artículo 30.3 prevé esta eventualidad: "Cuando no resulte posible agotar la práctica de las pruebas en un solo acto, esta se culmina en un plazo general que no exceda de diez días, prorrogable por cinco más, por causas justificadas, a cuyo efecto se señala audiencia". Esta flexibilidad, permite adaptar el proceso a la complejidad del caso sin desnaturalizar el principio de concentración. Si la prueba es particularmente compleja (por ejemplo, una pericial que requiere varios informes, o múltiples testigos con agendas complicadas), el proceso puede extenderse ligeramente, pero siempre dentro de plazos muy reducidos.</w:t>
      </w:r>
    </w:p>
    <w:p w14:paraId="2A79A8F2" w14:textId="77777777" w:rsidR="00EF093A" w:rsidRPr="00EF093A" w:rsidRDefault="00EF093A" w:rsidP="00A11397">
      <w:pPr>
        <w:spacing w:before="120" w:after="120" w:line="240" w:lineRule="auto"/>
        <w:jc w:val="both"/>
        <w:rPr>
          <w:rFonts w:ascii="Times New Roman" w:eastAsia="Times New Roman" w:hAnsi="Times New Roman" w:cs="Times New Roman"/>
          <w:sz w:val="24"/>
          <w:szCs w:val="24"/>
          <w:lang w:eastAsia="es-ES"/>
        </w:rPr>
      </w:pPr>
      <w:r w:rsidRPr="00EF093A">
        <w:rPr>
          <w:rFonts w:ascii="Times New Roman" w:eastAsia="Times New Roman" w:hAnsi="Times New Roman" w:cs="Times New Roman"/>
          <w:sz w:val="24"/>
          <w:szCs w:val="24"/>
          <w:lang w:eastAsia="es-ES"/>
        </w:rPr>
        <w:t>La audiencia en el proceso de amparo no es, como podrías pensar inicialmente, un mero trámite formal. Es el espacio donde se construye dialécticamente la verdad procesal, donde las partes confrontan sus respectivas posiciones y donde el tribunal, en ejercicio de la inmediación, forma su convicción sobre los hechos. La oralidad, en este contexto, no es solo una técnica, sino una garantía. Permite que el juez perciba directamente las reacciones de las partes, formule preguntas aclaratorias, observe el comportamiento de los testigos y valore la prueba en toda su complejidad. Como bien señalaba el maestro italiano Piero Calamandrei, la oralidad permite que "la justicia sea administrada no sobre la base de fríos expedientes escritos, sino a través del contacto vivo y directo con los protagonistas del conflicto".</w:t>
      </w:r>
    </w:p>
    <w:p w14:paraId="18530B9C" w14:textId="77777777" w:rsidR="00EF093A" w:rsidRPr="00EF093A" w:rsidRDefault="00EF093A" w:rsidP="00A11397">
      <w:pPr>
        <w:spacing w:before="120" w:after="120" w:line="240" w:lineRule="auto"/>
        <w:jc w:val="both"/>
        <w:rPr>
          <w:rFonts w:ascii="Times New Roman" w:eastAsia="Times New Roman" w:hAnsi="Times New Roman" w:cs="Times New Roman"/>
          <w:sz w:val="24"/>
          <w:szCs w:val="24"/>
          <w:lang w:eastAsia="es-ES"/>
        </w:rPr>
      </w:pPr>
      <w:r w:rsidRPr="00EF093A">
        <w:rPr>
          <w:rFonts w:ascii="Times New Roman" w:eastAsia="Times New Roman" w:hAnsi="Times New Roman" w:cs="Times New Roman"/>
          <w:sz w:val="24"/>
          <w:szCs w:val="24"/>
          <w:lang w:eastAsia="es-ES"/>
        </w:rPr>
        <w:t>La doctrina de Michele Taruffo sobre la valoración de la prueba resulta especialmente pertinente aquí. Para el procesalista italiano, la decisión judicial no puede fundarse en una mera intuición o corazonada, sino que debe ser el resultado de un proceso racional de valoración de las pruebas practicadas. Pues bien, la audiencia es el escenario donde se sientan las bases para esa valoración racional. Es allí donde el juez ve y oye a los testigos, donde interroga a los peritos, donde las partes despliegan sus estrategias probatorias. La convicción judicial no se forma en la soledad del despacho, leyendo papeles, sino en el fragor del debate contradictorio.</w:t>
      </w:r>
    </w:p>
    <w:p w14:paraId="44F112EC" w14:textId="41985829" w:rsidR="00EF093A" w:rsidRPr="00EF093A" w:rsidRDefault="00EF093A" w:rsidP="00A11397">
      <w:pPr>
        <w:spacing w:before="120" w:after="120" w:line="240" w:lineRule="auto"/>
        <w:jc w:val="both"/>
        <w:rPr>
          <w:rFonts w:ascii="Times New Roman" w:eastAsia="Times New Roman" w:hAnsi="Times New Roman" w:cs="Times New Roman"/>
          <w:sz w:val="24"/>
          <w:szCs w:val="24"/>
          <w:lang w:eastAsia="es-ES"/>
        </w:rPr>
      </w:pPr>
      <w:r w:rsidRPr="00EF093A">
        <w:rPr>
          <w:rFonts w:ascii="Times New Roman" w:eastAsia="Times New Roman" w:hAnsi="Times New Roman" w:cs="Times New Roman"/>
          <w:sz w:val="24"/>
          <w:szCs w:val="24"/>
          <w:lang w:eastAsia="es-ES"/>
        </w:rPr>
        <w:t>En suma, la audiencia en el proceso de amparo es el crisol donde se funden todos los elementos del proceso. Es ordenación, es saneamiento, es conciliación, es prueba y es alegato. Es, en definitiva, la expresión más acabada de la justicia constitucional en acción. Por eso, su correcta preparación y desarrollo son esenciales para el éxito del amparo. Una audiencia bien conducida puede resolver en pocas horas lo que de otra manera requeriría meses de trámites. Y eso, tratándose de derechos fundamentales, es sencillamente imprescindible</w:t>
      </w:r>
    </w:p>
    <w:p w14:paraId="3FDB4AD2" w14:textId="77777777" w:rsidR="003B22B0" w:rsidRPr="003B22B0" w:rsidRDefault="003B22B0" w:rsidP="00A11397">
      <w:pPr>
        <w:spacing w:before="120" w:after="120" w:line="240" w:lineRule="auto"/>
        <w:jc w:val="both"/>
        <w:outlineLvl w:val="1"/>
        <w:rPr>
          <w:rFonts w:ascii="Times New Roman" w:eastAsia="Times New Roman" w:hAnsi="Times New Roman" w:cs="Times New Roman"/>
          <w:b/>
          <w:bCs/>
          <w:sz w:val="24"/>
          <w:szCs w:val="24"/>
          <w:lang w:eastAsia="es-ES"/>
        </w:rPr>
      </w:pPr>
      <w:r w:rsidRPr="003B22B0">
        <w:rPr>
          <w:rFonts w:ascii="Times New Roman" w:eastAsia="Times New Roman" w:hAnsi="Times New Roman" w:cs="Times New Roman"/>
          <w:b/>
          <w:bCs/>
          <w:sz w:val="24"/>
          <w:szCs w:val="24"/>
          <w:lang w:eastAsia="es-ES"/>
        </w:rPr>
        <w:t>7. LA PRUEBA EN EL AMPARO: CARGA, MEDIOS, ADMISIÓN Y PARTICULARIDADES</w:t>
      </w:r>
    </w:p>
    <w:p w14:paraId="5AD2383F"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Llegamos al último de los temas de esta lección, y probablemente uno de los más complejos: la prueba en el proceso de amparo. La prueba constituye la actividad procesal esencial dirigida a formar la convicción del juzgador sobre la veracidad de los hechos afirmados por las partes. En palabras de Michele Taruffo, la prueba es el instrumento que permite alcanzar la "verdad" procesal, entendida no como una verdad absoluta o metafísica, sino como una verdad correspondiente a los hechos que efectivamente ocurrieron .</w:t>
      </w:r>
    </w:p>
    <w:p w14:paraId="4DC4C08C"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El artículo 94.c de la Constitución consagra el derecho fundamental de toda persona a "aportar los medios de prueba pertinentes y solicitar la exclusión de aquellos que hayan sido obtenidos violando lo establecido". Este mandato constitucional informa toda la regulación probatoria del proceso de amparo.</w:t>
      </w:r>
    </w:p>
    <w:p w14:paraId="101B97C6"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La Ley 153/2022 no contiene una regulación detallada de la prueba, por lo que debemos acudir, con carácter supletorio, al Código de Procesos (art. 4). Esta remisión debe hacerse, sin embargo, con las adaptaciones necesarias derivadas de la naturaleza especial del amparo.</w:t>
      </w:r>
    </w:p>
    <w:p w14:paraId="0D9A4366" w14:textId="77777777" w:rsidR="003B22B0" w:rsidRPr="003B22B0" w:rsidRDefault="003B22B0" w:rsidP="00A11397">
      <w:pPr>
        <w:spacing w:before="120" w:after="120" w:line="240" w:lineRule="auto"/>
        <w:jc w:val="both"/>
        <w:outlineLvl w:val="2"/>
        <w:rPr>
          <w:rFonts w:ascii="Times New Roman" w:eastAsia="Times New Roman" w:hAnsi="Times New Roman" w:cs="Times New Roman"/>
          <w:b/>
          <w:bCs/>
          <w:sz w:val="24"/>
          <w:szCs w:val="24"/>
          <w:lang w:eastAsia="es-ES"/>
        </w:rPr>
      </w:pPr>
      <w:r w:rsidRPr="003B22B0">
        <w:rPr>
          <w:rFonts w:ascii="Times New Roman" w:eastAsia="Times New Roman" w:hAnsi="Times New Roman" w:cs="Times New Roman"/>
          <w:b/>
          <w:bCs/>
          <w:sz w:val="24"/>
          <w:szCs w:val="24"/>
          <w:lang w:eastAsia="es-ES"/>
        </w:rPr>
        <w:t>7.1. Carga de la prueba</w:t>
      </w:r>
    </w:p>
    <w:p w14:paraId="721869EE"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lastRenderedPageBreak/>
        <w:t>El artículo 290 del Código de Procesos establece la regla general: "A cada parte incumbe probar los hechos que afirme y los que oponga a los alegados por las otras". Esta regla, conocida como onus probandi incumbit actori, atribuye la carga de la prueba a quien afirma, no a quien niega.</w:t>
      </w:r>
    </w:p>
    <w:p w14:paraId="2DA4D369"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En el proceso de amparo, esta regla general se modula en función de la naturaleza de los derechos en juego. Cuando se alegue la vulneración de un derecho fundamental, la carga de la prueba puede invertirse o atenuarse en determinados supuestos:</w:t>
      </w:r>
    </w:p>
    <w:p w14:paraId="274F380A" w14:textId="77777777" w:rsidR="003B22B0" w:rsidRPr="003B22B0" w:rsidRDefault="003B22B0" w:rsidP="00A11397">
      <w:pPr>
        <w:numPr>
          <w:ilvl w:val="0"/>
          <w:numId w:val="8"/>
        </w:num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En casos de discriminación, corresponde al demandado probar la inexistencia de trato discriminatorio o la justificación objetiva y razonable de la diferencia de trato.</w:t>
      </w:r>
    </w:p>
    <w:p w14:paraId="2525A9C2" w14:textId="77777777" w:rsidR="003B22B0" w:rsidRPr="003B22B0" w:rsidRDefault="003B22B0" w:rsidP="00A11397">
      <w:pPr>
        <w:numPr>
          <w:ilvl w:val="0"/>
          <w:numId w:val="8"/>
        </w:num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Cuando se impugnen actos de autoridades que hayan actuado sin las debidas garantías, puede corresponder a la Administración acreditar que su actuación se ajustó a la legalidad.</w:t>
      </w:r>
    </w:p>
    <w:p w14:paraId="30EE2DF3"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El artículo 293 del Código de Procesos introduce la figura de las "cargas dinámicas de la prueba", que resulta de especial aplicación en el amparo. Conforme a esta norma, el tribunal puede atribuir la carga de la prueba de determinado hecho a la parte que se encuentre en una posición más favorable para demostrarlo. Esta previsión permite al juez corregir desequilibrios probatorios estructurales, como los que se producen cuando la información necesaria para acreditar la vulneración se encuentra en poder exclusivo del demandado.</w:t>
      </w:r>
    </w:p>
    <w:p w14:paraId="3C659F24" w14:textId="77777777" w:rsidR="003B22B0" w:rsidRPr="003B22B0" w:rsidRDefault="003B22B0" w:rsidP="00A11397">
      <w:pPr>
        <w:spacing w:before="120" w:after="120" w:line="240" w:lineRule="auto"/>
        <w:jc w:val="both"/>
        <w:outlineLvl w:val="2"/>
        <w:rPr>
          <w:rFonts w:ascii="Times New Roman" w:eastAsia="Times New Roman" w:hAnsi="Times New Roman" w:cs="Times New Roman"/>
          <w:b/>
          <w:bCs/>
          <w:sz w:val="24"/>
          <w:szCs w:val="24"/>
          <w:lang w:eastAsia="es-ES"/>
        </w:rPr>
      </w:pPr>
      <w:r w:rsidRPr="003B22B0">
        <w:rPr>
          <w:rFonts w:ascii="Times New Roman" w:eastAsia="Times New Roman" w:hAnsi="Times New Roman" w:cs="Times New Roman"/>
          <w:b/>
          <w:bCs/>
          <w:sz w:val="24"/>
          <w:szCs w:val="24"/>
          <w:lang w:eastAsia="es-ES"/>
        </w:rPr>
        <w:t>7.2. Medios de prueba</w:t>
      </w:r>
    </w:p>
    <w:p w14:paraId="2196F615"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El artículo 314 del Código de Procesos enumera los medios de prueba admisibles: declaración de las partes, documentos y libros, pericial, reconocimiento judicial y declaración de testigos. El artículo 315, en una cláusula de numerus apertus, admite otros medios no previstos expresamente, siempre que sean útiles para obtener certeza sobre los hechos.</w:t>
      </w:r>
    </w:p>
    <w:p w14:paraId="376B3A7A"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En el proceso de amparo, determinados medios de prueba adquieren especial relevancia:</w:t>
      </w:r>
    </w:p>
    <w:p w14:paraId="27AF32AA"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b/>
          <w:bCs/>
          <w:sz w:val="24"/>
          <w:szCs w:val="24"/>
          <w:lang w:eastAsia="es-ES"/>
        </w:rPr>
        <w:t>La prueba documental</w:t>
      </w:r>
      <w:r w:rsidRPr="003B22B0">
        <w:rPr>
          <w:rFonts w:ascii="Times New Roman" w:eastAsia="Times New Roman" w:hAnsi="Times New Roman" w:cs="Times New Roman"/>
          <w:sz w:val="24"/>
          <w:szCs w:val="24"/>
          <w:lang w:eastAsia="es-ES"/>
        </w:rPr>
        <w:t xml:space="preserve"> es, con frecuencia, el medio más importante. El expediente administrativo, las resoluciones impugnadas, los informes técnicos y demás documentos constituyen la base sobre la que se construye la pretensión de amparo.</w:t>
      </w:r>
    </w:p>
    <w:p w14:paraId="07375D28"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b/>
          <w:bCs/>
          <w:sz w:val="24"/>
          <w:szCs w:val="24"/>
          <w:lang w:eastAsia="es-ES"/>
        </w:rPr>
        <w:t>La prueba pericial</w:t>
      </w:r>
      <w:r w:rsidRPr="003B22B0">
        <w:rPr>
          <w:rFonts w:ascii="Times New Roman" w:eastAsia="Times New Roman" w:hAnsi="Times New Roman" w:cs="Times New Roman"/>
          <w:sz w:val="24"/>
          <w:szCs w:val="24"/>
          <w:lang w:eastAsia="es-ES"/>
        </w:rPr>
        <w:t xml:space="preserve"> resulta esencial cuando la vulneración del derecho constitucional requiere de conocimientos especializados. Piensa, por ejemplo, en un amparo contra una resolución que deniega una prestación de salud: un peritaje médico puede ser determinante para acreditar la necesidad de la prestación y la idoneidad del tratamiento solicitado.</w:t>
      </w:r>
    </w:p>
    <w:p w14:paraId="71FD8040"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b/>
          <w:bCs/>
          <w:sz w:val="24"/>
          <w:szCs w:val="24"/>
          <w:lang w:eastAsia="es-ES"/>
        </w:rPr>
        <w:t>La prueba testifical</w:t>
      </w:r>
      <w:r w:rsidRPr="003B22B0">
        <w:rPr>
          <w:rFonts w:ascii="Times New Roman" w:eastAsia="Times New Roman" w:hAnsi="Times New Roman" w:cs="Times New Roman"/>
          <w:sz w:val="24"/>
          <w:szCs w:val="24"/>
          <w:lang w:eastAsia="es-ES"/>
        </w:rPr>
        <w:t xml:space="preserve"> permite incorporar al proceso el testimonio de personas que presenciaron los hechos o tienen conocimiento directo de ellos. Su valoración, como veremos más adelante, debe realizarse conforme a las reglas de la sana crítica.</w:t>
      </w:r>
    </w:p>
    <w:p w14:paraId="252E0459" w14:textId="77777777" w:rsidR="003B22B0" w:rsidRPr="003B22B0" w:rsidRDefault="003B22B0" w:rsidP="00A11397">
      <w:pPr>
        <w:spacing w:before="120" w:after="120" w:line="240" w:lineRule="auto"/>
        <w:jc w:val="both"/>
        <w:outlineLvl w:val="2"/>
        <w:rPr>
          <w:rFonts w:ascii="Times New Roman" w:eastAsia="Times New Roman" w:hAnsi="Times New Roman" w:cs="Times New Roman"/>
          <w:b/>
          <w:bCs/>
          <w:sz w:val="24"/>
          <w:szCs w:val="24"/>
          <w:lang w:eastAsia="es-ES"/>
        </w:rPr>
      </w:pPr>
      <w:r w:rsidRPr="003B22B0">
        <w:rPr>
          <w:rFonts w:ascii="Times New Roman" w:eastAsia="Times New Roman" w:hAnsi="Times New Roman" w:cs="Times New Roman"/>
          <w:b/>
          <w:bCs/>
          <w:sz w:val="24"/>
          <w:szCs w:val="24"/>
          <w:lang w:eastAsia="es-ES"/>
        </w:rPr>
        <w:t>7.3. Admisión de la prueba</w:t>
      </w:r>
    </w:p>
    <w:p w14:paraId="71698FCA"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La admisión de la prueba en el amparo presenta características singulares. Como ya señalamos, las partes concurren a la audiencia con las pruebas propuestas, aun cuando el tribunal no se haya pronunciado previamente sobre su admisión (art. 30.2). Es en la propia audiencia donde el tribunal decide, a la vista de las propuestas formuladas, qué pruebas admite y cuáles rechaza.</w:t>
      </w:r>
    </w:p>
    <w:p w14:paraId="79BE20D4"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El artículo 301 del Código de Procesos establece las causas de inadmisibilidad:</w:t>
      </w:r>
    </w:p>
    <w:p w14:paraId="0DFE6D50" w14:textId="77777777" w:rsidR="003B22B0" w:rsidRPr="003B22B0" w:rsidRDefault="003B22B0" w:rsidP="00A11397">
      <w:pPr>
        <w:numPr>
          <w:ilvl w:val="0"/>
          <w:numId w:val="9"/>
        </w:num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Pruebas obtenidas con violación de derechos fundamentales.</w:t>
      </w:r>
    </w:p>
    <w:p w14:paraId="74B4591F" w14:textId="77777777" w:rsidR="003B22B0" w:rsidRPr="003B22B0" w:rsidRDefault="003B22B0" w:rsidP="00A11397">
      <w:pPr>
        <w:numPr>
          <w:ilvl w:val="0"/>
          <w:numId w:val="9"/>
        </w:num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Pruebas referidas a hechos ajenos al proceso.</w:t>
      </w:r>
    </w:p>
    <w:p w14:paraId="45CBE9E8" w14:textId="77777777" w:rsidR="003B22B0" w:rsidRPr="003B22B0" w:rsidRDefault="003B22B0" w:rsidP="00A11397">
      <w:pPr>
        <w:numPr>
          <w:ilvl w:val="0"/>
          <w:numId w:val="9"/>
        </w:num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lastRenderedPageBreak/>
        <w:t>Pruebas manifiestamente inútiles, por innecesarias o inadecuadas.</w:t>
      </w:r>
    </w:p>
    <w:p w14:paraId="3AD935A2" w14:textId="77777777" w:rsidR="003B22B0" w:rsidRPr="003B22B0" w:rsidRDefault="003B22B0" w:rsidP="00A11397">
      <w:pPr>
        <w:numPr>
          <w:ilvl w:val="0"/>
          <w:numId w:val="9"/>
        </w:num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Pruebas cuya práctica resulte imposible.</w:t>
      </w:r>
    </w:p>
    <w:p w14:paraId="39EB6537"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La exclusión de la prueba ilícita constituye una garantía esencial del debido proceso. Si se denuncia que alguna prueba fue obtenida con violación de derechos fundamentales, el tribunal, previa audiencia de las partes, puede disponer su exclusión mediante resolución razonada (art. 304).</w:t>
      </w:r>
    </w:p>
    <w:p w14:paraId="1696AEE6" w14:textId="77777777" w:rsidR="003B22B0" w:rsidRPr="003B22B0" w:rsidRDefault="003B22B0" w:rsidP="00A11397">
      <w:pPr>
        <w:spacing w:before="120" w:after="120" w:line="240" w:lineRule="auto"/>
        <w:jc w:val="both"/>
        <w:outlineLvl w:val="2"/>
        <w:rPr>
          <w:rFonts w:ascii="Times New Roman" w:eastAsia="Times New Roman" w:hAnsi="Times New Roman" w:cs="Times New Roman"/>
          <w:b/>
          <w:bCs/>
          <w:sz w:val="24"/>
          <w:szCs w:val="24"/>
          <w:lang w:eastAsia="es-ES"/>
        </w:rPr>
      </w:pPr>
      <w:r w:rsidRPr="003B22B0">
        <w:rPr>
          <w:rFonts w:ascii="Times New Roman" w:eastAsia="Times New Roman" w:hAnsi="Times New Roman" w:cs="Times New Roman"/>
          <w:b/>
          <w:bCs/>
          <w:sz w:val="24"/>
          <w:szCs w:val="24"/>
          <w:lang w:eastAsia="es-ES"/>
        </w:rPr>
        <w:t>7.4. Práctica de la prueba</w:t>
      </w:r>
    </w:p>
    <w:p w14:paraId="2DC05EB6"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La práctica de la prueba se realiza en la audiencia, bajo los principios de oralidad, inmediación y contradicción. El tribunal interroga directamente a las partes, a los testigos y a los peritos, pudiendo formular las preguntas que considere necesarias para el esclarecimiento de los hechos.</w:t>
      </w:r>
    </w:p>
    <w:p w14:paraId="47FE2596"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En los procesos de amparo que involucren a personas en situación de vulnerabilidad, el tribunal debe realizar los ajustes razonables necesarios para garantizar su participación efectiva (art. 9 del Código de Procesos). Esto puede implicar, por ejemplo, la utilización de un lenguaje adaptado, la presencia de intérpretes o la adopción de medidas para evitar la revictimización.</w:t>
      </w:r>
    </w:p>
    <w:p w14:paraId="3626FA3D" w14:textId="77777777" w:rsidR="00E54804" w:rsidRPr="00E54804" w:rsidRDefault="00E54804" w:rsidP="00A11397">
      <w:pPr>
        <w:spacing w:before="120" w:after="120" w:line="240" w:lineRule="auto"/>
        <w:jc w:val="both"/>
        <w:rPr>
          <w:rFonts w:ascii="Times New Roman" w:eastAsia="Times New Roman" w:hAnsi="Times New Roman" w:cs="Times New Roman"/>
          <w:sz w:val="24"/>
          <w:szCs w:val="24"/>
          <w:lang w:eastAsia="es-ES"/>
        </w:rPr>
      </w:pPr>
      <w:r w:rsidRPr="00E54804">
        <w:rPr>
          <w:rFonts w:ascii="Times New Roman" w:eastAsia="Times New Roman" w:hAnsi="Times New Roman" w:cs="Times New Roman"/>
          <w:b/>
          <w:bCs/>
          <w:sz w:val="24"/>
          <w:szCs w:val="24"/>
          <w:lang w:eastAsia="es-ES"/>
        </w:rPr>
        <w:t>7.5. Valoración de la prueba</w:t>
      </w:r>
    </w:p>
    <w:p w14:paraId="105AD2C6" w14:textId="48E2E8A9" w:rsidR="00E54804" w:rsidRPr="00E54804" w:rsidRDefault="00635C1F" w:rsidP="00A11397">
      <w:pPr>
        <w:spacing w:before="120" w:after="120" w:line="24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L</w:t>
      </w:r>
      <w:r w:rsidR="00E54804" w:rsidRPr="00E54804">
        <w:rPr>
          <w:rFonts w:ascii="Times New Roman" w:eastAsia="Times New Roman" w:hAnsi="Times New Roman" w:cs="Times New Roman"/>
          <w:sz w:val="24"/>
          <w:szCs w:val="24"/>
          <w:lang w:eastAsia="es-ES"/>
        </w:rPr>
        <w:t xml:space="preserve">legamos al momento culminante de la actividad probatoria: aquel en el que el juez, después de haber recibido y practicado las pruebas, debe determinar qué hechos considera acreditados y cuáles no. Este proceso intelectual, que en apariencia podría parecer un acto de intuición o de libre albedrío, se encuentra en realidad estrictamente regulado por principios y reglas que garantizan su racionalidad y controlabilidad. Nos referimos al momento de la </w:t>
      </w:r>
      <w:r w:rsidR="00E54804" w:rsidRPr="00E54804">
        <w:rPr>
          <w:rFonts w:ascii="Times New Roman" w:eastAsia="Times New Roman" w:hAnsi="Times New Roman" w:cs="Times New Roman"/>
          <w:b/>
          <w:bCs/>
          <w:sz w:val="24"/>
          <w:szCs w:val="24"/>
          <w:lang w:eastAsia="es-ES"/>
        </w:rPr>
        <w:t>valoración de la prueba</w:t>
      </w:r>
      <w:r w:rsidR="00E54804" w:rsidRPr="00E54804">
        <w:rPr>
          <w:rFonts w:ascii="Times New Roman" w:eastAsia="Times New Roman" w:hAnsi="Times New Roman" w:cs="Times New Roman"/>
          <w:sz w:val="24"/>
          <w:szCs w:val="24"/>
          <w:lang w:eastAsia="es-ES"/>
        </w:rPr>
        <w:t>.</w:t>
      </w:r>
    </w:p>
    <w:p w14:paraId="0754BCE4" w14:textId="77777777" w:rsidR="00E54804" w:rsidRPr="00E54804" w:rsidRDefault="00E54804" w:rsidP="00A11397">
      <w:pPr>
        <w:spacing w:before="120" w:after="120" w:line="240" w:lineRule="auto"/>
        <w:jc w:val="both"/>
        <w:rPr>
          <w:rFonts w:ascii="Times New Roman" w:eastAsia="Times New Roman" w:hAnsi="Times New Roman" w:cs="Times New Roman"/>
          <w:sz w:val="24"/>
          <w:szCs w:val="24"/>
          <w:lang w:eastAsia="es-ES"/>
        </w:rPr>
      </w:pPr>
      <w:r w:rsidRPr="00E54804">
        <w:rPr>
          <w:rFonts w:ascii="Times New Roman" w:eastAsia="Times New Roman" w:hAnsi="Times New Roman" w:cs="Times New Roman"/>
          <w:sz w:val="24"/>
          <w:szCs w:val="24"/>
          <w:lang w:eastAsia="es-ES"/>
        </w:rPr>
        <w:t>El artículo 14 del Código de Procesos, aplicable supletoriamente al amparo, consagra con claridad el principio que debe regir esta operación: "En todos los procesos previstos en este Código rige el principio de libre valoración de las pruebas, ajustado a los criterios de la racionalidad, las reglas de la lógica y las máximas de la experiencia". Esta disposición marca un distanciamiento definitivo del antiguo sistema de prueba tasada o legal, en el que el legislador predeterminaba el valor de cada medio probatorio (por ejemplo, "dos testigos idóneos hacen plena prueba"). Frente a ese modelo mecánico y apriorístico, nuestro ordenamiento opta por un sistema que confía al juez la apreciación de los elementos de juicio, pero no para que decida arbitrariamente, sino para que lo haga conforme a pautas objetivas de racionalidad.</w:t>
      </w:r>
    </w:p>
    <w:p w14:paraId="58DF2AD4" w14:textId="77777777" w:rsidR="00E54804" w:rsidRPr="00E54804" w:rsidRDefault="00E54804" w:rsidP="00A11397">
      <w:pPr>
        <w:spacing w:before="120" w:after="120" w:line="240" w:lineRule="auto"/>
        <w:jc w:val="both"/>
        <w:rPr>
          <w:rFonts w:ascii="Times New Roman" w:eastAsia="Times New Roman" w:hAnsi="Times New Roman" w:cs="Times New Roman"/>
          <w:sz w:val="24"/>
          <w:szCs w:val="24"/>
          <w:lang w:eastAsia="es-ES"/>
        </w:rPr>
      </w:pPr>
      <w:r w:rsidRPr="00E54804">
        <w:rPr>
          <w:rFonts w:ascii="Times New Roman" w:eastAsia="Times New Roman" w:hAnsi="Times New Roman" w:cs="Times New Roman"/>
          <w:sz w:val="24"/>
          <w:szCs w:val="24"/>
          <w:lang w:eastAsia="es-ES"/>
        </w:rPr>
        <w:t>Ahora bien, ¿qué significa exactamente "libre valoración"? Significa que el juez no está atado a reglas legales que le indiquen cuánto peso debe otorgar a cada prueba; pero no significa que pueda actuar caprichosamente. La libertad se predica respecto de la atadura legal, no respecto de la razón. Por ello, el propio artículo 14 precisa que esa libertad debe ejercerse "ajustado a los criterios de la racionalidad, las reglas de la lógica y las máximas de la experiencia". Estas son las verdaderas guías de la valoración.</w:t>
      </w:r>
    </w:p>
    <w:p w14:paraId="047AE31B" w14:textId="77777777" w:rsidR="00E54804" w:rsidRPr="00E54804" w:rsidRDefault="00E54804" w:rsidP="00A11397">
      <w:pPr>
        <w:spacing w:before="120" w:after="120" w:line="240" w:lineRule="auto"/>
        <w:jc w:val="both"/>
        <w:rPr>
          <w:rFonts w:ascii="Times New Roman" w:eastAsia="Times New Roman" w:hAnsi="Times New Roman" w:cs="Times New Roman"/>
          <w:sz w:val="24"/>
          <w:szCs w:val="24"/>
          <w:lang w:eastAsia="es-ES"/>
        </w:rPr>
      </w:pPr>
      <w:r w:rsidRPr="00E54804">
        <w:rPr>
          <w:rFonts w:ascii="Times New Roman" w:eastAsia="Times New Roman" w:hAnsi="Times New Roman" w:cs="Times New Roman"/>
          <w:sz w:val="24"/>
          <w:szCs w:val="24"/>
          <w:lang w:eastAsia="es-ES"/>
        </w:rPr>
        <w:t xml:space="preserve">La doctrina de Michele Taruffo, uno de los procesalistas más influyentes de las últimas décadas, resulta aquí de particular aplicación. Para el maestro italiano, la decisión judicial no puede fundarse en una mera intuición o corazonada, sino que debe ser el resultado de un proceso racional de justificación. En su obra "La prueba de los hechos", Taruffo sostiene que la valoración de la prueba debe explicitarse en la sentencia a través de un razonamiento coherente, verificable y fundado, que permita a las partes y a los tribunales superiores controlar la corrección del iter lógico seguido por el juzgador . Esta exigencia de </w:t>
      </w:r>
      <w:r w:rsidRPr="00E54804">
        <w:rPr>
          <w:rFonts w:ascii="Times New Roman" w:eastAsia="Times New Roman" w:hAnsi="Times New Roman" w:cs="Times New Roman"/>
          <w:b/>
          <w:bCs/>
          <w:sz w:val="24"/>
          <w:szCs w:val="24"/>
          <w:lang w:eastAsia="es-ES"/>
        </w:rPr>
        <w:t>motivación</w:t>
      </w:r>
      <w:r w:rsidRPr="00E54804">
        <w:rPr>
          <w:rFonts w:ascii="Times New Roman" w:eastAsia="Times New Roman" w:hAnsi="Times New Roman" w:cs="Times New Roman"/>
          <w:sz w:val="24"/>
          <w:szCs w:val="24"/>
          <w:lang w:eastAsia="es-ES"/>
        </w:rPr>
        <w:t xml:space="preserve"> no es un mero formalismo, sino una garantía esencial del derecho a la tutela judicial efectiva y del debido proceso.</w:t>
      </w:r>
    </w:p>
    <w:p w14:paraId="79673F59" w14:textId="77777777" w:rsidR="00E54804" w:rsidRPr="00E54804" w:rsidRDefault="00E54804" w:rsidP="00A11397">
      <w:pPr>
        <w:spacing w:before="120" w:after="120" w:line="240" w:lineRule="auto"/>
        <w:jc w:val="both"/>
        <w:rPr>
          <w:rFonts w:ascii="Times New Roman" w:eastAsia="Times New Roman" w:hAnsi="Times New Roman" w:cs="Times New Roman"/>
          <w:sz w:val="24"/>
          <w:szCs w:val="24"/>
          <w:lang w:eastAsia="es-ES"/>
        </w:rPr>
      </w:pPr>
      <w:r w:rsidRPr="00E54804">
        <w:rPr>
          <w:rFonts w:ascii="Times New Roman" w:eastAsia="Times New Roman" w:hAnsi="Times New Roman" w:cs="Times New Roman"/>
          <w:sz w:val="24"/>
          <w:szCs w:val="24"/>
          <w:lang w:eastAsia="es-ES"/>
        </w:rPr>
        <w:t xml:space="preserve">En el ámbito específico del amparo, esta exigencia adquiere una relevancia aún mayor, porque están en juego derechos fundamentales. Una sentencia de amparo que no explicite cómo y por qué ha valorado las </w:t>
      </w:r>
      <w:r w:rsidRPr="00E54804">
        <w:rPr>
          <w:rFonts w:ascii="Times New Roman" w:eastAsia="Times New Roman" w:hAnsi="Times New Roman" w:cs="Times New Roman"/>
          <w:sz w:val="24"/>
          <w:szCs w:val="24"/>
          <w:lang w:eastAsia="es-ES"/>
        </w:rPr>
        <w:lastRenderedPageBreak/>
        <w:t xml:space="preserve">pruebas practicadas, y cómo ha llegado a la convicción sobre los hechos, sería una sentencia arbitraria y, por tanto, lesiva del derecho a la tutela judicial efectiva. Por eso, el artículo 33.2 de la Ley 153/2022 establece que las sentencias deben ser "claras, precisas y congruentes con las pretensiones formuladas o los nuevos aspectos apreciados por el tribunal". La congruencia, en el plano probatorio, exige que el tribunal valore </w:t>
      </w:r>
      <w:r w:rsidRPr="00E54804">
        <w:rPr>
          <w:rFonts w:ascii="Times New Roman" w:eastAsia="Times New Roman" w:hAnsi="Times New Roman" w:cs="Times New Roman"/>
          <w:b/>
          <w:bCs/>
          <w:sz w:val="24"/>
          <w:szCs w:val="24"/>
          <w:lang w:eastAsia="es-ES"/>
        </w:rPr>
        <w:t>todas</w:t>
      </w:r>
      <w:r w:rsidRPr="00E54804">
        <w:rPr>
          <w:rFonts w:ascii="Times New Roman" w:eastAsia="Times New Roman" w:hAnsi="Times New Roman" w:cs="Times New Roman"/>
          <w:sz w:val="24"/>
          <w:szCs w:val="24"/>
          <w:lang w:eastAsia="es-ES"/>
        </w:rPr>
        <w:t xml:space="preserve"> las pruebas practicadas y no introduzca en la sentencia elementos fácticos que no hayan sido debidamente acreditados en el proceso, ni omita considerar aquellos que sí lo fueron y que resultan relevantes para la decisión.</w:t>
      </w:r>
    </w:p>
    <w:p w14:paraId="08F6308C" w14:textId="77777777" w:rsidR="00E54804" w:rsidRPr="00E54804" w:rsidRDefault="00E54804" w:rsidP="00A11397">
      <w:pPr>
        <w:spacing w:before="120" w:after="120" w:line="240" w:lineRule="auto"/>
        <w:jc w:val="both"/>
        <w:rPr>
          <w:rFonts w:ascii="Times New Roman" w:eastAsia="Times New Roman" w:hAnsi="Times New Roman" w:cs="Times New Roman"/>
          <w:sz w:val="24"/>
          <w:szCs w:val="24"/>
          <w:lang w:eastAsia="es-ES"/>
        </w:rPr>
      </w:pPr>
      <w:r w:rsidRPr="00E54804">
        <w:rPr>
          <w:rFonts w:ascii="Times New Roman" w:eastAsia="Times New Roman" w:hAnsi="Times New Roman" w:cs="Times New Roman"/>
          <w:sz w:val="24"/>
          <w:szCs w:val="24"/>
          <w:lang w:eastAsia="es-ES"/>
        </w:rPr>
        <w:t>Pero la valoración racional no se agota en la motivación. Exige también que el juez aplique correctamente las reglas de la lógica y las máximas de la experiencia. Las reglas de la lógica (como el principio de no contradicción, el de identidad, el de razón suficiente) impiden, por ejemplo, que se tengan por ciertos dos hechos incompatibles entre sí o que se extraigan conclusiones que no se derivan de las premisas. Las máximas de la experiencia, por su parte, son aquellos enunciados generales extraídos de la observación de la realidad y del conocimiento común, que permiten inferir, a partir de un hecho conocido, la probabilidad de otro desconocido. Por ejemplo, la máxima de que "quien no hace algo habitualmente, es probable que no lo haya hecho en una ocasión determinada" puede ser útil, pero siempre debe ser aplicada con cautela y contextualizada al caso concreto.</w:t>
      </w:r>
    </w:p>
    <w:p w14:paraId="67B11E09" w14:textId="77777777" w:rsidR="00E54804" w:rsidRPr="00E54804" w:rsidRDefault="00E54804" w:rsidP="00A11397">
      <w:pPr>
        <w:spacing w:before="120" w:after="120" w:line="240" w:lineRule="auto"/>
        <w:jc w:val="both"/>
        <w:rPr>
          <w:rFonts w:ascii="Times New Roman" w:eastAsia="Times New Roman" w:hAnsi="Times New Roman" w:cs="Times New Roman"/>
          <w:sz w:val="24"/>
          <w:szCs w:val="24"/>
          <w:lang w:eastAsia="es-ES"/>
        </w:rPr>
      </w:pPr>
      <w:r w:rsidRPr="00E54804">
        <w:rPr>
          <w:rFonts w:ascii="Times New Roman" w:eastAsia="Times New Roman" w:hAnsi="Times New Roman" w:cs="Times New Roman"/>
          <w:sz w:val="24"/>
          <w:szCs w:val="24"/>
          <w:lang w:eastAsia="es-ES"/>
        </w:rPr>
        <w:t xml:space="preserve">Jordi Ferrer Beltrán, discípulo de Taruffo y uno de los mayores exponentes contemporáneos de la teoría de la prueba, ha desarrollado lo que denomina el </w:t>
      </w:r>
      <w:r w:rsidRPr="00E54804">
        <w:rPr>
          <w:rFonts w:ascii="Times New Roman" w:eastAsia="Times New Roman" w:hAnsi="Times New Roman" w:cs="Times New Roman"/>
          <w:b/>
          <w:bCs/>
          <w:sz w:val="24"/>
          <w:szCs w:val="24"/>
          <w:lang w:eastAsia="es-ES"/>
        </w:rPr>
        <w:t>test de suficiencia probatoria</w:t>
      </w:r>
      <w:r w:rsidRPr="00E54804">
        <w:rPr>
          <w:rFonts w:ascii="Times New Roman" w:eastAsia="Times New Roman" w:hAnsi="Times New Roman" w:cs="Times New Roman"/>
          <w:sz w:val="24"/>
          <w:szCs w:val="24"/>
          <w:lang w:eastAsia="es-ES"/>
        </w:rPr>
        <w:t>. Este test no se refiere a la valoración individual de cada prueba, sino a la valoración del conjunto de la actividad probatoria. Para Ferrer Beltrán, los hechos pueden considerarse probados cuando el conjunto de las pruebas practicadas permite alcanzar un grado de corroboración que excluya dudas razonables sobre su ocurrencia . No se trata, por tanto, de una certeza absoluta (a menudo inalcanzable), sino de una certeza jurídicamente suficiente, basada en la solidez y coherencia del material probatorio.</w:t>
      </w:r>
    </w:p>
    <w:p w14:paraId="10DA1B6F" w14:textId="77777777" w:rsidR="00E54804" w:rsidRPr="00E54804" w:rsidRDefault="00E54804" w:rsidP="00A11397">
      <w:pPr>
        <w:spacing w:before="120" w:after="120" w:line="240" w:lineRule="auto"/>
        <w:jc w:val="both"/>
        <w:rPr>
          <w:rFonts w:ascii="Times New Roman" w:eastAsia="Times New Roman" w:hAnsi="Times New Roman" w:cs="Times New Roman"/>
          <w:sz w:val="24"/>
          <w:szCs w:val="24"/>
          <w:lang w:eastAsia="es-ES"/>
        </w:rPr>
      </w:pPr>
      <w:r w:rsidRPr="00E54804">
        <w:rPr>
          <w:rFonts w:ascii="Times New Roman" w:eastAsia="Times New Roman" w:hAnsi="Times New Roman" w:cs="Times New Roman"/>
          <w:sz w:val="24"/>
          <w:szCs w:val="24"/>
          <w:lang w:eastAsia="es-ES"/>
        </w:rPr>
        <w:t>En el proceso de amparo, donde lo que se dirime es la vulneración de un derecho fundamental, el estándar de suficiencia debe ser especialmente riguroso. No basta con una mera probabilidad; se requiere una convicción razonablemente sólida. Esto no significa que deba exigirse una prueba diabólica o imposible, sino que el juez debe valorar con especial cuidado la calidad y consistencia de los elementos de juicio aportados. Por ejemplo, si se alega un trato discriminatorio, y el demandado no ofrece una explicación razonable y objetiva que justifique la diferencia de trato, el juez podrá tener por acreditada la discriminación si los indicios aportados por el actor son suficientes y coherentes.</w:t>
      </w:r>
    </w:p>
    <w:p w14:paraId="1A5B34D6" w14:textId="77777777" w:rsidR="00E54804" w:rsidRPr="00E54804" w:rsidRDefault="00E54804" w:rsidP="00A11397">
      <w:pPr>
        <w:spacing w:before="120" w:after="120" w:line="240" w:lineRule="auto"/>
        <w:jc w:val="both"/>
        <w:rPr>
          <w:rFonts w:ascii="Times New Roman" w:eastAsia="Times New Roman" w:hAnsi="Times New Roman" w:cs="Times New Roman"/>
          <w:sz w:val="24"/>
          <w:szCs w:val="24"/>
          <w:lang w:eastAsia="es-ES"/>
        </w:rPr>
      </w:pPr>
      <w:r w:rsidRPr="00E54804">
        <w:rPr>
          <w:rFonts w:ascii="Times New Roman" w:eastAsia="Times New Roman" w:hAnsi="Times New Roman" w:cs="Times New Roman"/>
          <w:sz w:val="24"/>
          <w:szCs w:val="24"/>
          <w:lang w:eastAsia="es-ES"/>
        </w:rPr>
        <w:t xml:space="preserve">La valoración de la prueba en el amparo se ve también influida por las </w:t>
      </w:r>
      <w:r w:rsidRPr="00E54804">
        <w:rPr>
          <w:rFonts w:ascii="Times New Roman" w:eastAsia="Times New Roman" w:hAnsi="Times New Roman" w:cs="Times New Roman"/>
          <w:b/>
          <w:bCs/>
          <w:sz w:val="24"/>
          <w:szCs w:val="24"/>
          <w:lang w:eastAsia="es-ES"/>
        </w:rPr>
        <w:t>cargas dinámicas</w:t>
      </w:r>
      <w:r w:rsidRPr="00E54804">
        <w:rPr>
          <w:rFonts w:ascii="Times New Roman" w:eastAsia="Times New Roman" w:hAnsi="Times New Roman" w:cs="Times New Roman"/>
          <w:sz w:val="24"/>
          <w:szCs w:val="24"/>
          <w:lang w:eastAsia="es-ES"/>
        </w:rPr>
        <w:t xml:space="preserve"> a las que nos referimos anteriormente. Si el tribunal ha atribuido la carga de probar un determinado hecho a la parte que se encuentra en mejor posición para hacerlo (art. 293 del Código de Procesos), el resultado de esa prueba deberá ser valorado con especial atención a la conducta procesal de las partes. Si la parte que tenía facilitada la prueba no la produce o lo hace de manera insuficiente, el juez podrá extraer consecuencias adversas para ella.</w:t>
      </w:r>
    </w:p>
    <w:p w14:paraId="3806C278" w14:textId="77777777" w:rsidR="00E54804" w:rsidRPr="00E54804" w:rsidRDefault="00E54804" w:rsidP="00A11397">
      <w:pPr>
        <w:spacing w:before="120" w:after="120" w:line="240" w:lineRule="auto"/>
        <w:jc w:val="both"/>
        <w:rPr>
          <w:rFonts w:ascii="Times New Roman" w:eastAsia="Times New Roman" w:hAnsi="Times New Roman" w:cs="Times New Roman"/>
          <w:sz w:val="24"/>
          <w:szCs w:val="24"/>
          <w:lang w:eastAsia="es-ES"/>
        </w:rPr>
      </w:pPr>
      <w:r w:rsidRPr="00E54804">
        <w:rPr>
          <w:rFonts w:ascii="Times New Roman" w:eastAsia="Times New Roman" w:hAnsi="Times New Roman" w:cs="Times New Roman"/>
          <w:sz w:val="24"/>
          <w:szCs w:val="24"/>
          <w:lang w:eastAsia="es-ES"/>
        </w:rPr>
        <w:t xml:space="preserve">Finalmente, conviene destacar que la valoración de la prueba no puede realizarse de forma aislada o fragmentaria. El juez debe considerar el </w:t>
      </w:r>
      <w:r w:rsidRPr="00E54804">
        <w:rPr>
          <w:rFonts w:ascii="Times New Roman" w:eastAsia="Times New Roman" w:hAnsi="Times New Roman" w:cs="Times New Roman"/>
          <w:b/>
          <w:bCs/>
          <w:sz w:val="24"/>
          <w:szCs w:val="24"/>
          <w:lang w:eastAsia="es-ES"/>
        </w:rPr>
        <w:t>cuadro probatorio en su conjunto</w:t>
      </w:r>
      <w:r w:rsidRPr="00E54804">
        <w:rPr>
          <w:rFonts w:ascii="Times New Roman" w:eastAsia="Times New Roman" w:hAnsi="Times New Roman" w:cs="Times New Roman"/>
          <w:sz w:val="24"/>
          <w:szCs w:val="24"/>
          <w:lang w:eastAsia="es-ES"/>
        </w:rPr>
        <w:t>, ponderando las pruebas de cargo y de descargo, analizando su coherencia interna y externa, y verificando si existen contradicciones insalvables. Esta visión integral es la que permite alcanzar una conclusión fundada y sólida. Como bien señala Taruffo, "la prueba no es una suma de elementos independientes, sino un sistema en el que cada elemento adquiere significado en relación con los demás" .</w:t>
      </w:r>
    </w:p>
    <w:p w14:paraId="765F4F6E" w14:textId="4404754F" w:rsidR="00E54804" w:rsidRPr="00E54804" w:rsidRDefault="00E54804" w:rsidP="00A11397">
      <w:pPr>
        <w:spacing w:before="120" w:after="120" w:line="240" w:lineRule="auto"/>
        <w:jc w:val="both"/>
        <w:rPr>
          <w:rFonts w:ascii="Times New Roman" w:eastAsia="Times New Roman" w:hAnsi="Times New Roman" w:cs="Times New Roman"/>
          <w:sz w:val="24"/>
          <w:szCs w:val="24"/>
          <w:lang w:eastAsia="es-ES"/>
        </w:rPr>
      </w:pPr>
      <w:r w:rsidRPr="00E54804">
        <w:rPr>
          <w:rFonts w:ascii="Times New Roman" w:eastAsia="Times New Roman" w:hAnsi="Times New Roman" w:cs="Times New Roman"/>
          <w:sz w:val="24"/>
          <w:szCs w:val="24"/>
          <w:lang w:eastAsia="es-ES"/>
        </w:rPr>
        <w:t xml:space="preserve">En conclusión, la valoración de la prueba en el proceso de amparo es una operación intelectual compleja pero perfectamente regulada. El juez no es libre para creer o no creer según su parecer; está sometido a la </w:t>
      </w:r>
      <w:r w:rsidRPr="00E54804">
        <w:rPr>
          <w:rFonts w:ascii="Times New Roman" w:eastAsia="Times New Roman" w:hAnsi="Times New Roman" w:cs="Times New Roman"/>
          <w:sz w:val="24"/>
          <w:szCs w:val="24"/>
          <w:lang w:eastAsia="es-ES"/>
        </w:rPr>
        <w:lastRenderedPageBreak/>
        <w:t>razón, a la lógica y a la experiencia. Y debe explicar en su sentencia el camino recorrido, para que todos podamos controlar si su decisión es fruto de un razonamiento sólido o de una mera arbitrariedad. En un Estado constitucional, la justicia no solo debe hacerse, sino también parecer que se hace, y la motivación de la sentencia es el instrumento que permite esa doble exigencia.</w:t>
      </w:r>
    </w:p>
    <w:p w14:paraId="3EA24830" w14:textId="77777777" w:rsidR="003B22B0" w:rsidRPr="003B22B0" w:rsidRDefault="003B22B0" w:rsidP="00A11397">
      <w:pPr>
        <w:spacing w:before="120" w:after="120" w:line="240" w:lineRule="auto"/>
        <w:jc w:val="both"/>
        <w:outlineLvl w:val="1"/>
        <w:rPr>
          <w:rFonts w:ascii="Times New Roman" w:eastAsia="Times New Roman" w:hAnsi="Times New Roman" w:cs="Times New Roman"/>
          <w:b/>
          <w:bCs/>
          <w:sz w:val="24"/>
          <w:szCs w:val="24"/>
          <w:lang w:eastAsia="es-ES"/>
        </w:rPr>
      </w:pPr>
      <w:r w:rsidRPr="003B22B0">
        <w:rPr>
          <w:rFonts w:ascii="Times New Roman" w:eastAsia="Times New Roman" w:hAnsi="Times New Roman" w:cs="Times New Roman"/>
          <w:b/>
          <w:bCs/>
          <w:sz w:val="24"/>
          <w:szCs w:val="24"/>
          <w:lang w:eastAsia="es-ES"/>
        </w:rPr>
        <w:t>8. CONCLUSIONES</w:t>
      </w:r>
    </w:p>
    <w:p w14:paraId="72B81D52" w14:textId="2B4FA43E" w:rsidR="003B22B0" w:rsidRPr="003B22B0" w:rsidRDefault="00635C1F" w:rsidP="00A11397">
      <w:pPr>
        <w:spacing w:before="120" w:after="120" w:line="24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H</w:t>
      </w:r>
      <w:r w:rsidR="003B22B0" w:rsidRPr="003B22B0">
        <w:rPr>
          <w:rFonts w:ascii="Times New Roman" w:eastAsia="Times New Roman" w:hAnsi="Times New Roman" w:cs="Times New Roman"/>
          <w:sz w:val="24"/>
          <w:szCs w:val="24"/>
          <w:lang w:eastAsia="es-ES"/>
        </w:rPr>
        <w:t>emos recorrido juntos el iter procesal del amparo constitucional, desde sus momentos preliminares hasta la culminación de la fase probatoria. Permíteme sintetizar las ideas fundamentales que deben quedar como aprendizaje de esta lección:</w:t>
      </w:r>
    </w:p>
    <w:p w14:paraId="1C49C25C"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b/>
          <w:bCs/>
          <w:sz w:val="24"/>
          <w:szCs w:val="24"/>
          <w:lang w:eastAsia="es-ES"/>
        </w:rPr>
        <w:t>Primera: El amparo es un proceso constitucional con fisonomía propia.</w:t>
      </w:r>
      <w:r w:rsidRPr="003B22B0">
        <w:rPr>
          <w:rFonts w:ascii="Times New Roman" w:eastAsia="Times New Roman" w:hAnsi="Times New Roman" w:cs="Times New Roman"/>
          <w:sz w:val="24"/>
          <w:szCs w:val="24"/>
          <w:lang w:eastAsia="es-ES"/>
        </w:rPr>
        <w:t xml:space="preserve"> La Ley 153/2022 configura un proceso autónomo, preferente, expedito y concentrado, que si bien se nutre de la técnica procesal general (con remisión supletoria al Código de Procesos), la modula en función de la naturaleza del bien jurídico protegido: los derechos fundamentales .</w:t>
      </w:r>
    </w:p>
    <w:p w14:paraId="54B208BB"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b/>
          <w:bCs/>
          <w:sz w:val="24"/>
          <w:szCs w:val="24"/>
          <w:lang w:eastAsia="es-ES"/>
        </w:rPr>
        <w:t>Segunda: Las diligencias preliminares cumplen una función instrumental esencial.</w:t>
      </w:r>
      <w:r w:rsidRPr="003B22B0">
        <w:rPr>
          <w:rFonts w:ascii="Times New Roman" w:eastAsia="Times New Roman" w:hAnsi="Times New Roman" w:cs="Times New Roman"/>
          <w:sz w:val="24"/>
          <w:szCs w:val="24"/>
          <w:lang w:eastAsia="es-ES"/>
        </w:rPr>
        <w:t xml:space="preserve"> Permiten preparar adecuadamente la pretensión, asegurar fuentes de prueba e identificar con precisión a los sujetos pasivos del proceso. Su correcta utilización contribuye decisivamente a la calidad de la demanda y, por ende, a la efectividad del amparo .</w:t>
      </w:r>
    </w:p>
    <w:p w14:paraId="4D05C872" w14:textId="49A3BCA9"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b/>
          <w:bCs/>
          <w:sz w:val="24"/>
          <w:szCs w:val="24"/>
          <w:lang w:eastAsia="es-ES"/>
        </w:rPr>
        <w:t>Tercera: El régimen cautelar se configura como un mecanismo de tutela anticipada.</w:t>
      </w:r>
      <w:r w:rsidRPr="003B22B0">
        <w:rPr>
          <w:rFonts w:ascii="Times New Roman" w:eastAsia="Times New Roman" w:hAnsi="Times New Roman" w:cs="Times New Roman"/>
          <w:sz w:val="24"/>
          <w:szCs w:val="24"/>
          <w:lang w:eastAsia="es-ES"/>
        </w:rPr>
        <w:t xml:space="preserve"> Anclado en los presupuestos clásicos del fumus boni iuris y el periculum in mora, permite adoptar medidas urgentes para evitar que el transcurso del tiempo torne ilusoria la tutela solicitada. La adopción inaudita parte, con contradicción diferida, constituye la regla general, en coherencia con la urgencia que caracteriza al amparo.</w:t>
      </w:r>
    </w:p>
    <w:p w14:paraId="71E7A76F"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b/>
          <w:bCs/>
          <w:sz w:val="24"/>
          <w:szCs w:val="24"/>
          <w:lang w:eastAsia="es-ES"/>
        </w:rPr>
        <w:t>Cuarta: La demanda debe construirse con rigor técnico.</w:t>
      </w:r>
      <w:r w:rsidRPr="003B22B0">
        <w:rPr>
          <w:rFonts w:ascii="Times New Roman" w:eastAsia="Times New Roman" w:hAnsi="Times New Roman" w:cs="Times New Roman"/>
          <w:sz w:val="24"/>
          <w:szCs w:val="24"/>
          <w:lang w:eastAsia="es-ES"/>
        </w:rPr>
        <w:t xml:space="preserve"> Los requisitos del artículo 24 no son meros formalismos, sino garantías que permiten delimitar con precisión el objeto del proceso y asegurar el derecho de defensa del demandado. El plazo de noventa días, con las especialidades previstas para situaciones de vulnerabilidad o violaciones continuadas, debe manejarse con cuidado para evitar la preclusión.</w:t>
      </w:r>
    </w:p>
    <w:p w14:paraId="5F0F4E59"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b/>
          <w:bCs/>
          <w:sz w:val="24"/>
          <w:szCs w:val="24"/>
          <w:lang w:eastAsia="es-ES"/>
        </w:rPr>
        <w:t>Quinta: La audiencia concentra las funciones esenciales del proceso.</w:t>
      </w:r>
      <w:r w:rsidRPr="003B22B0">
        <w:rPr>
          <w:rFonts w:ascii="Times New Roman" w:eastAsia="Times New Roman" w:hAnsi="Times New Roman" w:cs="Times New Roman"/>
          <w:sz w:val="24"/>
          <w:szCs w:val="24"/>
          <w:lang w:eastAsia="es-ES"/>
        </w:rPr>
        <w:t xml:space="preserve"> En ella se sanea el procedimiento, se fija el objeto del debate, se admiten y practican las pruebas y se formulan los alegatos conclusivos. La oralidad, la inmediación y la publicidad convergen para garantizar un proceso justo y eficaz.</w:t>
      </w:r>
    </w:p>
    <w:p w14:paraId="693DA471"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b/>
          <w:bCs/>
          <w:sz w:val="24"/>
          <w:szCs w:val="24"/>
          <w:lang w:eastAsia="es-ES"/>
        </w:rPr>
        <w:t>Sexta: La prueba se rige por el principio de libre valoración racional.</w:t>
      </w:r>
      <w:r w:rsidRPr="003B22B0">
        <w:rPr>
          <w:rFonts w:ascii="Times New Roman" w:eastAsia="Times New Roman" w:hAnsi="Times New Roman" w:cs="Times New Roman"/>
          <w:sz w:val="24"/>
          <w:szCs w:val="24"/>
          <w:lang w:eastAsia="es-ES"/>
        </w:rPr>
        <w:t xml:space="preserve"> La remisión al Código de Procesos debe interpretarse a la luz de la naturaleza especial del amparo, con particular atención a las reglas sobre carga dinámica de la prueba y a los estándares de suficiencia probatoria desarrollados por la doctrina .</w:t>
      </w:r>
    </w:p>
    <w:p w14:paraId="7CDA6368"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El proceso de amparo, como habrás podido apreciar, es una construcción jurídica compleja que busca equilibrar exigencias contrapuestas: la urgencia y la deliberación, la celeridad y la garantía de contradicción, la efectividad y el respeto al derecho de defensa. El éxito de esta empresa depende, en última instancia, de la sabiduría con que jueces, fiscales y abogados apliquen las normas que hemos analizado.</w:t>
      </w:r>
    </w:p>
    <w:p w14:paraId="61247D3F" w14:textId="77777777" w:rsidR="003B22B0" w:rsidRPr="003B22B0" w:rsidRDefault="003B22B0" w:rsidP="00A11397">
      <w:pPr>
        <w:spacing w:before="120" w:after="120" w:line="240" w:lineRule="auto"/>
        <w:jc w:val="both"/>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 xml:space="preserve">Te invito a reflexionar sobre los desafíos que plantea la implementación del amparo en nuestro país. La doctrina ha señalado las dificultades para objetivar los criterios de admisibilidad y la necesidad de especialización de los jueces que integran las salas de amparo . Estos desafíos no son menores, pero </w:t>
      </w:r>
      <w:r w:rsidRPr="003B22B0">
        <w:rPr>
          <w:rFonts w:ascii="Times New Roman" w:eastAsia="Times New Roman" w:hAnsi="Times New Roman" w:cs="Times New Roman"/>
          <w:sz w:val="24"/>
          <w:szCs w:val="24"/>
          <w:lang w:eastAsia="es-ES"/>
        </w:rPr>
        <w:lastRenderedPageBreak/>
        <w:t>tampoco insuperables. Con estudio, dedicación y compromiso con los valores constitucionales, estoy seguro de que la comunidad jurídica cubana logrará que el amparo sea, efectivamente, la garantía efectiva de los derechos que el constituyente quiso que fuera.</w:t>
      </w:r>
    </w:p>
    <w:p w14:paraId="3DE14D91" w14:textId="77777777" w:rsidR="003B22B0" w:rsidRPr="003B22B0" w:rsidRDefault="003B22B0" w:rsidP="00A11397">
      <w:pPr>
        <w:spacing w:before="120" w:after="120" w:line="240" w:lineRule="auto"/>
        <w:outlineLvl w:val="1"/>
        <w:rPr>
          <w:rFonts w:ascii="Times New Roman" w:eastAsia="Times New Roman" w:hAnsi="Times New Roman" w:cs="Times New Roman"/>
          <w:b/>
          <w:bCs/>
          <w:sz w:val="24"/>
          <w:szCs w:val="24"/>
          <w:lang w:eastAsia="es-ES"/>
        </w:rPr>
      </w:pPr>
      <w:r w:rsidRPr="003B22B0">
        <w:rPr>
          <w:rFonts w:ascii="Times New Roman" w:eastAsia="Times New Roman" w:hAnsi="Times New Roman" w:cs="Times New Roman"/>
          <w:b/>
          <w:bCs/>
          <w:sz w:val="24"/>
          <w:szCs w:val="24"/>
          <w:lang w:eastAsia="es-ES"/>
        </w:rPr>
        <w:t>BIBLIOGRAFÍA BÁSICA</w:t>
      </w:r>
    </w:p>
    <w:p w14:paraId="07697BD6" w14:textId="77777777" w:rsidR="003B22B0" w:rsidRPr="003B22B0" w:rsidRDefault="003B22B0" w:rsidP="00A11397">
      <w:pPr>
        <w:spacing w:before="120" w:after="120" w:line="240" w:lineRule="auto"/>
        <w:outlineLvl w:val="2"/>
        <w:rPr>
          <w:rFonts w:ascii="Times New Roman" w:eastAsia="Times New Roman" w:hAnsi="Times New Roman" w:cs="Times New Roman"/>
          <w:b/>
          <w:bCs/>
          <w:sz w:val="24"/>
          <w:szCs w:val="24"/>
          <w:lang w:eastAsia="es-ES"/>
        </w:rPr>
      </w:pPr>
      <w:r w:rsidRPr="003B22B0">
        <w:rPr>
          <w:rFonts w:ascii="Times New Roman" w:eastAsia="Times New Roman" w:hAnsi="Times New Roman" w:cs="Times New Roman"/>
          <w:b/>
          <w:bCs/>
          <w:sz w:val="24"/>
          <w:szCs w:val="24"/>
          <w:lang w:eastAsia="es-ES"/>
        </w:rPr>
        <w:t>I. NORMATIVA JURÍDICA</w:t>
      </w:r>
    </w:p>
    <w:p w14:paraId="74C07125" w14:textId="77777777" w:rsidR="003B22B0" w:rsidRPr="003B22B0" w:rsidRDefault="003B22B0" w:rsidP="00A11397">
      <w:pPr>
        <w:numPr>
          <w:ilvl w:val="0"/>
          <w:numId w:val="10"/>
        </w:numPr>
        <w:spacing w:before="120" w:after="120" w:line="240" w:lineRule="auto"/>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Constitución de la República de Cuba, de 10 de abril de 2019. Gaceta Oficial de la República de Cuba, Edición Extraordinaria No. 5, de 10 de abril de 2019.</w:t>
      </w:r>
    </w:p>
    <w:p w14:paraId="15C17F52" w14:textId="77777777" w:rsidR="003B22B0" w:rsidRPr="003B22B0" w:rsidRDefault="003B22B0" w:rsidP="00A11397">
      <w:pPr>
        <w:numPr>
          <w:ilvl w:val="0"/>
          <w:numId w:val="10"/>
        </w:numPr>
        <w:spacing w:before="120" w:after="120" w:line="240" w:lineRule="auto"/>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Ley No. 141 de 2021, "Código de Procesos". Gaceta Oficial de la República de Cuba, Edición Extraordinaria No. 138, de 7 de diciembre de 2021 (GOC-2021-1071-O138).</w:t>
      </w:r>
    </w:p>
    <w:p w14:paraId="3B3E2F67" w14:textId="77777777" w:rsidR="003B22B0" w:rsidRPr="003B22B0" w:rsidRDefault="003B22B0" w:rsidP="00A11397">
      <w:pPr>
        <w:numPr>
          <w:ilvl w:val="0"/>
          <w:numId w:val="10"/>
        </w:numPr>
        <w:spacing w:before="120" w:after="120" w:line="240" w:lineRule="auto"/>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Ley No. 153 de 2022, "Del Proceso de Amparo de los Derechos Constitucionales". Gaceta Oficial de la República de Cuba, Edición Ordinaria No. 74, de 15 de julio de 2022 (GOC-2022-734-O74).</w:t>
      </w:r>
    </w:p>
    <w:p w14:paraId="5BAD4840" w14:textId="77777777" w:rsidR="003B22B0" w:rsidRPr="003B22B0" w:rsidRDefault="003B22B0" w:rsidP="00A11397">
      <w:pPr>
        <w:spacing w:before="120" w:after="120" w:line="240" w:lineRule="auto"/>
        <w:outlineLvl w:val="2"/>
        <w:rPr>
          <w:rFonts w:ascii="Times New Roman" w:eastAsia="Times New Roman" w:hAnsi="Times New Roman" w:cs="Times New Roman"/>
          <w:b/>
          <w:bCs/>
          <w:sz w:val="24"/>
          <w:szCs w:val="24"/>
          <w:lang w:eastAsia="es-ES"/>
        </w:rPr>
      </w:pPr>
      <w:r w:rsidRPr="003B22B0">
        <w:rPr>
          <w:rFonts w:ascii="Times New Roman" w:eastAsia="Times New Roman" w:hAnsi="Times New Roman" w:cs="Times New Roman"/>
          <w:b/>
          <w:bCs/>
          <w:sz w:val="24"/>
          <w:szCs w:val="24"/>
          <w:lang w:eastAsia="es-ES"/>
        </w:rPr>
        <w:t>II. DOCTRINA CUBANA</w:t>
      </w:r>
    </w:p>
    <w:p w14:paraId="21B9A42E" w14:textId="77777777" w:rsidR="003B22B0" w:rsidRPr="003B22B0" w:rsidRDefault="003B22B0" w:rsidP="00A11397">
      <w:pPr>
        <w:numPr>
          <w:ilvl w:val="0"/>
          <w:numId w:val="11"/>
        </w:numPr>
        <w:spacing w:before="120" w:after="120" w:line="240" w:lineRule="auto"/>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 xml:space="preserve">GUZMÁN HERNÁNDEZ, Teodoro Yan. "El amparo de los derechos constitucionales en Cuba desde el análisis de la 'trascendencia jurídico social de la vulneración alegada' de la Ley 153/2022". </w:t>
      </w:r>
      <w:r w:rsidRPr="003B22B0">
        <w:rPr>
          <w:rFonts w:ascii="Times New Roman" w:eastAsia="Times New Roman" w:hAnsi="Times New Roman" w:cs="Times New Roman"/>
          <w:i/>
          <w:iCs/>
          <w:sz w:val="24"/>
          <w:szCs w:val="24"/>
          <w:lang w:eastAsia="es-ES"/>
        </w:rPr>
        <w:t>Revista General de Derecho Público Comparado</w:t>
      </w:r>
      <w:r w:rsidRPr="003B22B0">
        <w:rPr>
          <w:rFonts w:ascii="Times New Roman" w:eastAsia="Times New Roman" w:hAnsi="Times New Roman" w:cs="Times New Roman"/>
          <w:sz w:val="24"/>
          <w:szCs w:val="24"/>
          <w:lang w:eastAsia="es-ES"/>
        </w:rPr>
        <w:t>, No. 35, 2024.</w:t>
      </w:r>
    </w:p>
    <w:p w14:paraId="69DC45E3" w14:textId="77777777" w:rsidR="003B22B0" w:rsidRPr="003B22B0" w:rsidRDefault="003B22B0" w:rsidP="00A11397">
      <w:pPr>
        <w:numPr>
          <w:ilvl w:val="0"/>
          <w:numId w:val="11"/>
        </w:numPr>
        <w:spacing w:before="120" w:after="120" w:line="240" w:lineRule="auto"/>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 xml:space="preserve">MARCHECO ACUÑA, Benjamín. </w:t>
      </w:r>
      <w:r w:rsidRPr="003B22B0">
        <w:rPr>
          <w:rFonts w:ascii="Times New Roman" w:eastAsia="Times New Roman" w:hAnsi="Times New Roman" w:cs="Times New Roman"/>
          <w:i/>
          <w:iCs/>
          <w:sz w:val="24"/>
          <w:szCs w:val="24"/>
          <w:lang w:eastAsia="es-ES"/>
        </w:rPr>
        <w:t>Fundamentos de la justicia administrativa</w:t>
      </w:r>
      <w:r w:rsidRPr="003B22B0">
        <w:rPr>
          <w:rFonts w:ascii="Times New Roman" w:eastAsia="Times New Roman" w:hAnsi="Times New Roman" w:cs="Times New Roman"/>
          <w:sz w:val="24"/>
          <w:szCs w:val="24"/>
          <w:lang w:eastAsia="es-ES"/>
        </w:rPr>
        <w:t>. La Habana: UNIJURIS, 2017.</w:t>
      </w:r>
    </w:p>
    <w:p w14:paraId="4271F2C0" w14:textId="77777777" w:rsidR="003B22B0" w:rsidRPr="003B22B0" w:rsidRDefault="003B22B0" w:rsidP="00A11397">
      <w:pPr>
        <w:numPr>
          <w:ilvl w:val="0"/>
          <w:numId w:val="11"/>
        </w:numPr>
        <w:spacing w:before="120" w:after="120" w:line="240" w:lineRule="auto"/>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 xml:space="preserve">MENDOZA DÍAZ, Juan. </w:t>
      </w:r>
      <w:r w:rsidRPr="003B22B0">
        <w:rPr>
          <w:rFonts w:ascii="Times New Roman" w:eastAsia="Times New Roman" w:hAnsi="Times New Roman" w:cs="Times New Roman"/>
          <w:i/>
          <w:iCs/>
          <w:sz w:val="24"/>
          <w:szCs w:val="24"/>
          <w:lang w:eastAsia="es-ES"/>
        </w:rPr>
        <w:t>Teoría General del Proceso</w:t>
      </w:r>
      <w:r w:rsidRPr="003B22B0">
        <w:rPr>
          <w:rFonts w:ascii="Times New Roman" w:eastAsia="Times New Roman" w:hAnsi="Times New Roman" w:cs="Times New Roman"/>
          <w:sz w:val="24"/>
          <w:szCs w:val="24"/>
          <w:lang w:eastAsia="es-ES"/>
        </w:rPr>
        <w:t>. La Habana: 2026 [material docente].</w:t>
      </w:r>
    </w:p>
    <w:p w14:paraId="287A8F10" w14:textId="77777777" w:rsidR="003B22B0" w:rsidRPr="003B22B0" w:rsidRDefault="003B22B0" w:rsidP="00A11397">
      <w:pPr>
        <w:numPr>
          <w:ilvl w:val="0"/>
          <w:numId w:val="11"/>
        </w:numPr>
        <w:spacing w:before="120" w:after="120" w:line="240" w:lineRule="auto"/>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 xml:space="preserve">MONDELO TAMAYO, J. O. y LORA ROMERO, D. "El proceso de amparo de los derechos en Cuba. Análisis crítico de sus bases constitucionales y legislativas". </w:t>
      </w:r>
      <w:r w:rsidRPr="003B22B0">
        <w:rPr>
          <w:rFonts w:ascii="Times New Roman" w:eastAsia="Times New Roman" w:hAnsi="Times New Roman" w:cs="Times New Roman"/>
          <w:i/>
          <w:iCs/>
          <w:sz w:val="24"/>
          <w:szCs w:val="24"/>
          <w:lang w:eastAsia="es-ES"/>
        </w:rPr>
        <w:t>Anuario Iberoamericano de Justicia Constitucional</w:t>
      </w:r>
      <w:r w:rsidRPr="003B22B0">
        <w:rPr>
          <w:rFonts w:ascii="Times New Roman" w:eastAsia="Times New Roman" w:hAnsi="Times New Roman" w:cs="Times New Roman"/>
          <w:sz w:val="24"/>
          <w:szCs w:val="24"/>
          <w:lang w:eastAsia="es-ES"/>
        </w:rPr>
        <w:t>, 28(1), 2024, pp. 99-128.</w:t>
      </w:r>
    </w:p>
    <w:p w14:paraId="00CF0E17" w14:textId="77777777" w:rsidR="003B22B0" w:rsidRPr="003B22B0" w:rsidRDefault="003B22B0" w:rsidP="00A11397">
      <w:pPr>
        <w:numPr>
          <w:ilvl w:val="0"/>
          <w:numId w:val="11"/>
        </w:numPr>
        <w:spacing w:before="120" w:after="120" w:line="240" w:lineRule="auto"/>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 xml:space="preserve">PÉREZ GUTIÉRREZ, Ivonne. </w:t>
      </w:r>
      <w:r w:rsidRPr="003B22B0">
        <w:rPr>
          <w:rFonts w:ascii="Times New Roman" w:eastAsia="Times New Roman" w:hAnsi="Times New Roman" w:cs="Times New Roman"/>
          <w:i/>
          <w:iCs/>
          <w:sz w:val="24"/>
          <w:szCs w:val="24"/>
          <w:lang w:eastAsia="es-ES"/>
        </w:rPr>
        <w:t>Las medidas cautelares: una valiosa herramienta procesal</w:t>
      </w:r>
      <w:r w:rsidRPr="003B22B0">
        <w:rPr>
          <w:rFonts w:ascii="Times New Roman" w:eastAsia="Times New Roman" w:hAnsi="Times New Roman" w:cs="Times New Roman"/>
          <w:sz w:val="24"/>
          <w:szCs w:val="24"/>
          <w:lang w:eastAsia="es-ES"/>
        </w:rPr>
        <w:t>. La Habana: Ediciones ONBC, 2012.</w:t>
      </w:r>
    </w:p>
    <w:p w14:paraId="225C4174" w14:textId="77777777" w:rsidR="003B22B0" w:rsidRPr="003B22B0" w:rsidRDefault="003B22B0" w:rsidP="00A11397">
      <w:pPr>
        <w:spacing w:before="120" w:after="120" w:line="240" w:lineRule="auto"/>
        <w:outlineLvl w:val="2"/>
        <w:rPr>
          <w:rFonts w:ascii="Times New Roman" w:eastAsia="Times New Roman" w:hAnsi="Times New Roman" w:cs="Times New Roman"/>
          <w:b/>
          <w:bCs/>
          <w:sz w:val="24"/>
          <w:szCs w:val="24"/>
          <w:lang w:eastAsia="es-ES"/>
        </w:rPr>
      </w:pPr>
      <w:r w:rsidRPr="003B22B0">
        <w:rPr>
          <w:rFonts w:ascii="Times New Roman" w:eastAsia="Times New Roman" w:hAnsi="Times New Roman" w:cs="Times New Roman"/>
          <w:b/>
          <w:bCs/>
          <w:sz w:val="24"/>
          <w:szCs w:val="24"/>
          <w:lang w:eastAsia="es-ES"/>
        </w:rPr>
        <w:t>III. DOCTRINA IBEROAMERICANA</w:t>
      </w:r>
    </w:p>
    <w:p w14:paraId="4847C25A" w14:textId="77777777" w:rsidR="003B22B0" w:rsidRPr="003B22B0" w:rsidRDefault="003B22B0" w:rsidP="00A11397">
      <w:pPr>
        <w:numPr>
          <w:ilvl w:val="0"/>
          <w:numId w:val="12"/>
        </w:numPr>
        <w:spacing w:before="120" w:after="120" w:line="240" w:lineRule="auto"/>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 xml:space="preserve">ARAMBURO C., Maximiliano A. "Los anteojos de Taruffo: una concepción de la jurisdicción". </w:t>
      </w:r>
      <w:r w:rsidRPr="003B22B0">
        <w:rPr>
          <w:rFonts w:ascii="Times New Roman" w:eastAsia="Times New Roman" w:hAnsi="Times New Roman" w:cs="Times New Roman"/>
          <w:i/>
          <w:iCs/>
          <w:sz w:val="24"/>
          <w:szCs w:val="24"/>
          <w:lang w:eastAsia="es-ES"/>
        </w:rPr>
        <w:t>DOXA. Cuadernos de Filosofía del Derecho</w:t>
      </w:r>
      <w:r w:rsidRPr="003B22B0">
        <w:rPr>
          <w:rFonts w:ascii="Times New Roman" w:eastAsia="Times New Roman" w:hAnsi="Times New Roman" w:cs="Times New Roman"/>
          <w:sz w:val="24"/>
          <w:szCs w:val="24"/>
          <w:lang w:eastAsia="es-ES"/>
        </w:rPr>
        <w:t>, No. 44, 2021.</w:t>
      </w:r>
    </w:p>
    <w:p w14:paraId="03F7D96B" w14:textId="77777777" w:rsidR="003B22B0" w:rsidRPr="003B22B0" w:rsidRDefault="003B22B0" w:rsidP="00A11397">
      <w:pPr>
        <w:numPr>
          <w:ilvl w:val="0"/>
          <w:numId w:val="12"/>
        </w:numPr>
        <w:spacing w:before="120" w:after="120" w:line="240" w:lineRule="auto"/>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 xml:space="preserve">FERRER BELTRÁN, Jordi. </w:t>
      </w:r>
      <w:r w:rsidRPr="003B22B0">
        <w:rPr>
          <w:rFonts w:ascii="Times New Roman" w:eastAsia="Times New Roman" w:hAnsi="Times New Roman" w:cs="Times New Roman"/>
          <w:i/>
          <w:iCs/>
          <w:sz w:val="24"/>
          <w:szCs w:val="24"/>
          <w:lang w:eastAsia="es-ES"/>
        </w:rPr>
        <w:t>La valoración racional de la prueba</w:t>
      </w:r>
      <w:r w:rsidRPr="003B22B0">
        <w:rPr>
          <w:rFonts w:ascii="Times New Roman" w:eastAsia="Times New Roman" w:hAnsi="Times New Roman" w:cs="Times New Roman"/>
          <w:sz w:val="24"/>
          <w:szCs w:val="24"/>
          <w:lang w:eastAsia="es-ES"/>
        </w:rPr>
        <w:t>. Madrid: Marcial Pons, 2007.</w:t>
      </w:r>
    </w:p>
    <w:p w14:paraId="565C8A14" w14:textId="77777777" w:rsidR="003B22B0" w:rsidRPr="003B22B0" w:rsidRDefault="003B22B0" w:rsidP="00A11397">
      <w:pPr>
        <w:numPr>
          <w:ilvl w:val="0"/>
          <w:numId w:val="12"/>
        </w:numPr>
        <w:spacing w:before="120" w:after="120" w:line="240" w:lineRule="auto"/>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 xml:space="preserve">OTEIZA, Eduardo. "Las medidas cautelares y el debido proceso". En: </w:t>
      </w:r>
      <w:r w:rsidRPr="003B22B0">
        <w:rPr>
          <w:rFonts w:ascii="Times New Roman" w:eastAsia="Times New Roman" w:hAnsi="Times New Roman" w:cs="Times New Roman"/>
          <w:i/>
          <w:iCs/>
          <w:sz w:val="24"/>
          <w:szCs w:val="24"/>
          <w:lang w:eastAsia="es-ES"/>
        </w:rPr>
        <w:t>II Jornadas Nacionales de Derecho Procesal</w:t>
      </w:r>
      <w:r w:rsidRPr="003B22B0">
        <w:rPr>
          <w:rFonts w:ascii="Times New Roman" w:eastAsia="Times New Roman" w:hAnsi="Times New Roman" w:cs="Times New Roman"/>
          <w:sz w:val="24"/>
          <w:szCs w:val="24"/>
          <w:lang w:eastAsia="es-ES"/>
        </w:rPr>
        <w:t>. Buenos Aires: Universidad de Buenos Aires, 2009.</w:t>
      </w:r>
    </w:p>
    <w:p w14:paraId="372A018D" w14:textId="77777777" w:rsidR="003B22B0" w:rsidRPr="003B22B0" w:rsidRDefault="003B22B0" w:rsidP="00A11397">
      <w:pPr>
        <w:numPr>
          <w:ilvl w:val="0"/>
          <w:numId w:val="12"/>
        </w:numPr>
        <w:spacing w:before="120" w:after="120" w:line="240" w:lineRule="auto"/>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 xml:space="preserve">TARUFFO, Michele. </w:t>
      </w:r>
      <w:r w:rsidRPr="003B22B0">
        <w:rPr>
          <w:rFonts w:ascii="Times New Roman" w:eastAsia="Times New Roman" w:hAnsi="Times New Roman" w:cs="Times New Roman"/>
          <w:i/>
          <w:iCs/>
          <w:sz w:val="24"/>
          <w:szCs w:val="24"/>
          <w:lang w:eastAsia="es-ES"/>
        </w:rPr>
        <w:t>La prueba de los hechos</w:t>
      </w:r>
      <w:r w:rsidRPr="003B22B0">
        <w:rPr>
          <w:rFonts w:ascii="Times New Roman" w:eastAsia="Times New Roman" w:hAnsi="Times New Roman" w:cs="Times New Roman"/>
          <w:sz w:val="24"/>
          <w:szCs w:val="24"/>
          <w:lang w:eastAsia="es-ES"/>
        </w:rPr>
        <w:t>. Traducción de Jordi Ferrer Beltrán. Madrid: Trotta, 2002.</w:t>
      </w:r>
    </w:p>
    <w:p w14:paraId="618A415B" w14:textId="77777777" w:rsidR="003B22B0" w:rsidRPr="003B22B0" w:rsidRDefault="003B22B0" w:rsidP="00A11397">
      <w:pPr>
        <w:numPr>
          <w:ilvl w:val="0"/>
          <w:numId w:val="12"/>
        </w:numPr>
        <w:spacing w:before="120" w:after="120" w:line="240" w:lineRule="auto"/>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 xml:space="preserve">TARUFFO, Michele. </w:t>
      </w:r>
      <w:r w:rsidRPr="003B22B0">
        <w:rPr>
          <w:rFonts w:ascii="Times New Roman" w:eastAsia="Times New Roman" w:hAnsi="Times New Roman" w:cs="Times New Roman"/>
          <w:i/>
          <w:iCs/>
          <w:sz w:val="24"/>
          <w:szCs w:val="24"/>
          <w:lang w:eastAsia="es-ES"/>
        </w:rPr>
        <w:t>La motivación de la sentencia civil</w:t>
      </w:r>
      <w:r w:rsidRPr="003B22B0">
        <w:rPr>
          <w:rFonts w:ascii="Times New Roman" w:eastAsia="Times New Roman" w:hAnsi="Times New Roman" w:cs="Times New Roman"/>
          <w:sz w:val="24"/>
          <w:szCs w:val="24"/>
          <w:lang w:eastAsia="es-ES"/>
        </w:rPr>
        <w:t>. Traducción de Lorenzo Córdova. Madrid: Trotta, 2011.</w:t>
      </w:r>
    </w:p>
    <w:p w14:paraId="0FFA36AC" w14:textId="77777777" w:rsidR="003B22B0" w:rsidRPr="003B22B0" w:rsidRDefault="003B22B0" w:rsidP="00A11397">
      <w:pPr>
        <w:numPr>
          <w:ilvl w:val="0"/>
          <w:numId w:val="12"/>
        </w:numPr>
        <w:spacing w:before="120" w:after="120" w:line="240" w:lineRule="auto"/>
        <w:rPr>
          <w:rFonts w:ascii="Times New Roman" w:eastAsia="Times New Roman" w:hAnsi="Times New Roman" w:cs="Times New Roman"/>
          <w:sz w:val="24"/>
          <w:szCs w:val="24"/>
          <w:lang w:eastAsia="es-ES"/>
        </w:rPr>
      </w:pPr>
      <w:r w:rsidRPr="003B22B0">
        <w:rPr>
          <w:rFonts w:ascii="Times New Roman" w:eastAsia="Times New Roman" w:hAnsi="Times New Roman" w:cs="Times New Roman"/>
          <w:sz w:val="24"/>
          <w:szCs w:val="24"/>
          <w:lang w:eastAsia="es-ES"/>
        </w:rPr>
        <w:t xml:space="preserve">VERBIC, Francisco. </w:t>
      </w:r>
      <w:r w:rsidRPr="003B22B0">
        <w:rPr>
          <w:rFonts w:ascii="Times New Roman" w:eastAsia="Times New Roman" w:hAnsi="Times New Roman" w:cs="Times New Roman"/>
          <w:i/>
          <w:iCs/>
          <w:sz w:val="24"/>
          <w:szCs w:val="24"/>
          <w:lang w:eastAsia="es-ES"/>
        </w:rPr>
        <w:t>Procesos colectivos</w:t>
      </w:r>
      <w:r w:rsidRPr="003B22B0">
        <w:rPr>
          <w:rFonts w:ascii="Times New Roman" w:eastAsia="Times New Roman" w:hAnsi="Times New Roman" w:cs="Times New Roman"/>
          <w:sz w:val="24"/>
          <w:szCs w:val="24"/>
          <w:lang w:eastAsia="es-ES"/>
        </w:rPr>
        <w:t>. Prólogo de Eduardo Oteiza. Buenos Aires: Astrea, 2007</w:t>
      </w:r>
    </w:p>
    <w:p w14:paraId="6A4FA805" w14:textId="77777777" w:rsidR="00DD5322" w:rsidRPr="00A11397" w:rsidRDefault="00DD5322" w:rsidP="00A11397">
      <w:pPr>
        <w:spacing w:before="120" w:after="120" w:line="240" w:lineRule="auto"/>
        <w:rPr>
          <w:rFonts w:ascii="Times New Roman" w:hAnsi="Times New Roman" w:cs="Times New Roman"/>
          <w:sz w:val="24"/>
          <w:szCs w:val="24"/>
        </w:rPr>
      </w:pPr>
    </w:p>
    <w:sectPr w:rsidR="00DD5322" w:rsidRPr="00A11397" w:rsidSect="005427EC">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607CF"/>
    <w:multiLevelType w:val="multilevel"/>
    <w:tmpl w:val="8AE4E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0F3353"/>
    <w:multiLevelType w:val="multilevel"/>
    <w:tmpl w:val="4E2EC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057E50"/>
    <w:multiLevelType w:val="multilevel"/>
    <w:tmpl w:val="401C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672C0B"/>
    <w:multiLevelType w:val="multilevel"/>
    <w:tmpl w:val="C088A8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BA4300"/>
    <w:multiLevelType w:val="multilevel"/>
    <w:tmpl w:val="264CB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D04F32"/>
    <w:multiLevelType w:val="multilevel"/>
    <w:tmpl w:val="0D0CE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C8722D"/>
    <w:multiLevelType w:val="multilevel"/>
    <w:tmpl w:val="EDFA5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AF53CE"/>
    <w:multiLevelType w:val="multilevel"/>
    <w:tmpl w:val="7756A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B16141"/>
    <w:multiLevelType w:val="multilevel"/>
    <w:tmpl w:val="97CA9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A909C8"/>
    <w:multiLevelType w:val="multilevel"/>
    <w:tmpl w:val="F8B60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381419"/>
    <w:multiLevelType w:val="multilevel"/>
    <w:tmpl w:val="7EAAD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280D22"/>
    <w:multiLevelType w:val="multilevel"/>
    <w:tmpl w:val="059C7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A70995"/>
    <w:multiLevelType w:val="multilevel"/>
    <w:tmpl w:val="827EB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5"/>
  </w:num>
  <w:num w:numId="3">
    <w:abstractNumId w:val="7"/>
  </w:num>
  <w:num w:numId="4">
    <w:abstractNumId w:val="4"/>
  </w:num>
  <w:num w:numId="5">
    <w:abstractNumId w:val="9"/>
  </w:num>
  <w:num w:numId="6">
    <w:abstractNumId w:val="6"/>
  </w:num>
  <w:num w:numId="7">
    <w:abstractNumId w:val="0"/>
  </w:num>
  <w:num w:numId="8">
    <w:abstractNumId w:val="10"/>
  </w:num>
  <w:num w:numId="9">
    <w:abstractNumId w:val="8"/>
  </w:num>
  <w:num w:numId="10">
    <w:abstractNumId w:val="1"/>
  </w:num>
  <w:num w:numId="11">
    <w:abstractNumId w:val="11"/>
  </w:num>
  <w:num w:numId="12">
    <w:abstractNumId w:val="2"/>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2B0"/>
    <w:rsid w:val="00205A42"/>
    <w:rsid w:val="00303DD2"/>
    <w:rsid w:val="00395284"/>
    <w:rsid w:val="003B22B0"/>
    <w:rsid w:val="005427EC"/>
    <w:rsid w:val="00635C1F"/>
    <w:rsid w:val="0089586F"/>
    <w:rsid w:val="009D0270"/>
    <w:rsid w:val="00A11397"/>
    <w:rsid w:val="00AE19C2"/>
    <w:rsid w:val="00DD5322"/>
    <w:rsid w:val="00E54804"/>
    <w:rsid w:val="00EF09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08945"/>
  <w15:chartTrackingRefBased/>
  <w15:docId w15:val="{48388831-3695-4CCE-A58C-EBBF5B538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3B22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3B22B0"/>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link w:val="Ttulo3Car"/>
    <w:uiPriority w:val="9"/>
    <w:qFormat/>
    <w:rsid w:val="003B22B0"/>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B22B0"/>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3B22B0"/>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3B22B0"/>
    <w:rPr>
      <w:rFonts w:ascii="Times New Roman" w:eastAsia="Times New Roman" w:hAnsi="Times New Roman" w:cs="Times New Roman"/>
      <w:b/>
      <w:bCs/>
      <w:sz w:val="27"/>
      <w:szCs w:val="27"/>
      <w:lang w:eastAsia="es-ES"/>
    </w:rPr>
  </w:style>
  <w:style w:type="paragraph" w:customStyle="1" w:styleId="ds-markdown-paragraph">
    <w:name w:val="ds-markdown-paragraph"/>
    <w:basedOn w:val="Normal"/>
    <w:rsid w:val="003B22B0"/>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3B22B0"/>
    <w:rPr>
      <w:b/>
      <w:bCs/>
    </w:rPr>
  </w:style>
  <w:style w:type="character" w:styleId="nfasis">
    <w:name w:val="Emphasis"/>
    <w:basedOn w:val="Fuentedeprrafopredeter"/>
    <w:uiPriority w:val="20"/>
    <w:qFormat/>
    <w:rsid w:val="003B22B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95298">
      <w:bodyDiv w:val="1"/>
      <w:marLeft w:val="0"/>
      <w:marRight w:val="0"/>
      <w:marTop w:val="0"/>
      <w:marBottom w:val="0"/>
      <w:divBdr>
        <w:top w:val="none" w:sz="0" w:space="0" w:color="auto"/>
        <w:left w:val="none" w:sz="0" w:space="0" w:color="auto"/>
        <w:bottom w:val="none" w:sz="0" w:space="0" w:color="auto"/>
        <w:right w:val="none" w:sz="0" w:space="0" w:color="auto"/>
      </w:divBdr>
    </w:div>
    <w:div w:id="458494147">
      <w:bodyDiv w:val="1"/>
      <w:marLeft w:val="0"/>
      <w:marRight w:val="0"/>
      <w:marTop w:val="0"/>
      <w:marBottom w:val="0"/>
      <w:divBdr>
        <w:top w:val="none" w:sz="0" w:space="0" w:color="auto"/>
        <w:left w:val="none" w:sz="0" w:space="0" w:color="auto"/>
        <w:bottom w:val="none" w:sz="0" w:space="0" w:color="auto"/>
        <w:right w:val="none" w:sz="0" w:space="0" w:color="auto"/>
      </w:divBdr>
    </w:div>
    <w:div w:id="477385912">
      <w:bodyDiv w:val="1"/>
      <w:marLeft w:val="0"/>
      <w:marRight w:val="0"/>
      <w:marTop w:val="0"/>
      <w:marBottom w:val="0"/>
      <w:divBdr>
        <w:top w:val="none" w:sz="0" w:space="0" w:color="auto"/>
        <w:left w:val="none" w:sz="0" w:space="0" w:color="auto"/>
        <w:bottom w:val="none" w:sz="0" w:space="0" w:color="auto"/>
        <w:right w:val="none" w:sz="0" w:space="0" w:color="auto"/>
      </w:divBdr>
    </w:div>
    <w:div w:id="1545873501">
      <w:bodyDiv w:val="1"/>
      <w:marLeft w:val="0"/>
      <w:marRight w:val="0"/>
      <w:marTop w:val="0"/>
      <w:marBottom w:val="0"/>
      <w:divBdr>
        <w:top w:val="none" w:sz="0" w:space="0" w:color="auto"/>
        <w:left w:val="none" w:sz="0" w:space="0" w:color="auto"/>
        <w:bottom w:val="none" w:sz="0" w:space="0" w:color="auto"/>
        <w:right w:val="none" w:sz="0" w:space="0" w:color="auto"/>
      </w:divBdr>
    </w:div>
    <w:div w:id="1560020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19</Pages>
  <Words>10800</Words>
  <Characters>59402</Characters>
  <Application>Microsoft Office Word</Application>
  <DocSecurity>0</DocSecurity>
  <Lines>495</Lines>
  <Paragraphs>140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amed</dc:creator>
  <cp:keywords/>
  <dc:description/>
  <cp:lastModifiedBy>amed</cp:lastModifiedBy>
  <cp:revision>3</cp:revision>
  <dcterms:created xsi:type="dcterms:W3CDTF">2026-03-15T17:13:00Z</dcterms:created>
  <dcterms:modified xsi:type="dcterms:W3CDTF">2026-03-15T17:51:00Z</dcterms:modified>
</cp:coreProperties>
</file>