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0A161" w14:textId="77777777" w:rsidR="00FF57F9" w:rsidRPr="00FF57F9" w:rsidRDefault="00FF57F9" w:rsidP="00FF57F9">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s-ES"/>
        </w:rPr>
      </w:pPr>
      <w:r w:rsidRPr="00FF57F9">
        <w:rPr>
          <w:rFonts w:ascii="Times New Roman" w:eastAsia="Times New Roman" w:hAnsi="Times New Roman" w:cs="Times New Roman"/>
          <w:b/>
          <w:bCs/>
          <w:kern w:val="36"/>
          <w:sz w:val="24"/>
          <w:szCs w:val="24"/>
          <w:lang w:eastAsia="es-ES"/>
        </w:rPr>
        <w:t>LECCIÓN VI: TERMINACIÓN DEL PROCESO DE AMPARO DE LOS DERECHOS CONSTITUCIONALES Y MEDIOS DE IMPUGNACIÓN</w:t>
      </w:r>
    </w:p>
    <w:p w14:paraId="1C9BD211" w14:textId="77777777" w:rsidR="00FF57F9" w:rsidRPr="00FF57F9" w:rsidRDefault="00FF57F9" w:rsidP="00FF57F9">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SUMARIO</w:t>
      </w:r>
    </w:p>
    <w:p w14:paraId="20D6A920" w14:textId="77777777" w:rsidR="00FF57F9" w:rsidRPr="00FF57F9" w:rsidRDefault="00FF57F9" w:rsidP="00FF57F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Introducción</w:t>
      </w:r>
      <w:r w:rsidRPr="00FF57F9">
        <w:rPr>
          <w:rFonts w:ascii="Times New Roman" w:eastAsia="Times New Roman" w:hAnsi="Times New Roman" w:cs="Times New Roman"/>
          <w:sz w:val="24"/>
          <w:szCs w:val="24"/>
          <w:lang w:eastAsia="es-ES"/>
        </w:rPr>
        <w:t xml:space="preserve">: El final del </w:t>
      </w:r>
      <w:proofErr w:type="spellStart"/>
      <w:r w:rsidRPr="00FF57F9">
        <w:rPr>
          <w:rFonts w:ascii="Times New Roman" w:eastAsia="Times New Roman" w:hAnsi="Times New Roman" w:cs="Times New Roman"/>
          <w:sz w:val="24"/>
          <w:szCs w:val="24"/>
          <w:lang w:eastAsia="es-ES"/>
        </w:rPr>
        <w:t>iter</w:t>
      </w:r>
      <w:proofErr w:type="spellEnd"/>
      <w:r w:rsidRPr="00FF57F9">
        <w:rPr>
          <w:rFonts w:ascii="Times New Roman" w:eastAsia="Times New Roman" w:hAnsi="Times New Roman" w:cs="Times New Roman"/>
          <w:sz w:val="24"/>
          <w:szCs w:val="24"/>
          <w:lang w:eastAsia="es-ES"/>
        </w:rPr>
        <w:t xml:space="preserve"> procesal y la naturaleza estimativa del amparo</w:t>
      </w:r>
    </w:p>
    <w:p w14:paraId="6622E705" w14:textId="77777777" w:rsidR="00FF57F9" w:rsidRPr="00FF57F9" w:rsidRDefault="00FF57F9" w:rsidP="00FF57F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La sentencia en el proceso de amparo</w:t>
      </w:r>
      <w:r w:rsidRPr="00FF57F9">
        <w:rPr>
          <w:rFonts w:ascii="Times New Roman" w:eastAsia="Times New Roman" w:hAnsi="Times New Roman" w:cs="Times New Roman"/>
          <w:sz w:val="24"/>
          <w:szCs w:val="24"/>
          <w:lang w:eastAsia="es-ES"/>
        </w:rPr>
        <w:t>: contenido, requisitos formales y sustanciales</w:t>
      </w:r>
    </w:p>
    <w:p w14:paraId="6405A612" w14:textId="77777777" w:rsidR="00FF57F9" w:rsidRPr="00FF57F9" w:rsidRDefault="00FF57F9" w:rsidP="00FF57F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2.1. La sentencia como juicio estimativo de vulneración constitucional</w:t>
      </w:r>
    </w:p>
    <w:p w14:paraId="47C0F906" w14:textId="77777777" w:rsidR="00FF57F9" w:rsidRPr="00FF57F9" w:rsidRDefault="00FF57F9" w:rsidP="00FF57F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2.2. Requisitos formales: claridad, precisión y congruencia</w:t>
      </w:r>
    </w:p>
    <w:p w14:paraId="511E3804" w14:textId="77777777" w:rsidR="00FF57F9" w:rsidRPr="00FF57F9" w:rsidRDefault="00FF57F9" w:rsidP="00FF57F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2.3. El contenido sustancial: de la constatación de la vulneración a la reparación</w:t>
      </w:r>
    </w:p>
    <w:p w14:paraId="0F57CD52" w14:textId="77777777" w:rsidR="00FF57F9" w:rsidRPr="00FF57F9" w:rsidRDefault="00FF57F9" w:rsidP="00FF57F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2.4. La construcción de los hechos y la valoración de la prueba en clave constitucional</w:t>
      </w:r>
    </w:p>
    <w:p w14:paraId="366C6A6D" w14:textId="77777777" w:rsidR="00FF57F9" w:rsidRPr="00FF57F9" w:rsidRDefault="00FF57F9" w:rsidP="00FF57F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Efectos de la sentencia de amparo</w:t>
      </w:r>
      <w:r w:rsidRPr="00FF57F9">
        <w:rPr>
          <w:rFonts w:ascii="Times New Roman" w:eastAsia="Times New Roman" w:hAnsi="Times New Roman" w:cs="Times New Roman"/>
          <w:sz w:val="24"/>
          <w:szCs w:val="24"/>
          <w:lang w:eastAsia="es-ES"/>
        </w:rPr>
        <w:t>: cosa juzgada, efectos inter partes y alcance temporal</w:t>
      </w:r>
    </w:p>
    <w:p w14:paraId="783BB4CE" w14:textId="77777777" w:rsidR="00FF57F9" w:rsidRPr="00FF57F9" w:rsidRDefault="00FF57F9" w:rsidP="00FF57F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3.1. La cosa juzgada en el amparo: particularidades</w:t>
      </w:r>
    </w:p>
    <w:p w14:paraId="2594418B" w14:textId="77777777" w:rsidR="00FF57F9" w:rsidRPr="00FF57F9" w:rsidRDefault="00FF57F9" w:rsidP="00FF57F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3.2. Efectos estimatorios y desestimatorios</w:t>
      </w:r>
    </w:p>
    <w:p w14:paraId="43A32AF7" w14:textId="77777777" w:rsidR="00FF57F9" w:rsidRPr="00FF57F9" w:rsidRDefault="00FF57F9" w:rsidP="00FF57F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3.3. La firmeza y la ejecución provisional</w:t>
      </w:r>
    </w:p>
    <w:p w14:paraId="65B42BC8" w14:textId="77777777" w:rsidR="00FF57F9" w:rsidRPr="00FF57F9" w:rsidRDefault="00FF57F9" w:rsidP="00FF57F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Ejecución de la sentencia</w:t>
      </w:r>
      <w:r w:rsidRPr="00FF57F9">
        <w:rPr>
          <w:rFonts w:ascii="Times New Roman" w:eastAsia="Times New Roman" w:hAnsi="Times New Roman" w:cs="Times New Roman"/>
          <w:sz w:val="24"/>
          <w:szCs w:val="24"/>
          <w:lang w:eastAsia="es-ES"/>
        </w:rPr>
        <w:t>: principios, procedimiento y medidas para asegurar el cumplimiento</w:t>
      </w:r>
    </w:p>
    <w:p w14:paraId="4C0080A1" w14:textId="77777777" w:rsidR="00FF57F9" w:rsidRPr="00FF57F9" w:rsidRDefault="00FF57F9" w:rsidP="00FF57F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Medios de impugnación</w:t>
      </w:r>
      <w:r w:rsidRPr="00FF57F9">
        <w:rPr>
          <w:rFonts w:ascii="Times New Roman" w:eastAsia="Times New Roman" w:hAnsi="Times New Roman" w:cs="Times New Roman"/>
          <w:sz w:val="24"/>
          <w:szCs w:val="24"/>
          <w:lang w:eastAsia="es-ES"/>
        </w:rPr>
        <w:t>: los recursos contra resoluciones judiciales de primera instancia</w:t>
      </w:r>
    </w:p>
    <w:p w14:paraId="4A538CAF" w14:textId="77777777" w:rsidR="00FF57F9" w:rsidRPr="00FF57F9" w:rsidRDefault="00FF57F9" w:rsidP="00FF57F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5.1. El recurso de apelación: procedencia, plazo, tramitación y efectos</w:t>
      </w:r>
    </w:p>
    <w:p w14:paraId="0248FA82" w14:textId="77777777" w:rsidR="00FF57F9" w:rsidRPr="00FF57F9" w:rsidRDefault="00FF57F9" w:rsidP="00FF57F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5.2. El recurso de súplica</w:t>
      </w:r>
    </w:p>
    <w:p w14:paraId="44BEF40A" w14:textId="77777777" w:rsidR="00FF57F9" w:rsidRPr="00FF57F9" w:rsidRDefault="00FF57F9" w:rsidP="00FF57F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El proceso de revisión</w:t>
      </w:r>
      <w:r w:rsidRPr="00FF57F9">
        <w:rPr>
          <w:rFonts w:ascii="Times New Roman" w:eastAsia="Times New Roman" w:hAnsi="Times New Roman" w:cs="Times New Roman"/>
          <w:sz w:val="24"/>
          <w:szCs w:val="24"/>
          <w:lang w:eastAsia="es-ES"/>
        </w:rPr>
        <w:t>: naturaleza extraordinaria, causales y procedimiento</w:t>
      </w:r>
    </w:p>
    <w:p w14:paraId="6CA500EB" w14:textId="77777777" w:rsidR="00FF57F9" w:rsidRPr="00FF57F9" w:rsidRDefault="00FF57F9" w:rsidP="00FF57F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Reflexiones finales</w:t>
      </w:r>
      <w:r w:rsidRPr="00FF57F9">
        <w:rPr>
          <w:rFonts w:ascii="Times New Roman" w:eastAsia="Times New Roman" w:hAnsi="Times New Roman" w:cs="Times New Roman"/>
          <w:sz w:val="24"/>
          <w:szCs w:val="24"/>
          <w:lang w:eastAsia="es-ES"/>
        </w:rPr>
        <w:t>: el amparo como garantía en construcción</w:t>
      </w:r>
    </w:p>
    <w:p w14:paraId="40E26538" w14:textId="77777777" w:rsidR="00FF57F9" w:rsidRPr="00FF57F9" w:rsidRDefault="00FF57F9" w:rsidP="00FF57F9">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1. INTRODUCCIÓN: EL FINAL DEL ITER PROCESAL Y LA NATURALEZA ESTIMATIVA DEL AMPARO</w:t>
      </w:r>
    </w:p>
    <w:p w14:paraId="4851FC98" w14:textId="693B17C2" w:rsidR="00FF57F9" w:rsidRPr="00FF57F9" w:rsidRDefault="009A4B02" w:rsidP="002F1542">
      <w:pPr>
        <w:spacing w:before="120" w:after="12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H</w:t>
      </w:r>
      <w:r w:rsidR="00FF57F9" w:rsidRPr="00FF57F9">
        <w:rPr>
          <w:rFonts w:ascii="Times New Roman" w:eastAsia="Times New Roman" w:hAnsi="Times New Roman" w:cs="Times New Roman"/>
          <w:sz w:val="24"/>
          <w:szCs w:val="24"/>
          <w:lang w:eastAsia="es-ES"/>
        </w:rPr>
        <w:t xml:space="preserve">emos recorrido juntos un largo camino. Desde las primeras lecciones, cuando analizábamos la naturaleza del amparo como garantía preferente y expedita, pasando por el estudio de las diligencias preliminares, el régimen cautelar, la demanda, la contestación y la audiencia, hemos ido construyendo paso a paso la arquitectura de este proceso constitucional. Llegamos ahora al momento culminante: la </w:t>
      </w:r>
      <w:r w:rsidR="00FF57F9" w:rsidRPr="00FF57F9">
        <w:rPr>
          <w:rFonts w:ascii="Times New Roman" w:eastAsia="Times New Roman" w:hAnsi="Times New Roman" w:cs="Times New Roman"/>
          <w:b/>
          <w:bCs/>
          <w:sz w:val="24"/>
          <w:szCs w:val="24"/>
          <w:lang w:eastAsia="es-ES"/>
        </w:rPr>
        <w:t>sentencia</w:t>
      </w:r>
      <w:r w:rsidR="00FF57F9" w:rsidRPr="00FF57F9">
        <w:rPr>
          <w:rFonts w:ascii="Times New Roman" w:eastAsia="Times New Roman" w:hAnsi="Times New Roman" w:cs="Times New Roman"/>
          <w:sz w:val="24"/>
          <w:szCs w:val="24"/>
          <w:lang w:eastAsia="es-ES"/>
        </w:rPr>
        <w:t>.</w:t>
      </w:r>
    </w:p>
    <w:p w14:paraId="0C54389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 sentencia no es un acto más del proceso. Es, si se me permite la expresión, el acto que da sentido a todo lo anterior. Las diligencias preliminares se realizaron para que la demanda estuviera bien fundamentada; las medidas cautelares se adoptaron para asegurar que la sentencia, cuando llegara, no fuera ilusoria; la audiencia se celebró para que el tribunal pudiera formar su convicción en contacto directo con las partes y las pruebas. Todo confluye y encuentra su razón de ser en la sentencia.</w:t>
      </w:r>
    </w:p>
    <w:p w14:paraId="160C163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Pero antes de adentrarnos en sus elementos técnicos, permíteme que te haga una pregunta fundamental: </w:t>
      </w:r>
      <w:r w:rsidRPr="00FF57F9">
        <w:rPr>
          <w:rFonts w:ascii="Times New Roman" w:eastAsia="Times New Roman" w:hAnsi="Times New Roman" w:cs="Times New Roman"/>
          <w:b/>
          <w:bCs/>
          <w:sz w:val="24"/>
          <w:szCs w:val="24"/>
          <w:lang w:eastAsia="es-ES"/>
        </w:rPr>
        <w:t>¿qué es lo que realmente hace el juez cuando dicta una sentencia de amparo?</w:t>
      </w:r>
    </w:p>
    <w:p w14:paraId="68BCB3D0" w14:textId="1B0B4E36"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 respuesta, es que el juez realiza fundamentalmente un </w:t>
      </w:r>
      <w:r w:rsidRPr="00FF57F9">
        <w:rPr>
          <w:rFonts w:ascii="Times New Roman" w:eastAsia="Times New Roman" w:hAnsi="Times New Roman" w:cs="Times New Roman"/>
          <w:b/>
          <w:bCs/>
          <w:sz w:val="24"/>
          <w:szCs w:val="24"/>
          <w:lang w:eastAsia="es-ES"/>
        </w:rPr>
        <w:t>juicio estimativo</w:t>
      </w:r>
      <w:r w:rsidRPr="00FF57F9">
        <w:rPr>
          <w:rFonts w:ascii="Times New Roman" w:eastAsia="Times New Roman" w:hAnsi="Times New Roman" w:cs="Times New Roman"/>
          <w:sz w:val="24"/>
          <w:szCs w:val="24"/>
          <w:lang w:eastAsia="es-ES"/>
        </w:rPr>
        <w:t xml:space="preserve">. No se trata primordialmente de un juicio de condena (aunque pueda contenerla), ni de un mero juicio declarativo (aunque declare situaciones jurídicas). Se trata, ante todo, de un juicio destinado a constatar si se ha producido o no una vulneración del contenido esencial de un derecho </w:t>
      </w:r>
      <w:r w:rsidRPr="00FF57F9">
        <w:rPr>
          <w:rFonts w:ascii="Times New Roman" w:eastAsia="Times New Roman" w:hAnsi="Times New Roman" w:cs="Times New Roman"/>
          <w:sz w:val="24"/>
          <w:szCs w:val="24"/>
          <w:lang w:eastAsia="es-ES"/>
        </w:rPr>
        <w:lastRenderedPageBreak/>
        <w:t xml:space="preserve">constitucional. La reparación, la indemnización, la restitución, son </w:t>
      </w:r>
      <w:r w:rsidRPr="00FF57F9">
        <w:rPr>
          <w:rFonts w:ascii="Times New Roman" w:eastAsia="Times New Roman" w:hAnsi="Times New Roman" w:cs="Times New Roman"/>
          <w:b/>
          <w:bCs/>
          <w:sz w:val="24"/>
          <w:szCs w:val="24"/>
          <w:lang w:eastAsia="es-ES"/>
        </w:rPr>
        <w:t>consecuencias</w:t>
      </w:r>
      <w:r w:rsidRPr="00FF57F9">
        <w:rPr>
          <w:rFonts w:ascii="Times New Roman" w:eastAsia="Times New Roman" w:hAnsi="Times New Roman" w:cs="Times New Roman"/>
          <w:sz w:val="24"/>
          <w:szCs w:val="24"/>
          <w:lang w:eastAsia="es-ES"/>
        </w:rPr>
        <w:t xml:space="preserve"> de esa constatación, pero no constituyen el núcleo de la decisión.</w:t>
      </w:r>
    </w:p>
    <w:p w14:paraId="2A4B141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Como bien señala la Dra. Ivonne Pérez Gutiérrez, "la pretensión debe estar encaminada a lograr la restitución del derecho constitucional vulnerado y a la reparación de los daños o la indemnización de los perjuicios resultantes de la violación; solo puede pretenderse la preservación o el restablecimiento de lesiones concretas y efectivas de derechos o libertades". Esta afirmación nos sitúa ante la verdadera naturaleza del amparo: no es un proceso más, sino un proceso constitucional destinado a proteger derechos fundamentales mediante un juicio de constatación de vulneraciones.</w:t>
      </w:r>
    </w:p>
    <w:p w14:paraId="1D4FAFC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En palabras del maestro Piero Calamandrei, "el oficio del abogado es duro y austero", y ello se evidencia particularmente en el amparo, donde no se trata de hacer "escritos bellos o extremadamente largos, sino de 'tocar' la fibra sensible del juzgador desde el Derecho, con argumentos sólidos y con aplicación de la técnica propia del amparo".</w:t>
      </w:r>
    </w:p>
    <w:p w14:paraId="2BEE3680" w14:textId="77777777" w:rsidR="00FF57F9" w:rsidRPr="00FF57F9" w:rsidRDefault="00FF57F9" w:rsidP="002F1542">
      <w:pPr>
        <w:spacing w:before="120" w:after="120" w:line="240" w:lineRule="auto"/>
        <w:jc w:val="both"/>
        <w:outlineLvl w:val="1"/>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2. LA SENTENCIA EN EL PROCESO DE AMPARO: CONTENIDO, REQUISITOS FORMALES Y SUSTANCIALES</w:t>
      </w:r>
    </w:p>
    <w:p w14:paraId="6CAD86CB" w14:textId="77777777" w:rsidR="00FF57F9" w:rsidRPr="00FF57F9" w:rsidRDefault="00FF57F9" w:rsidP="002F1542">
      <w:pPr>
        <w:spacing w:before="120" w:after="120"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2.1. La sentencia como juicio estimativo de vulneración constitucional</w:t>
      </w:r>
    </w:p>
    <w:p w14:paraId="5818FFB9"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Para comprender la sentencia de amparo, debemos partir de una premisa esencial: el amparo no protege cualquier lesión jurídica, sino exclusivamente aquellas que afectan al </w:t>
      </w:r>
      <w:r w:rsidRPr="00FF57F9">
        <w:rPr>
          <w:rFonts w:ascii="Times New Roman" w:eastAsia="Times New Roman" w:hAnsi="Times New Roman" w:cs="Times New Roman"/>
          <w:b/>
          <w:bCs/>
          <w:sz w:val="24"/>
          <w:szCs w:val="24"/>
          <w:lang w:eastAsia="es-ES"/>
        </w:rPr>
        <w:t>contenido constitucional de los derechos fundamentales</w:t>
      </w:r>
      <w:r w:rsidRPr="00FF57F9">
        <w:rPr>
          <w:rFonts w:ascii="Times New Roman" w:eastAsia="Times New Roman" w:hAnsi="Times New Roman" w:cs="Times New Roman"/>
          <w:sz w:val="24"/>
          <w:szCs w:val="24"/>
          <w:lang w:eastAsia="es-ES"/>
        </w:rPr>
        <w:t>. Como señala Martínez-</w:t>
      </w:r>
      <w:proofErr w:type="spellStart"/>
      <w:r w:rsidRPr="00FF57F9">
        <w:rPr>
          <w:rFonts w:ascii="Times New Roman" w:eastAsia="Times New Roman" w:hAnsi="Times New Roman" w:cs="Times New Roman"/>
          <w:sz w:val="24"/>
          <w:szCs w:val="24"/>
          <w:lang w:eastAsia="es-ES"/>
        </w:rPr>
        <w:t>Pujalte</w:t>
      </w:r>
      <w:proofErr w:type="spellEnd"/>
      <w:r w:rsidRPr="00FF57F9">
        <w:rPr>
          <w:rFonts w:ascii="Times New Roman" w:eastAsia="Times New Roman" w:hAnsi="Times New Roman" w:cs="Times New Roman"/>
          <w:sz w:val="24"/>
          <w:szCs w:val="24"/>
          <w:lang w:eastAsia="es-ES"/>
        </w:rPr>
        <w:t>, uno de los autores más relevantes en esta materia, "es un elemento que pertenece a la esencia del proceso constitucional de amparo el proteger sólo derechos fundamentales".</w:t>
      </w:r>
    </w:p>
    <w:p w14:paraId="52173E4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Esta afirmación plantea inmediatamente una pregunta: ¿qué entendemos por "contenido constitucional" de un derecho? La doctrina distingue entre el </w:t>
      </w:r>
      <w:r w:rsidRPr="00FF57F9">
        <w:rPr>
          <w:rFonts w:ascii="Times New Roman" w:eastAsia="Times New Roman" w:hAnsi="Times New Roman" w:cs="Times New Roman"/>
          <w:b/>
          <w:bCs/>
          <w:sz w:val="24"/>
          <w:szCs w:val="24"/>
          <w:lang w:eastAsia="es-ES"/>
        </w:rPr>
        <w:t>contenido esencial</w:t>
      </w:r>
      <w:r w:rsidRPr="00FF57F9">
        <w:rPr>
          <w:rFonts w:ascii="Times New Roman" w:eastAsia="Times New Roman" w:hAnsi="Times New Roman" w:cs="Times New Roman"/>
          <w:sz w:val="24"/>
          <w:szCs w:val="24"/>
          <w:lang w:eastAsia="es-ES"/>
        </w:rPr>
        <w:t xml:space="preserve"> —aquél sin el cual el derecho perdería su naturaleza, su razón de ser— y el </w:t>
      </w:r>
      <w:r w:rsidRPr="00FF57F9">
        <w:rPr>
          <w:rFonts w:ascii="Times New Roman" w:eastAsia="Times New Roman" w:hAnsi="Times New Roman" w:cs="Times New Roman"/>
          <w:b/>
          <w:bCs/>
          <w:sz w:val="24"/>
          <w:szCs w:val="24"/>
          <w:lang w:eastAsia="es-ES"/>
        </w:rPr>
        <w:t xml:space="preserve">contenido adicional o </w:t>
      </w:r>
      <w:proofErr w:type="spellStart"/>
      <w:r w:rsidRPr="00FF57F9">
        <w:rPr>
          <w:rFonts w:ascii="Times New Roman" w:eastAsia="Times New Roman" w:hAnsi="Times New Roman" w:cs="Times New Roman"/>
          <w:b/>
          <w:bCs/>
          <w:sz w:val="24"/>
          <w:szCs w:val="24"/>
          <w:lang w:eastAsia="es-ES"/>
        </w:rPr>
        <w:t>infraconstitucional</w:t>
      </w:r>
      <w:proofErr w:type="spellEnd"/>
      <w:r w:rsidRPr="00FF57F9">
        <w:rPr>
          <w:rFonts w:ascii="Times New Roman" w:eastAsia="Times New Roman" w:hAnsi="Times New Roman" w:cs="Times New Roman"/>
          <w:sz w:val="24"/>
          <w:szCs w:val="24"/>
          <w:lang w:eastAsia="es-ES"/>
        </w:rPr>
        <w:t xml:space="preserve"> —aquél que el legislador ordinario puede </w:t>
      </w:r>
      <w:proofErr w:type="gramStart"/>
      <w:r w:rsidRPr="00FF57F9">
        <w:rPr>
          <w:rFonts w:ascii="Times New Roman" w:eastAsia="Times New Roman" w:hAnsi="Times New Roman" w:cs="Times New Roman"/>
          <w:sz w:val="24"/>
          <w:szCs w:val="24"/>
          <w:lang w:eastAsia="es-ES"/>
        </w:rPr>
        <w:t>desarrollar</w:t>
      </w:r>
      <w:proofErr w:type="gramEnd"/>
      <w:r w:rsidRPr="00FF57F9">
        <w:rPr>
          <w:rFonts w:ascii="Times New Roman" w:eastAsia="Times New Roman" w:hAnsi="Times New Roman" w:cs="Times New Roman"/>
          <w:sz w:val="24"/>
          <w:szCs w:val="24"/>
          <w:lang w:eastAsia="es-ES"/>
        </w:rPr>
        <w:t xml:space="preserve"> pero cuya modificación o supresión no desnaturaliza el derecho.</w:t>
      </w:r>
    </w:p>
    <w:p w14:paraId="60BD6DC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El Tribunal Constitucional peruano ha precisado esta idea en su jurisprudencia: "todo ámbito constitucionalmente protegido de un derecho fundamental se reconduce en mayor o menor grado a su contenido esencial, pues todo límite al derecho fundamental sólo resulta válido en la medida de que el contenido esencial se mantenga incólume" (STC </w:t>
      </w:r>
      <w:proofErr w:type="spellStart"/>
      <w:r w:rsidRPr="00FF57F9">
        <w:rPr>
          <w:rFonts w:ascii="Times New Roman" w:eastAsia="Times New Roman" w:hAnsi="Times New Roman" w:cs="Times New Roman"/>
          <w:sz w:val="24"/>
          <w:szCs w:val="24"/>
          <w:lang w:eastAsia="es-ES"/>
        </w:rPr>
        <w:t>Exp</w:t>
      </w:r>
      <w:proofErr w:type="spellEnd"/>
      <w:r w:rsidRPr="00FF57F9">
        <w:rPr>
          <w:rFonts w:ascii="Times New Roman" w:eastAsia="Times New Roman" w:hAnsi="Times New Roman" w:cs="Times New Roman"/>
          <w:sz w:val="24"/>
          <w:szCs w:val="24"/>
          <w:lang w:eastAsia="es-ES"/>
        </w:rPr>
        <w:t xml:space="preserve">. </w:t>
      </w:r>
      <w:proofErr w:type="spellStart"/>
      <w:r w:rsidRPr="00FF57F9">
        <w:rPr>
          <w:rFonts w:ascii="Times New Roman" w:eastAsia="Times New Roman" w:hAnsi="Times New Roman" w:cs="Times New Roman"/>
          <w:sz w:val="24"/>
          <w:szCs w:val="24"/>
          <w:lang w:eastAsia="es-ES"/>
        </w:rPr>
        <w:t>N.°</w:t>
      </w:r>
      <w:proofErr w:type="spellEnd"/>
      <w:r w:rsidRPr="00FF57F9">
        <w:rPr>
          <w:rFonts w:ascii="Times New Roman" w:eastAsia="Times New Roman" w:hAnsi="Times New Roman" w:cs="Times New Roman"/>
          <w:sz w:val="24"/>
          <w:szCs w:val="24"/>
          <w:lang w:eastAsia="es-ES"/>
        </w:rPr>
        <w:t xml:space="preserve"> 1417-2005-PA/TC). Esta afirmación es de suma importancia: significa que la protección del amparo se extiende a todas las manifestaciones del derecho que forman parte de su núcleo esencial, pero no necesariamente a aquellas que son mero desarrollo legal o reglamentario.</w:t>
      </w:r>
    </w:p>
    <w:p w14:paraId="5E2A5844"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 jurisprudencia española ha seguido una línea similar. El Tribunal Constitucional español, en su Sentencia 11/1981, de 8 de abril, definió el contenido esencial como "aquella parte del contenido del derecho sin la cual éste pierde su peculiaridad, </w:t>
      </w:r>
      <w:proofErr w:type="gramStart"/>
      <w:r w:rsidRPr="00FF57F9">
        <w:rPr>
          <w:rFonts w:ascii="Times New Roman" w:eastAsia="Times New Roman" w:hAnsi="Times New Roman" w:cs="Times New Roman"/>
          <w:sz w:val="24"/>
          <w:szCs w:val="24"/>
          <w:lang w:eastAsia="es-ES"/>
        </w:rPr>
        <w:t>o</w:t>
      </w:r>
      <w:proofErr w:type="gramEnd"/>
      <w:r w:rsidRPr="00FF57F9">
        <w:rPr>
          <w:rFonts w:ascii="Times New Roman" w:eastAsia="Times New Roman" w:hAnsi="Times New Roman" w:cs="Times New Roman"/>
          <w:sz w:val="24"/>
          <w:szCs w:val="24"/>
          <w:lang w:eastAsia="es-ES"/>
        </w:rPr>
        <w:t xml:space="preserve"> dicho de otro modo, lo que hace que sea recognoscible como derecho perteneciente a un tipo determinado". Esta definición ha sido ampliamente acogida por la doctrina iberoamericana.</w:t>
      </w:r>
    </w:p>
    <w:p w14:paraId="19892024"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En el contexto cubano, la Ley 153/2022 no define expresamente el contenido esencial, pero su artículo 5, al establecer los requisitos de admisibilidad, implícitamente remite a esta noción cuando exige que se trate de vulneraciones de derechos constitucionales. Como advierte Pérez Gutiérrez, "no existe una clara definición de qué derechos pueden ser protegidos por esta vía; expectativa constitucional no cumplida, máxime si en cauce ordinario casi todas las prerrogativas </w:t>
      </w:r>
      <w:r w:rsidRPr="00FF57F9">
        <w:rPr>
          <w:rFonts w:ascii="Times New Roman" w:eastAsia="Times New Roman" w:hAnsi="Times New Roman" w:cs="Times New Roman"/>
          <w:sz w:val="24"/>
          <w:szCs w:val="24"/>
          <w:lang w:eastAsia="es-ES"/>
        </w:rPr>
        <w:lastRenderedPageBreak/>
        <w:t>fundamentales encuentran protección jurisdiccional". Esta indeterminación plantea un desafío interpretativo que deberá ser resuelto por la jurisprudencia.</w:t>
      </w:r>
    </w:p>
    <w:p w14:paraId="3CA2CD1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La estructura lógica de la sentencia estimatoria</w:t>
      </w:r>
    </w:p>
    <w:p w14:paraId="4CA28DD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Cuando el juez de amparo se enfrenta a un caso, su razonamiento debe seguir, implícita o explícitamente, una estructura lógica que podemos descomponer en los siguientes pasos:</w:t>
      </w:r>
    </w:p>
    <w:p w14:paraId="1327A069"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Primer paso: construcción de los hechos.</w:t>
      </w:r>
      <w:r w:rsidRPr="00FF57F9">
        <w:rPr>
          <w:rFonts w:ascii="Times New Roman" w:eastAsia="Times New Roman" w:hAnsi="Times New Roman" w:cs="Times New Roman"/>
          <w:sz w:val="24"/>
          <w:szCs w:val="24"/>
          <w:lang w:eastAsia="es-ES"/>
        </w:rPr>
        <w:t xml:space="preserve"> A través de la actividad probatoria desarrollada en la audiencia, el tribunal debe determinar qué ocurrió realmente. ¿Existió la conducta que se imputa al demandado? ¿En qué circunstancias se produjo? ¿Cuáles fueron sus consecuencias inmediatas? Esta construcción fáctica es el presupuesto indispensable de todo lo demás.</w:t>
      </w:r>
    </w:p>
    <w:p w14:paraId="72419DE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Segundo paso: identificación del derecho afectado y de su contenido esencial.</w:t>
      </w:r>
      <w:r w:rsidRPr="00FF57F9">
        <w:rPr>
          <w:rFonts w:ascii="Times New Roman" w:eastAsia="Times New Roman" w:hAnsi="Times New Roman" w:cs="Times New Roman"/>
          <w:sz w:val="24"/>
          <w:szCs w:val="24"/>
          <w:lang w:eastAsia="es-ES"/>
        </w:rPr>
        <w:t xml:space="preserve"> El tribunal debe precisar qué derecho constitucional se alega como vulnerado y, más concretamente, qué faceta o manifestación de ese derecho resulta afectada. No basta con decir "se vulneró mi derecho a la libertad de expresión"; es necesario identificar si lo que se lesionó fue la libertad de expresar ideas, la libertad de recibir información, la libertad de prensa en su dimensión institucional, etc.</w:t>
      </w:r>
    </w:p>
    <w:p w14:paraId="5A549FBB"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Tercer paso: contraste entre los hechos y el contenido esencial.</w:t>
      </w:r>
      <w:r w:rsidRPr="00FF57F9">
        <w:rPr>
          <w:rFonts w:ascii="Times New Roman" w:eastAsia="Times New Roman" w:hAnsi="Times New Roman" w:cs="Times New Roman"/>
          <w:sz w:val="24"/>
          <w:szCs w:val="24"/>
          <w:lang w:eastAsia="es-ES"/>
        </w:rPr>
        <w:t xml:space="preserve"> Este es el núcleo del juicio de amparo. El tribunal debe determinar si los hechos acreditados, tal como han sido construidos a partir de la prueba, constituyen una lesión del contenido esencial del derecho. No cualquier afectación es relevante; solo aquella que incide en el núcleo duro del derecho, en aquello sin lo cual el derecho dejaría de ser reconocible como tal.</w:t>
      </w:r>
    </w:p>
    <w:p w14:paraId="7B80B4E7"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Cuarto paso: declaración de la vulneración.</w:t>
      </w:r>
      <w:r w:rsidRPr="00FF57F9">
        <w:rPr>
          <w:rFonts w:ascii="Times New Roman" w:eastAsia="Times New Roman" w:hAnsi="Times New Roman" w:cs="Times New Roman"/>
          <w:sz w:val="24"/>
          <w:szCs w:val="24"/>
          <w:lang w:eastAsia="es-ES"/>
        </w:rPr>
        <w:t xml:space="preserve"> Si el contraste resulta positivo, el tribunal declara que efectivamente se ha producido una vulneración del derecho constitucional. Esta declaración es el corazón de la sentencia estimatoria.</w:t>
      </w:r>
    </w:p>
    <w:p w14:paraId="13A8F84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Quinto paso: determinación de las consecuencias.</w:t>
      </w:r>
      <w:r w:rsidRPr="00FF57F9">
        <w:rPr>
          <w:rFonts w:ascii="Times New Roman" w:eastAsia="Times New Roman" w:hAnsi="Times New Roman" w:cs="Times New Roman"/>
          <w:sz w:val="24"/>
          <w:szCs w:val="24"/>
          <w:lang w:eastAsia="es-ES"/>
        </w:rPr>
        <w:t xml:space="preserve"> Una vez constatada la vulneración, el tribunal debe determinar cómo se repara. La restitución (volver las cosas al estado anterior), la cesación de la conducta lesiva, la indemnización de los daños y perjuicios, son consecuencias que derivan de la declaración principal, pero no se confunden con ella.</w:t>
      </w:r>
    </w:p>
    <w:p w14:paraId="544AA1E0" w14:textId="1BC43434"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Como puedes apreciar, la lógica de la sentencia de amparo es esencialmente </w:t>
      </w:r>
      <w:r w:rsidRPr="00FF57F9">
        <w:rPr>
          <w:rFonts w:ascii="Times New Roman" w:eastAsia="Times New Roman" w:hAnsi="Times New Roman" w:cs="Times New Roman"/>
          <w:b/>
          <w:bCs/>
          <w:sz w:val="24"/>
          <w:szCs w:val="24"/>
          <w:lang w:eastAsia="es-ES"/>
        </w:rPr>
        <w:t>estimativa</w:t>
      </w:r>
      <w:r w:rsidRPr="00FF57F9">
        <w:rPr>
          <w:rFonts w:ascii="Times New Roman" w:eastAsia="Times New Roman" w:hAnsi="Times New Roman" w:cs="Times New Roman"/>
          <w:sz w:val="24"/>
          <w:szCs w:val="24"/>
          <w:lang w:eastAsia="es-ES"/>
        </w:rPr>
        <w:t>: se trata de estimar si hubo o no vulneración. La reparación es una consecuencia necesaria, pero no es el objeto principal del juicio.</w:t>
      </w:r>
    </w:p>
    <w:p w14:paraId="4E30EA89" w14:textId="77777777" w:rsidR="00FF57F9" w:rsidRPr="00FF57F9" w:rsidRDefault="00FF57F9" w:rsidP="002F1542">
      <w:pPr>
        <w:spacing w:before="120" w:after="120"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2.2. Requisitos formales: claridad, precisión y congruencia</w:t>
      </w:r>
    </w:p>
    <w:p w14:paraId="45A273A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33.2 de la Ley 153/2022 establece: "Las sentencias deben ser claras, precisas y congruentes con las pretensiones formuladas o los nuevos aspectos apreciados por el tribunal, en su caso". Analicemos cada uno de estos requisitos.</w:t>
      </w:r>
    </w:p>
    <w:p w14:paraId="043B4DAC"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 </w:t>
      </w:r>
      <w:r w:rsidRPr="00FF57F9">
        <w:rPr>
          <w:rFonts w:ascii="Times New Roman" w:eastAsia="Times New Roman" w:hAnsi="Times New Roman" w:cs="Times New Roman"/>
          <w:b/>
          <w:bCs/>
          <w:sz w:val="24"/>
          <w:szCs w:val="24"/>
          <w:lang w:eastAsia="es-ES"/>
        </w:rPr>
        <w:t>claridad</w:t>
      </w:r>
      <w:r w:rsidRPr="00FF57F9">
        <w:rPr>
          <w:rFonts w:ascii="Times New Roman" w:eastAsia="Times New Roman" w:hAnsi="Times New Roman" w:cs="Times New Roman"/>
          <w:sz w:val="24"/>
          <w:szCs w:val="24"/>
          <w:lang w:eastAsia="es-ES"/>
        </w:rPr>
        <w:t xml:space="preserve"> exige que la sentencia sea comprensible no solo para los juristas, sino para las propias partes, que en muchos casos carecen de formación jurídica. Una sentencia oscura, ambigua o contradictoria no cumple su función de poner fin al conflicto, porque las partes no sabrán con certeza qué es lo que se ha decidido.</w:t>
      </w:r>
    </w:p>
    <w:p w14:paraId="721F72F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 </w:t>
      </w:r>
      <w:r w:rsidRPr="00FF57F9">
        <w:rPr>
          <w:rFonts w:ascii="Times New Roman" w:eastAsia="Times New Roman" w:hAnsi="Times New Roman" w:cs="Times New Roman"/>
          <w:b/>
          <w:bCs/>
          <w:sz w:val="24"/>
          <w:szCs w:val="24"/>
          <w:lang w:eastAsia="es-ES"/>
        </w:rPr>
        <w:t>precisión</w:t>
      </w:r>
      <w:r w:rsidRPr="00FF57F9">
        <w:rPr>
          <w:rFonts w:ascii="Times New Roman" w:eastAsia="Times New Roman" w:hAnsi="Times New Roman" w:cs="Times New Roman"/>
          <w:sz w:val="24"/>
          <w:szCs w:val="24"/>
          <w:lang w:eastAsia="es-ES"/>
        </w:rPr>
        <w:t xml:space="preserve"> obliga al tribunal a ser concreto en sus pronunciamientos. No basta con decir, por ejemplo, que "se estima la pretensión del actor". Es necesario precisar en qué consiste exactamente la restitución ordenada, qué conducta debe realizar el demandado, en qué plazo, bajo qué apercibimientos.</w:t>
      </w:r>
    </w:p>
    <w:p w14:paraId="3B8A190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lastRenderedPageBreak/>
        <w:t xml:space="preserve">La </w:t>
      </w:r>
      <w:r w:rsidRPr="00FF57F9">
        <w:rPr>
          <w:rFonts w:ascii="Times New Roman" w:eastAsia="Times New Roman" w:hAnsi="Times New Roman" w:cs="Times New Roman"/>
          <w:b/>
          <w:bCs/>
          <w:sz w:val="24"/>
          <w:szCs w:val="24"/>
          <w:lang w:eastAsia="es-ES"/>
        </w:rPr>
        <w:t>congruencia</w:t>
      </w:r>
      <w:r w:rsidRPr="00FF57F9">
        <w:rPr>
          <w:rFonts w:ascii="Times New Roman" w:eastAsia="Times New Roman" w:hAnsi="Times New Roman" w:cs="Times New Roman"/>
          <w:sz w:val="24"/>
          <w:szCs w:val="24"/>
          <w:lang w:eastAsia="es-ES"/>
        </w:rPr>
        <w:t xml:space="preserve"> es, quizá, el requisito más complejo. Exige que la sentencia se corresponda con las pretensiones formuladas por las partes, sin introducir elementos extraños ni omitir pronunciamientos sobre lo pedido. El tribunal no puede conceder algo que no ha sido solicitado (ultra </w:t>
      </w:r>
      <w:proofErr w:type="spellStart"/>
      <w:r w:rsidRPr="00FF57F9">
        <w:rPr>
          <w:rFonts w:ascii="Times New Roman" w:eastAsia="Times New Roman" w:hAnsi="Times New Roman" w:cs="Times New Roman"/>
          <w:sz w:val="24"/>
          <w:szCs w:val="24"/>
          <w:lang w:eastAsia="es-ES"/>
        </w:rPr>
        <w:t>petita</w:t>
      </w:r>
      <w:proofErr w:type="spellEnd"/>
      <w:r w:rsidRPr="00FF57F9">
        <w:rPr>
          <w:rFonts w:ascii="Times New Roman" w:eastAsia="Times New Roman" w:hAnsi="Times New Roman" w:cs="Times New Roman"/>
          <w:sz w:val="24"/>
          <w:szCs w:val="24"/>
          <w:lang w:eastAsia="es-ES"/>
        </w:rPr>
        <w:t xml:space="preserve">), ni dejar de pronunciarse sobre algo que sí fue pedido (citra </w:t>
      </w:r>
      <w:proofErr w:type="spellStart"/>
      <w:r w:rsidRPr="00FF57F9">
        <w:rPr>
          <w:rFonts w:ascii="Times New Roman" w:eastAsia="Times New Roman" w:hAnsi="Times New Roman" w:cs="Times New Roman"/>
          <w:sz w:val="24"/>
          <w:szCs w:val="24"/>
          <w:lang w:eastAsia="es-ES"/>
        </w:rPr>
        <w:t>petita</w:t>
      </w:r>
      <w:proofErr w:type="spellEnd"/>
      <w:r w:rsidRPr="00FF57F9">
        <w:rPr>
          <w:rFonts w:ascii="Times New Roman" w:eastAsia="Times New Roman" w:hAnsi="Times New Roman" w:cs="Times New Roman"/>
          <w:sz w:val="24"/>
          <w:szCs w:val="24"/>
          <w:lang w:eastAsia="es-ES"/>
        </w:rPr>
        <w:t xml:space="preserve">), ni conceder algo distinto de lo pedido (extra </w:t>
      </w:r>
      <w:proofErr w:type="spellStart"/>
      <w:r w:rsidRPr="00FF57F9">
        <w:rPr>
          <w:rFonts w:ascii="Times New Roman" w:eastAsia="Times New Roman" w:hAnsi="Times New Roman" w:cs="Times New Roman"/>
          <w:sz w:val="24"/>
          <w:szCs w:val="24"/>
          <w:lang w:eastAsia="es-ES"/>
        </w:rPr>
        <w:t>petita</w:t>
      </w:r>
      <w:proofErr w:type="spellEnd"/>
      <w:r w:rsidRPr="00FF57F9">
        <w:rPr>
          <w:rFonts w:ascii="Times New Roman" w:eastAsia="Times New Roman" w:hAnsi="Times New Roman" w:cs="Times New Roman"/>
          <w:sz w:val="24"/>
          <w:szCs w:val="24"/>
          <w:lang w:eastAsia="es-ES"/>
        </w:rPr>
        <w:t>).</w:t>
      </w:r>
    </w:p>
    <w:p w14:paraId="3BEF6E2C"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Ahora bien, el propio artículo 33.2 introduce una matización relevante: la congruencia se predica también respecto de "los nuevos aspectos apreciados por el tribunal, en su caso". Esta expresión nos remite a la posibilidad, ya analizada en lecciones anteriores, de que el tribunal se pronuncie sobre vulneraciones no alegadas inicialmente pero íntimamente relacionadas con el objeto del proceso. El artículo 33.3 desarrolla esta idea: "el tribunal puede pronunciarse sobre otras vulneraciones de derechos constitucionales en las que haya incurrido el demandado, íntimamente relacionadas con el objeto del proceso y apreciadas durante su sustanciación".</w:t>
      </w:r>
    </w:p>
    <w:p w14:paraId="6B626A25" w14:textId="51136669"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Esta facultad, debe ser ejercida con prudencia. No se trata de que el tribunal supla la actividad de las partes, sino de que, a la vista de lo actuado, pueda ampliar el marco de protección cuando advierta vulneraciones conexas que no fueron expresamente denunciadas. Es una manifestación del principio de oficialidad atenuada que, como vimos, caracteriza a los procesos en los que están en juego derechos indisponibles.</w:t>
      </w:r>
    </w:p>
    <w:p w14:paraId="398EF751"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El </w:t>
      </w:r>
      <w:r w:rsidRPr="00FF57F9">
        <w:rPr>
          <w:rFonts w:ascii="Times New Roman" w:eastAsia="Times New Roman" w:hAnsi="Times New Roman" w:cs="Times New Roman"/>
          <w:b/>
          <w:bCs/>
          <w:sz w:val="24"/>
          <w:szCs w:val="24"/>
          <w:lang w:eastAsia="es-ES"/>
        </w:rPr>
        <w:t>plazo</w:t>
      </w:r>
      <w:r w:rsidRPr="00FF57F9">
        <w:rPr>
          <w:rFonts w:ascii="Times New Roman" w:eastAsia="Times New Roman" w:hAnsi="Times New Roman" w:cs="Times New Roman"/>
          <w:sz w:val="24"/>
          <w:szCs w:val="24"/>
          <w:lang w:eastAsia="es-ES"/>
        </w:rPr>
        <w:t xml:space="preserve"> para dictar sentencia es de diez días siguientes a la declaración de concluso el proceso (art. 33.1). Esta previsión refleja una vez más el carácter preferente y expedito que debe caracterizar al amparo. La brevedad de este plazo contrasta con los plazos más amplios previstos en otros procesos (veinte días en el ordinario del Código de Procesos, por ejemplo). Esta diferencia no es arbitraria: responde a la naturaleza del bien jurídico protegido. Cuando están en juego derechos fundamentales, la justicia no puede permitirse demoras innecesarias.</w:t>
      </w:r>
    </w:p>
    <w:p w14:paraId="3CB2AB3A" w14:textId="77777777" w:rsidR="00FF57F9" w:rsidRPr="00FF57F9" w:rsidRDefault="00FF57F9" w:rsidP="002F1542">
      <w:pPr>
        <w:spacing w:before="120" w:after="120"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2.3. El contenido sustancial: de la constatación de la vulneración a la reparación</w:t>
      </w:r>
    </w:p>
    <w:p w14:paraId="2D5FB0E1"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33.3, en su parte inicial, establece: "Para disponer la reparación del daño o perjuicio causado, el tribunal atiende, concretamente, a lo solicitado". Esta disposición vincula la sentencia a la pretensión formulada en la demanda, en línea con el principio dispositivo que rige en este aspecto.</w:t>
      </w:r>
    </w:p>
    <w:p w14:paraId="4B11754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Recordemos que el artículo 24.1.e exigía que la demanda contuviera "la pretensión concreta que se deduzca encaminada a lograr la restitución del derecho constitucional vulnerado, y obtener la reparación de los daños o la indemnización de los perjuicios resultantes de la violación". Pues bien, la sentencia debe dar respuesta a esa pretensión, estimándola total o parcialmente, o desestimándola.</w:t>
      </w:r>
    </w:p>
    <w:p w14:paraId="77CD71A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 ley distingue entre </w:t>
      </w:r>
      <w:r w:rsidRPr="00FF57F9">
        <w:rPr>
          <w:rFonts w:ascii="Times New Roman" w:eastAsia="Times New Roman" w:hAnsi="Times New Roman" w:cs="Times New Roman"/>
          <w:b/>
          <w:bCs/>
          <w:sz w:val="24"/>
          <w:szCs w:val="24"/>
          <w:lang w:eastAsia="es-ES"/>
        </w:rPr>
        <w:t>restitución</w:t>
      </w:r>
      <w:r w:rsidRPr="00FF57F9">
        <w:rPr>
          <w:rFonts w:ascii="Times New Roman" w:eastAsia="Times New Roman" w:hAnsi="Times New Roman" w:cs="Times New Roman"/>
          <w:sz w:val="24"/>
          <w:szCs w:val="24"/>
          <w:lang w:eastAsia="es-ES"/>
        </w:rPr>
        <w:t xml:space="preserve">, </w:t>
      </w:r>
      <w:r w:rsidRPr="00FF57F9">
        <w:rPr>
          <w:rFonts w:ascii="Times New Roman" w:eastAsia="Times New Roman" w:hAnsi="Times New Roman" w:cs="Times New Roman"/>
          <w:b/>
          <w:bCs/>
          <w:sz w:val="24"/>
          <w:szCs w:val="24"/>
          <w:lang w:eastAsia="es-ES"/>
        </w:rPr>
        <w:t>reparación</w:t>
      </w:r>
      <w:r w:rsidRPr="00FF57F9">
        <w:rPr>
          <w:rFonts w:ascii="Times New Roman" w:eastAsia="Times New Roman" w:hAnsi="Times New Roman" w:cs="Times New Roman"/>
          <w:sz w:val="24"/>
          <w:szCs w:val="24"/>
          <w:lang w:eastAsia="es-ES"/>
        </w:rPr>
        <w:t xml:space="preserve"> e </w:t>
      </w:r>
      <w:r w:rsidRPr="00FF57F9">
        <w:rPr>
          <w:rFonts w:ascii="Times New Roman" w:eastAsia="Times New Roman" w:hAnsi="Times New Roman" w:cs="Times New Roman"/>
          <w:b/>
          <w:bCs/>
          <w:sz w:val="24"/>
          <w:szCs w:val="24"/>
          <w:lang w:eastAsia="es-ES"/>
        </w:rPr>
        <w:t>indemnización</w:t>
      </w:r>
      <w:r w:rsidRPr="00FF57F9">
        <w:rPr>
          <w:rFonts w:ascii="Times New Roman" w:eastAsia="Times New Roman" w:hAnsi="Times New Roman" w:cs="Times New Roman"/>
          <w:sz w:val="24"/>
          <w:szCs w:val="24"/>
          <w:lang w:eastAsia="es-ES"/>
        </w:rPr>
        <w:t>. La restitución implica volver las cosas al estado anterior a la vulneración: si se trataba de un acto administrativo lesivo, su anulación; si se trataba de una vía de hecho, su cesación. La reparación se refiere a la compensación de los daños causados, que pueden ser de naturaleza muy diversa. La indemnización, finalmente, tiene un contenido fundamentalmente económico.</w:t>
      </w:r>
    </w:p>
    <w:p w14:paraId="1F8DB803"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En este punto, resulta esencial comprender que la sentencia de amparo no es una sentencia de condena pura, sino que contiene un </w:t>
      </w:r>
      <w:r w:rsidRPr="00FF57F9">
        <w:rPr>
          <w:rFonts w:ascii="Times New Roman" w:eastAsia="Times New Roman" w:hAnsi="Times New Roman" w:cs="Times New Roman"/>
          <w:b/>
          <w:bCs/>
          <w:sz w:val="24"/>
          <w:szCs w:val="24"/>
          <w:lang w:eastAsia="es-ES"/>
        </w:rPr>
        <w:t>elemento declarativo</w:t>
      </w:r>
      <w:r w:rsidRPr="00FF57F9">
        <w:rPr>
          <w:rFonts w:ascii="Times New Roman" w:eastAsia="Times New Roman" w:hAnsi="Times New Roman" w:cs="Times New Roman"/>
          <w:sz w:val="24"/>
          <w:szCs w:val="24"/>
          <w:lang w:eastAsia="es-ES"/>
        </w:rPr>
        <w:t xml:space="preserve"> fundamental: la constatación de la vulneración. Como señala la doctrina, "su consecuencia jurídica específica es la eliminación o expulsión de la norma cuestionada del ordenamiento jurídico" cuando se trata de control normativo, o la declaración de vulneración y la orden de restitución cuando se trata de amparo contra actos.</w:t>
      </w:r>
    </w:p>
    <w:p w14:paraId="1AD90251"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lastRenderedPageBreak/>
        <w:t>La imposición de costas</w:t>
      </w:r>
    </w:p>
    <w:p w14:paraId="123A8BE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33.4 establece: "El tribunal puede imponer las costas procesales a la parte que haya actuado de mala fe o con temeridad". Esta disposición merece una reflexión detenida.</w:t>
      </w:r>
    </w:p>
    <w:p w14:paraId="6B152841"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En el proceso de amparo, la regla general es que cada parte asuma sus costas. Pero el tribunal puede apartarse de esta regla cuando constate una actuación procesal reprochable. La </w:t>
      </w:r>
      <w:r w:rsidRPr="00FF57F9">
        <w:rPr>
          <w:rFonts w:ascii="Times New Roman" w:eastAsia="Times New Roman" w:hAnsi="Times New Roman" w:cs="Times New Roman"/>
          <w:b/>
          <w:bCs/>
          <w:sz w:val="24"/>
          <w:szCs w:val="24"/>
          <w:lang w:eastAsia="es-ES"/>
        </w:rPr>
        <w:t>mala fe</w:t>
      </w:r>
      <w:r w:rsidRPr="00FF57F9">
        <w:rPr>
          <w:rFonts w:ascii="Times New Roman" w:eastAsia="Times New Roman" w:hAnsi="Times New Roman" w:cs="Times New Roman"/>
          <w:sz w:val="24"/>
          <w:szCs w:val="24"/>
          <w:lang w:eastAsia="es-ES"/>
        </w:rPr>
        <w:t xml:space="preserve"> se refiere a la intención deliberada de causar un perjuicio o de obstaculizar el proceso. La </w:t>
      </w:r>
      <w:r w:rsidRPr="00FF57F9">
        <w:rPr>
          <w:rFonts w:ascii="Times New Roman" w:eastAsia="Times New Roman" w:hAnsi="Times New Roman" w:cs="Times New Roman"/>
          <w:b/>
          <w:bCs/>
          <w:sz w:val="24"/>
          <w:szCs w:val="24"/>
          <w:lang w:eastAsia="es-ES"/>
        </w:rPr>
        <w:t>temeridad</w:t>
      </w:r>
      <w:r w:rsidRPr="00FF57F9">
        <w:rPr>
          <w:rFonts w:ascii="Times New Roman" w:eastAsia="Times New Roman" w:hAnsi="Times New Roman" w:cs="Times New Roman"/>
          <w:sz w:val="24"/>
          <w:szCs w:val="24"/>
          <w:lang w:eastAsia="es-ES"/>
        </w:rPr>
        <w:t>, por su parte, alude a la falta de fundamento razonable de la pretensión o de la oposición, a sabiendas de su debilidad.</w:t>
      </w:r>
    </w:p>
    <w:p w14:paraId="25B62693"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 imposición de costas cumple una doble función: de un lado, sanciona conductas procesales indebidas; de otro, desincentiva la utilización abusiva del amparo. No debemos olvidar que el amparo es un proceso valioso y escaso, que no puede ser empleado para fines meramente dilatorios o para litigar cuestiones que carecen de relevancia constitucional.</w:t>
      </w:r>
    </w:p>
    <w:p w14:paraId="57F28AAD" w14:textId="77777777" w:rsidR="00FF57F9" w:rsidRPr="00FF57F9" w:rsidRDefault="00FF57F9" w:rsidP="002F1542">
      <w:pPr>
        <w:spacing w:before="120" w:after="120"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2.4. La construcción de los hechos y la valoración de la prueba en clave constitucional</w:t>
      </w:r>
    </w:p>
    <w:p w14:paraId="0EBEEE4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Si el amparo es esencialmente un juicio estimativo sobre la vulneración de derechos, la valoración de la prueba adquiere una dimensión específica que debemos considerar con atención.</w:t>
      </w:r>
    </w:p>
    <w:p w14:paraId="4DC90FE9" w14:textId="704CBAD6"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No se trata</w:t>
      </w:r>
      <w:proofErr w:type="gramStart"/>
      <w:r w:rsidRPr="00FF57F9">
        <w:rPr>
          <w:rFonts w:ascii="Times New Roman" w:eastAsia="Times New Roman" w:hAnsi="Times New Roman" w:cs="Times New Roman"/>
          <w:sz w:val="24"/>
          <w:szCs w:val="24"/>
          <w:lang w:eastAsia="es-ES"/>
        </w:rPr>
        <w:t>, ,</w:t>
      </w:r>
      <w:proofErr w:type="gramEnd"/>
      <w:r w:rsidRPr="00FF57F9">
        <w:rPr>
          <w:rFonts w:ascii="Times New Roman" w:eastAsia="Times New Roman" w:hAnsi="Times New Roman" w:cs="Times New Roman"/>
          <w:sz w:val="24"/>
          <w:szCs w:val="24"/>
          <w:lang w:eastAsia="es-ES"/>
        </w:rPr>
        <w:t xml:space="preserve"> de cualquier prueba sobre cualquier hecho. Se trata de prueba dirigida a acreditar los hechos que, de ser ciertos, integrarían una lesión del contenido esencial del derecho. Esto tiene implicaciones relevantes:</w:t>
      </w:r>
    </w:p>
    <w:p w14:paraId="357434D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En primer lugar</w:t>
      </w:r>
      <w:r w:rsidRPr="00FF57F9">
        <w:rPr>
          <w:rFonts w:ascii="Times New Roman" w:eastAsia="Times New Roman" w:hAnsi="Times New Roman" w:cs="Times New Roman"/>
          <w:sz w:val="24"/>
          <w:szCs w:val="24"/>
          <w:lang w:eastAsia="es-ES"/>
        </w:rPr>
        <w:t>, la carga de la prueba puede modularse en función de la naturaleza del derecho afectado. Cuando están en juego derechos fundamentales, los tribunales suelen aplicar criterios de flexibilización probatoria, especialmente en casos de discriminación o cuando la información relevante se encuentra en poder exclusivo del demandado. El Tribunal Europeo de Derechos Humanos ha desarrollado una abundante jurisprudencia en esta línea, particularmente en casos de desapariciones forzadas o de tratos contrarios a la dignidad humana.</w:t>
      </w:r>
    </w:p>
    <w:p w14:paraId="461CC63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En segundo lugar</w:t>
      </w:r>
      <w:r w:rsidRPr="00FF57F9">
        <w:rPr>
          <w:rFonts w:ascii="Times New Roman" w:eastAsia="Times New Roman" w:hAnsi="Times New Roman" w:cs="Times New Roman"/>
          <w:sz w:val="24"/>
          <w:szCs w:val="24"/>
          <w:lang w:eastAsia="es-ES"/>
        </w:rPr>
        <w:t>, el estándar de suficiencia probatoria debe ser particularmente riguroso. No basta con una mera probabilidad; se requiere un grado de corroboración que permita al tribunal formar su convicción más allá de toda duda razonable sobre la existencia de la lesión. Como ha señalado el Tribunal Constitucional peruano, los medios probatorios deben estar "debidamente sustentados" y generar "convicción en el juzgador".</w:t>
      </w:r>
    </w:p>
    <w:p w14:paraId="58EE2F0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En tercer lugar</w:t>
      </w:r>
      <w:r w:rsidRPr="00FF57F9">
        <w:rPr>
          <w:rFonts w:ascii="Times New Roman" w:eastAsia="Times New Roman" w:hAnsi="Times New Roman" w:cs="Times New Roman"/>
          <w:sz w:val="24"/>
          <w:szCs w:val="24"/>
          <w:lang w:eastAsia="es-ES"/>
        </w:rPr>
        <w:t>, la valoración de la prueba debe realizarse desde una perspectiva constitucional. Esto significa que el tribunal no puede limitarse a aplicar mecánicamente las reglas de la prueba tasada o incluso las máximas de la experiencia, sino que debe ponderar si, a la luz de los principios constitucionales, los hechos pueden tenerse por acreditados con la suficiente certeza como para declarar la vulneración.</w:t>
      </w:r>
    </w:p>
    <w:p w14:paraId="449039E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maestro Michele Taruffo, uno de los procesalistas más influyentes de las últimas décadas, sostiene que la decisión judicial no puede fundarse en una mera intuición o corazonada, sino que debe ser el resultado de un proceso racional de valoración de las pruebas practicadas. Esta exigencia de racionalidad es particularmente relevante en el amparo, donde la motivación de la sentencia debe explicitar el itinerario lógico seguido por el tribunal para llegar a su conclusión.</w:t>
      </w:r>
    </w:p>
    <w:p w14:paraId="6C0B0D04"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Jordi Ferrer Beltrán, discípulo de Taruffo, ha desarrollado el </w:t>
      </w:r>
      <w:r w:rsidRPr="00FF57F9">
        <w:rPr>
          <w:rFonts w:ascii="Times New Roman" w:eastAsia="Times New Roman" w:hAnsi="Times New Roman" w:cs="Times New Roman"/>
          <w:b/>
          <w:bCs/>
          <w:sz w:val="24"/>
          <w:szCs w:val="24"/>
          <w:lang w:eastAsia="es-ES"/>
        </w:rPr>
        <w:t>test de suficiencia probatoria</w:t>
      </w:r>
      <w:r w:rsidRPr="00FF57F9">
        <w:rPr>
          <w:rFonts w:ascii="Times New Roman" w:eastAsia="Times New Roman" w:hAnsi="Times New Roman" w:cs="Times New Roman"/>
          <w:sz w:val="24"/>
          <w:szCs w:val="24"/>
          <w:lang w:eastAsia="es-ES"/>
        </w:rPr>
        <w:t xml:space="preserve">, según el cual los hechos pueden considerarse probados cuando el conjunto de las pruebas practicadas </w:t>
      </w:r>
      <w:r w:rsidRPr="00FF57F9">
        <w:rPr>
          <w:rFonts w:ascii="Times New Roman" w:eastAsia="Times New Roman" w:hAnsi="Times New Roman" w:cs="Times New Roman"/>
          <w:sz w:val="24"/>
          <w:szCs w:val="24"/>
          <w:lang w:eastAsia="es-ES"/>
        </w:rPr>
        <w:lastRenderedPageBreak/>
        <w:t>permite alcanzar un grado de corroboración que excluya dudas razonables sobre su ocurrencia. En el amparo, este estándar debe ser especialmente riguroso.</w:t>
      </w:r>
    </w:p>
    <w:p w14:paraId="20D6EE07" w14:textId="77777777" w:rsidR="00FF57F9" w:rsidRPr="00FF57F9" w:rsidRDefault="00FF57F9" w:rsidP="002F1542">
      <w:pPr>
        <w:spacing w:before="120" w:after="120" w:line="240" w:lineRule="auto"/>
        <w:jc w:val="both"/>
        <w:outlineLvl w:val="1"/>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3. EFECTOS DE LA SENTENCIA DE AMPARO: COSA JUZGADA, EFECTOS INTER PARTES Y ALCANCE TEMPORAL</w:t>
      </w:r>
    </w:p>
    <w:p w14:paraId="70763A36" w14:textId="77777777" w:rsidR="00FF57F9" w:rsidRPr="00FF57F9" w:rsidRDefault="00FF57F9" w:rsidP="002F1542">
      <w:pPr>
        <w:spacing w:before="120" w:after="120"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3.1. La cosa juzgada en el amparo: particularidades</w:t>
      </w:r>
    </w:p>
    <w:p w14:paraId="02A42840"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35 de la Ley 153/2022 aborda esta cuestión. Su apartado 2 establece: "La sentencia firme que decida sobre el fondo del asunto surte efectos de cosa juzgada en todos los órdenes jurisdiccionales siempre que concurran los requisitos para ello".</w:t>
      </w:r>
    </w:p>
    <w:p w14:paraId="6EA8D1D3"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 </w:t>
      </w:r>
      <w:r w:rsidRPr="00FF57F9">
        <w:rPr>
          <w:rFonts w:ascii="Times New Roman" w:eastAsia="Times New Roman" w:hAnsi="Times New Roman" w:cs="Times New Roman"/>
          <w:b/>
          <w:bCs/>
          <w:sz w:val="24"/>
          <w:szCs w:val="24"/>
          <w:lang w:eastAsia="es-ES"/>
        </w:rPr>
        <w:t>cosa juzgada</w:t>
      </w:r>
      <w:r w:rsidRPr="00FF57F9">
        <w:rPr>
          <w:rFonts w:ascii="Times New Roman" w:eastAsia="Times New Roman" w:hAnsi="Times New Roman" w:cs="Times New Roman"/>
          <w:sz w:val="24"/>
          <w:szCs w:val="24"/>
          <w:lang w:eastAsia="es-ES"/>
        </w:rPr>
        <w:t xml:space="preserve"> es, como ya estudiamos en la Teoría General del Proceso, el efecto en virtud del cual lo decidido en una sentencia firme no puede ser nuevamente discutido en un proceso posterior. Cumple una función esencial de seguridad jurídica: los litigios no pueden prolongarse indefinidamente, y las situaciones jurídicas deben encontrar un punto de estabilidad.</w:t>
      </w:r>
    </w:p>
    <w:p w14:paraId="5D867CCC"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En el amparo, la cosa juzgada opera con particular intensidad. Si la sentencia es estimatoria, declara que efectivamente se ha producido una vulneración constitucional y ordena las medidas para repararla. Si es desestimatoria, declara que no hubo tal vulneración. En ambos casos, la cuestión queda definitivamente zanjada.</w:t>
      </w:r>
    </w:p>
    <w:p w14:paraId="0B6E734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Ahora bien, el artículo 35.1 introduce una precisión importante: "La sentencia dictada en este proceso solo surte efectos con relación a las partes y al caso concreto enjuiciado". Estamos ante los denominados </w:t>
      </w:r>
      <w:r w:rsidRPr="00FF57F9">
        <w:rPr>
          <w:rFonts w:ascii="Times New Roman" w:eastAsia="Times New Roman" w:hAnsi="Times New Roman" w:cs="Times New Roman"/>
          <w:b/>
          <w:bCs/>
          <w:sz w:val="24"/>
          <w:szCs w:val="24"/>
          <w:lang w:eastAsia="es-ES"/>
        </w:rPr>
        <w:t>efectos inter partes</w:t>
      </w:r>
      <w:r w:rsidRPr="00FF57F9">
        <w:rPr>
          <w:rFonts w:ascii="Times New Roman" w:eastAsia="Times New Roman" w:hAnsi="Times New Roman" w:cs="Times New Roman"/>
          <w:sz w:val="24"/>
          <w:szCs w:val="24"/>
          <w:lang w:eastAsia="es-ES"/>
        </w:rPr>
        <w:t>. La sentencia de amparo no tiene, como regla general, efectos erga omnes. No declara la inconstitucionalidad de una norma con efectos generales (eso corresponde a otro tipo de procesos), sino que resuelve un caso concreto.</w:t>
      </w:r>
    </w:p>
    <w:p w14:paraId="274A3EF8"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Esta característica diferencia al amparo de otros procesos constitucionales, como el control abstracto de constitucionalidad. El amparo protege derechos subjetivos, no la constitucionalidad objetiva del ordenamiento. Ahora bien, como señala la doctrina, las sentencias de amparo, especialmente las del Tribunal Supremo, pueden tener un efecto orientador para futuros casos, aunque no sean formalmente vinculantes.</w:t>
      </w:r>
    </w:p>
    <w:p w14:paraId="665E7C72" w14:textId="77777777" w:rsidR="00FF57F9" w:rsidRPr="00FF57F9" w:rsidRDefault="00FF57F9" w:rsidP="002F1542">
      <w:pPr>
        <w:spacing w:before="120" w:after="120"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3.2. Efectos estimatorios y desestimatorios</w:t>
      </w:r>
    </w:p>
    <w:p w14:paraId="51D8FEC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 doctrina procesal constitucional ha elaborado una distinción fundamental entre dos tipos de sentencias, que resulta de particular aplicación al amparo:</w:t>
      </w:r>
    </w:p>
    <w:p w14:paraId="0CB2D83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Las </w:t>
      </w:r>
      <w:r w:rsidRPr="00FF57F9">
        <w:rPr>
          <w:rFonts w:ascii="Times New Roman" w:eastAsia="Times New Roman" w:hAnsi="Times New Roman" w:cs="Times New Roman"/>
          <w:b/>
          <w:bCs/>
          <w:sz w:val="24"/>
          <w:szCs w:val="24"/>
          <w:lang w:eastAsia="es-ES"/>
        </w:rPr>
        <w:t>sentencias estimatorias</w:t>
      </w:r>
      <w:r w:rsidRPr="00FF57F9">
        <w:rPr>
          <w:rFonts w:ascii="Times New Roman" w:eastAsia="Times New Roman" w:hAnsi="Times New Roman" w:cs="Times New Roman"/>
          <w:sz w:val="24"/>
          <w:szCs w:val="24"/>
          <w:lang w:eastAsia="es-ES"/>
        </w:rPr>
        <w:t xml:space="preserve"> son aquellas que declaran fundada la pretensión. En el ámbito del amparo, esto significa que el tribunal constata la existencia de la vulneración alegada y, en consecuencia, dispone las medidas necesarias para repararla.</w:t>
      </w:r>
    </w:p>
    <w:p w14:paraId="441D40C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Las </w:t>
      </w:r>
      <w:r w:rsidRPr="00FF57F9">
        <w:rPr>
          <w:rFonts w:ascii="Times New Roman" w:eastAsia="Times New Roman" w:hAnsi="Times New Roman" w:cs="Times New Roman"/>
          <w:b/>
          <w:bCs/>
          <w:sz w:val="24"/>
          <w:szCs w:val="24"/>
          <w:lang w:eastAsia="es-ES"/>
        </w:rPr>
        <w:t>sentencias desestimatorias</w:t>
      </w:r>
      <w:r w:rsidRPr="00FF57F9">
        <w:rPr>
          <w:rFonts w:ascii="Times New Roman" w:eastAsia="Times New Roman" w:hAnsi="Times New Roman" w:cs="Times New Roman"/>
          <w:sz w:val="24"/>
          <w:szCs w:val="24"/>
          <w:lang w:eastAsia="es-ES"/>
        </w:rPr>
        <w:t>, por el contrario, declaran infundada la demanda. Esto no significa necesariamente que no haya existido lesión, sino que, a juicio del tribunal, la lesión no alcanza la entidad suficiente para considerar vulnerado el contenido esencial del derecho, o bien que los hechos no han quedado suficientemente acreditados, o que la conducta imputada no es constitucionalmente reprochable.</w:t>
      </w:r>
    </w:p>
    <w:p w14:paraId="314AA567"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Ahora bien, conviene que tengamos presente una precisión importante. Las sentencias desestimatorias en amparo no producen, en rigor, efecto de cosa juzgada material en todos los órdenes jurisdiccionales. Como se ha señalado en la doctrina comparada, "esos fallos no tienen cosa juzgada frente a la jurisdicción contencioso administrativa, pero sí producen un efecto de </w:t>
      </w:r>
      <w:proofErr w:type="spellStart"/>
      <w:r w:rsidRPr="00FF57F9">
        <w:rPr>
          <w:rFonts w:ascii="Times New Roman" w:eastAsia="Times New Roman" w:hAnsi="Times New Roman" w:cs="Times New Roman"/>
          <w:sz w:val="24"/>
          <w:szCs w:val="24"/>
          <w:lang w:eastAsia="es-ES"/>
        </w:rPr>
        <w:lastRenderedPageBreak/>
        <w:t>vinculariedad</w:t>
      </w:r>
      <w:proofErr w:type="spellEnd"/>
      <w:r w:rsidRPr="00FF57F9">
        <w:rPr>
          <w:rFonts w:ascii="Times New Roman" w:eastAsia="Times New Roman" w:hAnsi="Times New Roman" w:cs="Times New Roman"/>
          <w:sz w:val="24"/>
          <w:szCs w:val="24"/>
          <w:lang w:eastAsia="es-ES"/>
        </w:rPr>
        <w:t xml:space="preserve"> erga omnes en tanto emitan pronunciamiento sobre la interpretación del Derecho de la Constitución". Esto significa que, aunque el mismo demandante no pueda volver a plantear la misma pretensión de amparo, la interpretación constitucional que contienen sí vincula a otros órganos judiciales.</w:t>
      </w:r>
    </w:p>
    <w:p w14:paraId="17B8201C" w14:textId="77777777" w:rsidR="00FF57F9" w:rsidRPr="00FF57F9" w:rsidRDefault="00FF57F9" w:rsidP="002F1542">
      <w:pPr>
        <w:spacing w:before="120" w:after="120"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3.3. La firmeza y la ejecución provisional</w:t>
      </w:r>
    </w:p>
    <w:p w14:paraId="0DB494C9"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El artículo 35.2 exige, para que se produzca la cosa juzgada, que la sentencia sea </w:t>
      </w:r>
      <w:r w:rsidRPr="00FF57F9">
        <w:rPr>
          <w:rFonts w:ascii="Times New Roman" w:eastAsia="Times New Roman" w:hAnsi="Times New Roman" w:cs="Times New Roman"/>
          <w:b/>
          <w:bCs/>
          <w:sz w:val="24"/>
          <w:szCs w:val="24"/>
          <w:lang w:eastAsia="es-ES"/>
        </w:rPr>
        <w:t>firme</w:t>
      </w:r>
      <w:r w:rsidRPr="00FF57F9">
        <w:rPr>
          <w:rFonts w:ascii="Times New Roman" w:eastAsia="Times New Roman" w:hAnsi="Times New Roman" w:cs="Times New Roman"/>
          <w:sz w:val="24"/>
          <w:szCs w:val="24"/>
          <w:lang w:eastAsia="es-ES"/>
        </w:rPr>
        <w:t>. ¿Cuándo adquiere firmeza una sentencia de amparo?</w:t>
      </w:r>
    </w:p>
    <w:p w14:paraId="63BCA8D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 respuesta depende de si se interponen o no recursos. Si ninguna de las partes recurre dentro del plazo legal, la sentencia adquiere firmeza por consentimiento. Si se interpone recurso de apelación, la sentencia de primera instancia no es firme; la firmeza se producirá, en su caso, con la sentencia de segunda instancia, siempre que contra ella no quepa recurso ordinario.</w:t>
      </w:r>
    </w:p>
    <w:p w14:paraId="57A6981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34 regula una cuestión de enorme importancia práctica: el momento a partir del cual debe cumplirse la sentencia.</w:t>
      </w:r>
    </w:p>
    <w:p w14:paraId="2D26D0C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apartado 1 establece: "La sentencia es de inmediato cumplimiento, sin perjuicio del recurso que pueda establecerse en su contra, salvo cuando la ejecución anticipada de la decisión pueda causar un perjuicio imposible de revertir si esta llegara a revocarse".</w:t>
      </w:r>
    </w:p>
    <w:p w14:paraId="452525C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Esta disposición consagra el principio de </w:t>
      </w:r>
      <w:r w:rsidRPr="00FF57F9">
        <w:rPr>
          <w:rFonts w:ascii="Times New Roman" w:eastAsia="Times New Roman" w:hAnsi="Times New Roman" w:cs="Times New Roman"/>
          <w:b/>
          <w:bCs/>
          <w:sz w:val="24"/>
          <w:szCs w:val="24"/>
          <w:lang w:eastAsia="es-ES"/>
        </w:rPr>
        <w:t>ejecución inmediata</w:t>
      </w:r>
      <w:r w:rsidRPr="00FF57F9">
        <w:rPr>
          <w:rFonts w:ascii="Times New Roman" w:eastAsia="Times New Roman" w:hAnsi="Times New Roman" w:cs="Times New Roman"/>
          <w:sz w:val="24"/>
          <w:szCs w:val="24"/>
          <w:lang w:eastAsia="es-ES"/>
        </w:rPr>
        <w:t xml:space="preserve"> o </w:t>
      </w:r>
      <w:r w:rsidRPr="00FF57F9">
        <w:rPr>
          <w:rFonts w:ascii="Times New Roman" w:eastAsia="Times New Roman" w:hAnsi="Times New Roman" w:cs="Times New Roman"/>
          <w:b/>
          <w:bCs/>
          <w:sz w:val="24"/>
          <w:szCs w:val="24"/>
          <w:lang w:eastAsia="es-ES"/>
        </w:rPr>
        <w:t>provisional</w:t>
      </w:r>
      <w:r w:rsidRPr="00FF57F9">
        <w:rPr>
          <w:rFonts w:ascii="Times New Roman" w:eastAsia="Times New Roman" w:hAnsi="Times New Roman" w:cs="Times New Roman"/>
          <w:sz w:val="24"/>
          <w:szCs w:val="24"/>
          <w:lang w:eastAsia="es-ES"/>
        </w:rPr>
        <w:t>. La interposición de un recurso no suspende, como regla general, la ejecución de la sentencia. ¿Por qué? Porque si la sentencia ha reconocido un derecho constitucional, no sería coherente que su eficacia quedara suspendida durante todo el tiempo que dure la tramitación del recurso. La tutela efectiva exige que la decisión se cumpla cuanto antes.</w:t>
      </w:r>
    </w:p>
    <w:p w14:paraId="3D2662C9"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Ahora bien, el propio artículo 34.1 introduce una excepción: cuando la ejecución anticipada pueda causar un perjuicio imposible de revertir si la sentencia llegara a revocarse. En estos casos, se permite que el tribunal de segunda instancia decida sobre la suspensión.</w:t>
      </w:r>
    </w:p>
    <w:p w14:paraId="04A894A9"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34.2 precisa: "La suspensión de la ejecución se decide por el tribunal de segunda instancia". Es decir, no es el tribunal que dictó la sentencia quien decide sobre la suspensión, sino el que va a conocer del recurso. Esta regla busca garantizar la imparcialidad en la decisión.</w:t>
      </w:r>
    </w:p>
    <w:p w14:paraId="525BD07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Finalmente, el artículo 34.3 prevé una situación procesal particular: "Si, en el momento de interponerse el recurso, el proceso se encuentra en el trámite de ejecución, el tribunal de primera instancia forma un cuaderno separado para continuarla". Esto significa que la ejecución y el recurso pueden tramitarse en paralelo, sin que uno paralice al otro, salvo que se haya acordado la suspensión.</w:t>
      </w:r>
    </w:p>
    <w:p w14:paraId="4AAF7EC3" w14:textId="77777777" w:rsidR="00FF57F9" w:rsidRPr="00FF57F9" w:rsidRDefault="00FF57F9" w:rsidP="002F1542">
      <w:pPr>
        <w:spacing w:before="120" w:after="120" w:line="240" w:lineRule="auto"/>
        <w:jc w:val="both"/>
        <w:outlineLvl w:val="1"/>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4. EJECUCIÓN DE LA SENTENCIA: PRINCIPIOS, PROCEDIMIENTO Y MEDIDAS PARA ASEGURAR EL CUMPLIMIENTO</w:t>
      </w:r>
    </w:p>
    <w:p w14:paraId="499EE92A" w14:textId="4E6BBD3C" w:rsidR="00FF57F9" w:rsidRPr="00FF57F9" w:rsidRDefault="009A4B02" w:rsidP="002F1542">
      <w:pPr>
        <w:spacing w:before="120" w:after="12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U</w:t>
      </w:r>
      <w:r w:rsidR="00FF57F9" w:rsidRPr="00FF57F9">
        <w:rPr>
          <w:rFonts w:ascii="Times New Roman" w:eastAsia="Times New Roman" w:hAnsi="Times New Roman" w:cs="Times New Roman"/>
          <w:sz w:val="24"/>
          <w:szCs w:val="24"/>
          <w:lang w:eastAsia="es-ES"/>
        </w:rPr>
        <w:t>na sentencia que no se ejecuta es una sentencia inútil. De nada sirve que el tribunal haya reconocido un derecho si luego no existen mecanismos para hacerlo efectivo frente a la resistencia del condenado. Por eso, la Ley 153/2022 dedica su Sección Séptima a regular la ejecución de las sentencias de amparo.</w:t>
      </w:r>
    </w:p>
    <w:p w14:paraId="7063C06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Principios rectores de la ejecución</w:t>
      </w:r>
    </w:p>
    <w:p w14:paraId="3DDA2370"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lastRenderedPageBreak/>
        <w:t>El artículo 42 establece: "Las resoluciones judiciales definitivas adoptadas en el proceso de amparo son de cumplimiento inmediato y obligatorio por todos los implicados, y se ejecutan por el tribunal de primera instancia en las actuaciones en que recayeron".</w:t>
      </w:r>
    </w:p>
    <w:p w14:paraId="748E53A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De este precepto se derivan varios principios esenciales:</w:t>
      </w:r>
    </w:p>
    <w:p w14:paraId="132D2BC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Obligatoriedad</w:t>
      </w:r>
      <w:r w:rsidRPr="00FF57F9">
        <w:rPr>
          <w:rFonts w:ascii="Times New Roman" w:eastAsia="Times New Roman" w:hAnsi="Times New Roman" w:cs="Times New Roman"/>
          <w:sz w:val="24"/>
          <w:szCs w:val="24"/>
          <w:lang w:eastAsia="es-ES"/>
        </w:rPr>
        <w:t>: La sentencia debe ser cumplida por todos los implicados, sin excusas ni dilaciones. El mandato judicial no es una sugerencia ni una recomendación; es una orden que debe ser acatada.</w:t>
      </w:r>
    </w:p>
    <w:p w14:paraId="46F63F6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Inmediatez</w:t>
      </w:r>
      <w:r w:rsidRPr="00FF57F9">
        <w:rPr>
          <w:rFonts w:ascii="Times New Roman" w:eastAsia="Times New Roman" w:hAnsi="Times New Roman" w:cs="Times New Roman"/>
          <w:sz w:val="24"/>
          <w:szCs w:val="24"/>
          <w:lang w:eastAsia="es-ES"/>
        </w:rPr>
        <w:t>: El cumplimiento no puede demorarse. Desde que la sentencia es firme (o incluso antes, si se trata de ejecución provisional), el condenado debe proceder a su cumplimiento.</w:t>
      </w:r>
    </w:p>
    <w:p w14:paraId="6FEB036B"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Competencia</w:t>
      </w:r>
      <w:r w:rsidRPr="00FF57F9">
        <w:rPr>
          <w:rFonts w:ascii="Times New Roman" w:eastAsia="Times New Roman" w:hAnsi="Times New Roman" w:cs="Times New Roman"/>
          <w:sz w:val="24"/>
          <w:szCs w:val="24"/>
          <w:lang w:eastAsia="es-ES"/>
        </w:rPr>
        <w:t>: La ejecución corresponde al tribunal de primera instancia, que es quien mejor conoce el proceso y las circunstancias del caso.</w:t>
      </w:r>
    </w:p>
    <w:p w14:paraId="25EF182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El procedimiento de ejecución</w:t>
      </w:r>
    </w:p>
    <w:p w14:paraId="607D985B"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 ley no establece un procedimiento detallado para la ejecución, por lo que debemos acudir, con carácter supletorio, al Código de Procesos (artículo 4). Los artículos 454 y siguientes de la Ley 141/2021 regulan la ejecución de resoluciones judiciales, y son de aplicación en lo que no se oponga a la naturaleza especial del amparo.</w:t>
      </w:r>
    </w:p>
    <w:p w14:paraId="4D4ACA40"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43 de la Ley 153/2022 establece: "Una vez dictada la resolución judicial definitiva, el tribunal libra los mandamientos que correspondan para la ejecución de lo decidido, a cuyo efecto puede disponer las medidas de conminación previstas en el Código de Procesos".</w:t>
      </w:r>
    </w:p>
    <w:p w14:paraId="493DE85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Las </w:t>
      </w:r>
      <w:r w:rsidRPr="00FF57F9">
        <w:rPr>
          <w:rFonts w:ascii="Times New Roman" w:eastAsia="Times New Roman" w:hAnsi="Times New Roman" w:cs="Times New Roman"/>
          <w:b/>
          <w:bCs/>
          <w:sz w:val="24"/>
          <w:szCs w:val="24"/>
          <w:lang w:eastAsia="es-ES"/>
        </w:rPr>
        <w:t>medidas de conminación</w:t>
      </w:r>
      <w:r w:rsidRPr="00FF57F9">
        <w:rPr>
          <w:rFonts w:ascii="Times New Roman" w:eastAsia="Times New Roman" w:hAnsi="Times New Roman" w:cs="Times New Roman"/>
          <w:sz w:val="24"/>
          <w:szCs w:val="24"/>
          <w:lang w:eastAsia="es-ES"/>
        </w:rPr>
        <w:t xml:space="preserve"> son instrumentos coercitivos destinados a vencer la resistencia del condenado. El Código de Procesos regula, en sus artículos 469 a 472, dos tipos de conminaciones: económicas y personales.</w:t>
      </w:r>
    </w:p>
    <w:p w14:paraId="6708464C"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Las </w:t>
      </w:r>
      <w:r w:rsidRPr="00FF57F9">
        <w:rPr>
          <w:rFonts w:ascii="Times New Roman" w:eastAsia="Times New Roman" w:hAnsi="Times New Roman" w:cs="Times New Roman"/>
          <w:b/>
          <w:bCs/>
          <w:sz w:val="24"/>
          <w:szCs w:val="24"/>
          <w:lang w:eastAsia="es-ES"/>
        </w:rPr>
        <w:t>conminaciones económicas</w:t>
      </w:r>
      <w:r w:rsidRPr="00FF57F9">
        <w:rPr>
          <w:rFonts w:ascii="Times New Roman" w:eastAsia="Times New Roman" w:hAnsi="Times New Roman" w:cs="Times New Roman"/>
          <w:sz w:val="24"/>
          <w:szCs w:val="24"/>
          <w:lang w:eastAsia="es-ES"/>
        </w:rPr>
        <w:t xml:space="preserve"> consisten en una cantidad de dinero que el condenado debe pagar por cada día de demora en el cumplimiento. Su importe se fija por el tribunal teniendo en cuenta el monto o la naturaleza del asunto y las posibilidades económicas del obligado. Este dinero ingresa al presupuesto del Estado.</w:t>
      </w:r>
    </w:p>
    <w:p w14:paraId="437DBDE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Las </w:t>
      </w:r>
      <w:r w:rsidRPr="00FF57F9">
        <w:rPr>
          <w:rFonts w:ascii="Times New Roman" w:eastAsia="Times New Roman" w:hAnsi="Times New Roman" w:cs="Times New Roman"/>
          <w:b/>
          <w:bCs/>
          <w:sz w:val="24"/>
          <w:szCs w:val="24"/>
          <w:lang w:eastAsia="es-ES"/>
        </w:rPr>
        <w:t>conminaciones personales</w:t>
      </w:r>
      <w:r w:rsidRPr="00FF57F9">
        <w:rPr>
          <w:rFonts w:ascii="Times New Roman" w:eastAsia="Times New Roman" w:hAnsi="Times New Roman" w:cs="Times New Roman"/>
          <w:sz w:val="24"/>
          <w:szCs w:val="24"/>
          <w:lang w:eastAsia="es-ES"/>
        </w:rPr>
        <w:t xml:space="preserve"> pueden incluir el arresto del obligado o la entrada forzosa en inmuebles. El artículo 471 del Código de Procesos regula estas medidas con detalle, estableciendo las garantías que deben observarse para su aplicación.</w:t>
      </w:r>
    </w:p>
    <w:p w14:paraId="49EA4CA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El auxilio de otras autoridades</w:t>
      </w:r>
    </w:p>
    <w:p w14:paraId="3C8AD24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44 de la Ley 153/2022 dispone: "Con independencia de las vías de ejecución a que se hace referencia en el artículo precedente, en los casos que lo requieran, el tribunal puede remitir comunicaciones a los órganos del Estado y a otras instituciones u organizaciones, y requerirles el auxilio pertinente para lograr el cumplimiento de lo dispuesto".</w:t>
      </w:r>
    </w:p>
    <w:p w14:paraId="34B17EB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Esta previsión es especialmente relevante cuando el condenado es un órgano del Estado. La ejecución de sentencias contra la Administración presenta particularidades que han sido ampliamente estudiadas por la doctrina. No se trata solo de vencer una resistencia, sino de asegurar que el aparato estatal actúe conforme a lo ordenado por el tribunal.</w:t>
      </w:r>
    </w:p>
    <w:p w14:paraId="1857815C"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auxilio de otras autoridades puede manifestarse de diversas formas: desde la colaboración de la fuerza pública para hacer efectiva una entrada en inmueble, hasta la intervención de órganos superiores para que dispongan lo necesario para el cumplimiento.</w:t>
      </w:r>
    </w:p>
    <w:p w14:paraId="700A6D74"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lastRenderedPageBreak/>
        <w:t>Ejecución contra entidades estatales</w:t>
      </w:r>
    </w:p>
    <w:p w14:paraId="5B15DC79"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Cuando la sentencia condena a un órgano u organismo del Estado, el artículo 460 del Código de Procesos (aplicable supletoriamente) establece un procedimiento específico: "Las sentencias u otras resoluciones que condenen a los órganos u organismos del Estado, se ejecutan mediante requerimiento al condenado para que cumpla en el plazo de treinta días con cargo a los fondos correspondientes. Si se trata de una obligación pecuniaria y carece de fondos, se le conmina a que los incluya en su propuesta presupuestaria, lo que debe acreditar ante el órgano judicial".</w:t>
      </w:r>
    </w:p>
    <w:p w14:paraId="70B7E5F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Esta disposición reconoce la realidad de que los entes públicos están sujetos a restricciones presupuestarias, pero no por ello quedan eximidos de cumplir las sentencias. La solución es flexible pero firme: si hay fondos, se pagan; si no los hay, deben preverse en el próximo presupuesto.</w:t>
      </w:r>
    </w:p>
    <w:p w14:paraId="59FF51E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Ejecución de obligaciones de dar, hacer o no hacer</w:t>
      </w:r>
    </w:p>
    <w:p w14:paraId="32F53AD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Código de Procesos regula con detalle la ejecución según el tipo de obligación:</w:t>
      </w:r>
    </w:p>
    <w:p w14:paraId="04DE5D77" w14:textId="77777777" w:rsidR="00FF57F9" w:rsidRPr="00FF57F9" w:rsidRDefault="00FF57F9" w:rsidP="002F1542">
      <w:pPr>
        <w:numPr>
          <w:ilvl w:val="0"/>
          <w:numId w:val="2"/>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Si la condena consiste en la </w:t>
      </w:r>
      <w:r w:rsidRPr="00FF57F9">
        <w:rPr>
          <w:rFonts w:ascii="Times New Roman" w:eastAsia="Times New Roman" w:hAnsi="Times New Roman" w:cs="Times New Roman"/>
          <w:b/>
          <w:bCs/>
          <w:sz w:val="24"/>
          <w:szCs w:val="24"/>
          <w:lang w:eastAsia="es-ES"/>
        </w:rPr>
        <w:t>entrega de un bien</w:t>
      </w:r>
      <w:r w:rsidRPr="00FF57F9">
        <w:rPr>
          <w:rFonts w:ascii="Times New Roman" w:eastAsia="Times New Roman" w:hAnsi="Times New Roman" w:cs="Times New Roman"/>
          <w:sz w:val="24"/>
          <w:szCs w:val="24"/>
          <w:lang w:eastAsia="es-ES"/>
        </w:rPr>
        <w:t>, el tribunal requiere al condenado para que lo entregue, pudiendo utilizar el auxilio de la fuerza pública si es necesario (art. 462).</w:t>
      </w:r>
    </w:p>
    <w:p w14:paraId="61B4432B" w14:textId="77777777" w:rsidR="00FF57F9" w:rsidRPr="00FF57F9" w:rsidRDefault="00FF57F9" w:rsidP="002F1542">
      <w:pPr>
        <w:numPr>
          <w:ilvl w:val="0"/>
          <w:numId w:val="2"/>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Si la condena consiste en una </w:t>
      </w:r>
      <w:r w:rsidRPr="00FF57F9">
        <w:rPr>
          <w:rFonts w:ascii="Times New Roman" w:eastAsia="Times New Roman" w:hAnsi="Times New Roman" w:cs="Times New Roman"/>
          <w:b/>
          <w:bCs/>
          <w:sz w:val="24"/>
          <w:szCs w:val="24"/>
          <w:lang w:eastAsia="es-ES"/>
        </w:rPr>
        <w:t>obligación de hacer</w:t>
      </w:r>
      <w:r w:rsidRPr="00FF57F9">
        <w:rPr>
          <w:rFonts w:ascii="Times New Roman" w:eastAsia="Times New Roman" w:hAnsi="Times New Roman" w:cs="Times New Roman"/>
          <w:sz w:val="24"/>
          <w:szCs w:val="24"/>
          <w:lang w:eastAsia="es-ES"/>
        </w:rPr>
        <w:t>, el tribunal puede imponer conminaciones económicas, autorizar que un tercero realice la prestación a costa del condenado, o incluso, si se trata de otorgar escritura pública, el presidente del tribunal puede intervenir en el otorgamiento en sustitución del condenado (art. 463).</w:t>
      </w:r>
    </w:p>
    <w:p w14:paraId="5B81B783" w14:textId="77777777" w:rsidR="00FF57F9" w:rsidRPr="00FF57F9" w:rsidRDefault="00FF57F9" w:rsidP="002F1542">
      <w:pPr>
        <w:numPr>
          <w:ilvl w:val="0"/>
          <w:numId w:val="2"/>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Si la condena consiste en una </w:t>
      </w:r>
      <w:r w:rsidRPr="00FF57F9">
        <w:rPr>
          <w:rFonts w:ascii="Times New Roman" w:eastAsia="Times New Roman" w:hAnsi="Times New Roman" w:cs="Times New Roman"/>
          <w:b/>
          <w:bCs/>
          <w:sz w:val="24"/>
          <w:szCs w:val="24"/>
          <w:lang w:eastAsia="es-ES"/>
        </w:rPr>
        <w:t>obligación de no hacer</w:t>
      </w:r>
      <w:r w:rsidRPr="00FF57F9">
        <w:rPr>
          <w:rFonts w:ascii="Times New Roman" w:eastAsia="Times New Roman" w:hAnsi="Times New Roman" w:cs="Times New Roman"/>
          <w:sz w:val="24"/>
          <w:szCs w:val="24"/>
          <w:lang w:eastAsia="es-ES"/>
        </w:rPr>
        <w:t>, el tribunal ordena la cesación de la conducta prohibida y, si es necesario, la reposición de las cosas al estado anterior a costa del condenado (art. 464).</w:t>
      </w:r>
    </w:p>
    <w:p w14:paraId="1A6A1633" w14:textId="77777777" w:rsidR="00FF57F9" w:rsidRPr="00FF57F9" w:rsidRDefault="00FF57F9" w:rsidP="002F1542">
      <w:pPr>
        <w:numPr>
          <w:ilvl w:val="0"/>
          <w:numId w:val="2"/>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Si resulta </w:t>
      </w:r>
      <w:r w:rsidRPr="00FF57F9">
        <w:rPr>
          <w:rFonts w:ascii="Times New Roman" w:eastAsia="Times New Roman" w:hAnsi="Times New Roman" w:cs="Times New Roman"/>
          <w:b/>
          <w:bCs/>
          <w:sz w:val="24"/>
          <w:szCs w:val="24"/>
          <w:lang w:eastAsia="es-ES"/>
        </w:rPr>
        <w:t>imposible</w:t>
      </w:r>
      <w:r w:rsidRPr="00FF57F9">
        <w:rPr>
          <w:rFonts w:ascii="Times New Roman" w:eastAsia="Times New Roman" w:hAnsi="Times New Roman" w:cs="Times New Roman"/>
          <w:sz w:val="24"/>
          <w:szCs w:val="24"/>
          <w:lang w:eastAsia="es-ES"/>
        </w:rPr>
        <w:t xml:space="preserve"> el cumplimiento en especie, la condena se convierte en el resarcimiento de daños y perjuicios, que se liquidan conforme al procedimiento establecido (art. 465).</w:t>
      </w:r>
    </w:p>
    <w:p w14:paraId="74A7A0E1" w14:textId="77777777" w:rsidR="00FF57F9" w:rsidRPr="00FF57F9" w:rsidRDefault="00FF57F9" w:rsidP="002F1542">
      <w:pPr>
        <w:spacing w:before="120" w:after="120" w:line="240" w:lineRule="auto"/>
        <w:jc w:val="both"/>
        <w:outlineLvl w:val="1"/>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5. MEDIOS DE IMPUGNACIÓN: LOS RECURSOS CONTRA RESOLUCIONES JUDICIALES DE PRIMERA INSTANCIA</w:t>
      </w:r>
    </w:p>
    <w:p w14:paraId="5DD3D1CC" w14:textId="14D19256" w:rsidR="00FF57F9" w:rsidRPr="00FF57F9" w:rsidRDefault="009A4B02" w:rsidP="002F1542">
      <w:pPr>
        <w:spacing w:before="120" w:after="12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U</w:t>
      </w:r>
      <w:r w:rsidR="00FF57F9" w:rsidRPr="00FF57F9">
        <w:rPr>
          <w:rFonts w:ascii="Times New Roman" w:eastAsia="Times New Roman" w:hAnsi="Times New Roman" w:cs="Times New Roman"/>
          <w:sz w:val="24"/>
          <w:szCs w:val="24"/>
          <w:lang w:eastAsia="es-ES"/>
        </w:rPr>
        <w:t xml:space="preserve">na vez dictada la sentencia, las partes pueden no estar conformes con lo resuelto. El ordenamiento procesal, en garantía del derecho a la tutela judicial efectiva, prevé mecanismos para impugnar las resoluciones judiciales. Estos mecanismos reciben el nombre genérico de </w:t>
      </w:r>
      <w:r w:rsidR="00FF57F9" w:rsidRPr="00FF57F9">
        <w:rPr>
          <w:rFonts w:ascii="Times New Roman" w:eastAsia="Times New Roman" w:hAnsi="Times New Roman" w:cs="Times New Roman"/>
          <w:b/>
          <w:bCs/>
          <w:sz w:val="24"/>
          <w:szCs w:val="24"/>
          <w:lang w:eastAsia="es-ES"/>
        </w:rPr>
        <w:t>medios de impugnación</w:t>
      </w:r>
      <w:r w:rsidR="00FF57F9" w:rsidRPr="00FF57F9">
        <w:rPr>
          <w:rFonts w:ascii="Times New Roman" w:eastAsia="Times New Roman" w:hAnsi="Times New Roman" w:cs="Times New Roman"/>
          <w:sz w:val="24"/>
          <w:szCs w:val="24"/>
          <w:lang w:eastAsia="es-ES"/>
        </w:rPr>
        <w:t>.</w:t>
      </w:r>
    </w:p>
    <w:p w14:paraId="222454E8"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 Ley 153/2022 regula dos medios de impugnación específicos: el </w:t>
      </w:r>
      <w:r w:rsidRPr="00FF57F9">
        <w:rPr>
          <w:rFonts w:ascii="Times New Roman" w:eastAsia="Times New Roman" w:hAnsi="Times New Roman" w:cs="Times New Roman"/>
          <w:b/>
          <w:bCs/>
          <w:sz w:val="24"/>
          <w:szCs w:val="24"/>
          <w:lang w:eastAsia="es-ES"/>
        </w:rPr>
        <w:t>recurso de apelación</w:t>
      </w:r>
      <w:r w:rsidRPr="00FF57F9">
        <w:rPr>
          <w:rFonts w:ascii="Times New Roman" w:eastAsia="Times New Roman" w:hAnsi="Times New Roman" w:cs="Times New Roman"/>
          <w:sz w:val="24"/>
          <w:szCs w:val="24"/>
          <w:lang w:eastAsia="es-ES"/>
        </w:rPr>
        <w:t xml:space="preserve"> y el </w:t>
      </w:r>
      <w:r w:rsidRPr="00FF57F9">
        <w:rPr>
          <w:rFonts w:ascii="Times New Roman" w:eastAsia="Times New Roman" w:hAnsi="Times New Roman" w:cs="Times New Roman"/>
          <w:b/>
          <w:bCs/>
          <w:sz w:val="24"/>
          <w:szCs w:val="24"/>
          <w:lang w:eastAsia="es-ES"/>
        </w:rPr>
        <w:t>proceso de revisión</w:t>
      </w:r>
      <w:r w:rsidRPr="00FF57F9">
        <w:rPr>
          <w:rFonts w:ascii="Times New Roman" w:eastAsia="Times New Roman" w:hAnsi="Times New Roman" w:cs="Times New Roman"/>
          <w:sz w:val="24"/>
          <w:szCs w:val="24"/>
          <w:lang w:eastAsia="es-ES"/>
        </w:rPr>
        <w:t xml:space="preserve">. A ellos se añade la posibilidad de interponer </w:t>
      </w:r>
      <w:r w:rsidRPr="00FF57F9">
        <w:rPr>
          <w:rFonts w:ascii="Times New Roman" w:eastAsia="Times New Roman" w:hAnsi="Times New Roman" w:cs="Times New Roman"/>
          <w:b/>
          <w:bCs/>
          <w:sz w:val="24"/>
          <w:szCs w:val="24"/>
          <w:lang w:eastAsia="es-ES"/>
        </w:rPr>
        <w:t>recurso de súplica</w:t>
      </w:r>
      <w:r w:rsidRPr="00FF57F9">
        <w:rPr>
          <w:rFonts w:ascii="Times New Roman" w:eastAsia="Times New Roman" w:hAnsi="Times New Roman" w:cs="Times New Roman"/>
          <w:sz w:val="24"/>
          <w:szCs w:val="24"/>
          <w:lang w:eastAsia="es-ES"/>
        </w:rPr>
        <w:t xml:space="preserve"> contra determinadas resoluciones interlocutorias, si bien este último no está expresamente regulado en la ley de amparo, por lo que debe entenderse aplicable supletoriamente lo dispuesto en el Código de Procesos.</w:t>
      </w:r>
    </w:p>
    <w:p w14:paraId="66D9FAE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Clasificación de los medios de impugnación</w:t>
      </w:r>
    </w:p>
    <w:p w14:paraId="537C749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 doctrina procesal distingue entre:</w:t>
      </w:r>
    </w:p>
    <w:p w14:paraId="6890E565" w14:textId="77777777" w:rsidR="00FF57F9" w:rsidRPr="00FF57F9" w:rsidRDefault="00FF57F9" w:rsidP="002F1542">
      <w:pPr>
        <w:numPr>
          <w:ilvl w:val="0"/>
          <w:numId w:val="3"/>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Remedios</w:t>
      </w:r>
      <w:r w:rsidRPr="00FF57F9">
        <w:rPr>
          <w:rFonts w:ascii="Times New Roman" w:eastAsia="Times New Roman" w:hAnsi="Times New Roman" w:cs="Times New Roman"/>
          <w:sz w:val="24"/>
          <w:szCs w:val="24"/>
          <w:lang w:eastAsia="es-ES"/>
        </w:rPr>
        <w:t xml:space="preserve"> y </w:t>
      </w:r>
      <w:r w:rsidRPr="00FF57F9">
        <w:rPr>
          <w:rFonts w:ascii="Times New Roman" w:eastAsia="Times New Roman" w:hAnsi="Times New Roman" w:cs="Times New Roman"/>
          <w:b/>
          <w:bCs/>
          <w:sz w:val="24"/>
          <w:szCs w:val="24"/>
          <w:lang w:eastAsia="es-ES"/>
        </w:rPr>
        <w:t>recursos</w:t>
      </w:r>
      <w:r w:rsidRPr="00FF57F9">
        <w:rPr>
          <w:rFonts w:ascii="Times New Roman" w:eastAsia="Times New Roman" w:hAnsi="Times New Roman" w:cs="Times New Roman"/>
          <w:sz w:val="24"/>
          <w:szCs w:val="24"/>
          <w:lang w:eastAsia="es-ES"/>
        </w:rPr>
        <w:t>: los remedios se dirigen al mismo órgano que dictó la resolución para que la revise; los recursos se dirigen a un órgano superior para que examine la decisión del inferior.</w:t>
      </w:r>
    </w:p>
    <w:p w14:paraId="19BD4429" w14:textId="77777777" w:rsidR="00FF57F9" w:rsidRPr="00FF57F9" w:rsidRDefault="00FF57F9" w:rsidP="002F1542">
      <w:pPr>
        <w:numPr>
          <w:ilvl w:val="0"/>
          <w:numId w:val="3"/>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lastRenderedPageBreak/>
        <w:t>Recursos ordinarios</w:t>
      </w:r>
      <w:r w:rsidRPr="00FF57F9">
        <w:rPr>
          <w:rFonts w:ascii="Times New Roman" w:eastAsia="Times New Roman" w:hAnsi="Times New Roman" w:cs="Times New Roman"/>
          <w:sz w:val="24"/>
          <w:szCs w:val="24"/>
          <w:lang w:eastAsia="es-ES"/>
        </w:rPr>
        <w:t xml:space="preserve"> y </w:t>
      </w:r>
      <w:r w:rsidRPr="00FF57F9">
        <w:rPr>
          <w:rFonts w:ascii="Times New Roman" w:eastAsia="Times New Roman" w:hAnsi="Times New Roman" w:cs="Times New Roman"/>
          <w:b/>
          <w:bCs/>
          <w:sz w:val="24"/>
          <w:szCs w:val="24"/>
          <w:lang w:eastAsia="es-ES"/>
        </w:rPr>
        <w:t>extraordinarios</w:t>
      </w:r>
      <w:r w:rsidRPr="00FF57F9">
        <w:rPr>
          <w:rFonts w:ascii="Times New Roman" w:eastAsia="Times New Roman" w:hAnsi="Times New Roman" w:cs="Times New Roman"/>
          <w:sz w:val="24"/>
          <w:szCs w:val="24"/>
          <w:lang w:eastAsia="es-ES"/>
        </w:rPr>
        <w:t>: los ordinarios (como la apelación) permiten un examen amplio de la cuestión; los extraordinarios (como la casación o la revisión) están limitados a motivos tasados.</w:t>
      </w:r>
    </w:p>
    <w:p w14:paraId="0CECA506" w14:textId="77777777" w:rsidR="00FF57F9" w:rsidRPr="00FF57F9" w:rsidRDefault="00FF57F9" w:rsidP="002F1542">
      <w:pPr>
        <w:numPr>
          <w:ilvl w:val="0"/>
          <w:numId w:val="3"/>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Medios de impugnación</w:t>
      </w:r>
      <w:r w:rsidRPr="00FF57F9">
        <w:rPr>
          <w:rFonts w:ascii="Times New Roman" w:eastAsia="Times New Roman" w:hAnsi="Times New Roman" w:cs="Times New Roman"/>
          <w:sz w:val="24"/>
          <w:szCs w:val="24"/>
          <w:lang w:eastAsia="es-ES"/>
        </w:rPr>
        <w:t xml:space="preserve"> y </w:t>
      </w:r>
      <w:r w:rsidRPr="00FF57F9">
        <w:rPr>
          <w:rFonts w:ascii="Times New Roman" w:eastAsia="Times New Roman" w:hAnsi="Times New Roman" w:cs="Times New Roman"/>
          <w:b/>
          <w:bCs/>
          <w:sz w:val="24"/>
          <w:szCs w:val="24"/>
          <w:lang w:eastAsia="es-ES"/>
        </w:rPr>
        <w:t>procesos impugnativos autónomos</w:t>
      </w:r>
      <w:r w:rsidRPr="00FF57F9">
        <w:rPr>
          <w:rFonts w:ascii="Times New Roman" w:eastAsia="Times New Roman" w:hAnsi="Times New Roman" w:cs="Times New Roman"/>
          <w:sz w:val="24"/>
          <w:szCs w:val="24"/>
          <w:lang w:eastAsia="es-ES"/>
        </w:rPr>
        <w:t>: los recursos se tramitan dentro del mismo proceso; la revisión es un proceso nuevo y autónomo.</w:t>
      </w:r>
    </w:p>
    <w:p w14:paraId="6D839FA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En el amparo, la apelación es un recurso ordinario y devolutivo; la revisión es un proceso impugnativo autónomo y extraordinario.</w:t>
      </w:r>
    </w:p>
    <w:p w14:paraId="6D8FFC7D" w14:textId="77777777" w:rsidR="00FF57F9" w:rsidRPr="00FF57F9" w:rsidRDefault="00FF57F9" w:rsidP="002F1542">
      <w:pPr>
        <w:spacing w:before="120" w:after="120"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5.1. El recurso de apelación: procedencia, plazo, tramitación y efectos</w:t>
      </w:r>
    </w:p>
    <w:p w14:paraId="47D64451"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recurso de apelación es el medio de impugnación ordinario contra las sentencias dictadas en primera instancia en el proceso de amparo. Su regulación se encuentra en los artículos 36 a 41 de la Ley 153/2022.</w:t>
      </w:r>
    </w:p>
    <w:p w14:paraId="0207A97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Concepto y finalidad</w:t>
      </w:r>
    </w:p>
    <w:p w14:paraId="7AFD5CD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36 define el propósito de la apelación: "El recurso de apelación tiene el propósito de revisar, de forma expedita y concentrada, las decisiones judiciales de primera instancia, para verificar el cumplimiento de la Constitución en cuanto a la protección de los derechos reconocidos por ella".</w:t>
      </w:r>
    </w:p>
    <w:p w14:paraId="64DEEAA3" w14:textId="69F5F7B7" w:rsidR="00FF57F9" w:rsidRPr="00FF57F9" w:rsidRDefault="009A4B02"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Obsérve</w:t>
      </w:r>
      <w:r>
        <w:rPr>
          <w:rFonts w:ascii="Times New Roman" w:eastAsia="Times New Roman" w:hAnsi="Times New Roman" w:cs="Times New Roman"/>
          <w:sz w:val="24"/>
          <w:szCs w:val="24"/>
          <w:lang w:eastAsia="es-ES"/>
        </w:rPr>
        <w:t xml:space="preserve">se </w:t>
      </w:r>
      <w:r w:rsidR="00FF57F9" w:rsidRPr="00FF57F9">
        <w:rPr>
          <w:rFonts w:ascii="Times New Roman" w:eastAsia="Times New Roman" w:hAnsi="Times New Roman" w:cs="Times New Roman"/>
          <w:sz w:val="24"/>
          <w:szCs w:val="24"/>
          <w:lang w:eastAsia="es-ES"/>
        </w:rPr>
        <w:t xml:space="preserve">cómo el legislador insiste en las notas de </w:t>
      </w:r>
      <w:proofErr w:type="spellStart"/>
      <w:r w:rsidR="00FF57F9" w:rsidRPr="00FF57F9">
        <w:rPr>
          <w:rFonts w:ascii="Times New Roman" w:eastAsia="Times New Roman" w:hAnsi="Times New Roman" w:cs="Times New Roman"/>
          <w:b/>
          <w:bCs/>
          <w:sz w:val="24"/>
          <w:szCs w:val="24"/>
          <w:lang w:eastAsia="es-ES"/>
        </w:rPr>
        <w:t>expeditez</w:t>
      </w:r>
      <w:proofErr w:type="spellEnd"/>
      <w:r w:rsidR="00FF57F9" w:rsidRPr="00FF57F9">
        <w:rPr>
          <w:rFonts w:ascii="Times New Roman" w:eastAsia="Times New Roman" w:hAnsi="Times New Roman" w:cs="Times New Roman"/>
          <w:sz w:val="24"/>
          <w:szCs w:val="24"/>
          <w:lang w:eastAsia="es-ES"/>
        </w:rPr>
        <w:t xml:space="preserve"> y </w:t>
      </w:r>
      <w:r w:rsidR="00FF57F9" w:rsidRPr="00FF57F9">
        <w:rPr>
          <w:rFonts w:ascii="Times New Roman" w:eastAsia="Times New Roman" w:hAnsi="Times New Roman" w:cs="Times New Roman"/>
          <w:b/>
          <w:bCs/>
          <w:sz w:val="24"/>
          <w:szCs w:val="24"/>
          <w:lang w:eastAsia="es-ES"/>
        </w:rPr>
        <w:t>concentración</w:t>
      </w:r>
      <w:r w:rsidR="00FF57F9" w:rsidRPr="00FF57F9">
        <w:rPr>
          <w:rFonts w:ascii="Times New Roman" w:eastAsia="Times New Roman" w:hAnsi="Times New Roman" w:cs="Times New Roman"/>
          <w:sz w:val="24"/>
          <w:szCs w:val="24"/>
          <w:lang w:eastAsia="es-ES"/>
        </w:rPr>
        <w:t xml:space="preserve"> incluso en la fase impugnativa. La apelación en amparo no puede convertirse en una segunda instancia ordinaria con todos los trámites del proceso civil; debe ser, también, un medio rápido de revisión.</w:t>
      </w:r>
    </w:p>
    <w:p w14:paraId="56DC53D8"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Resoluciones recurribles</w:t>
      </w:r>
    </w:p>
    <w:p w14:paraId="5D895D2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37.1 establece que procede el recurso de apelación contra las resoluciones definitivas dictadas, en primera instancia, por:</w:t>
      </w:r>
    </w:p>
    <w:p w14:paraId="79C6CF1E" w14:textId="77777777" w:rsidR="00FF57F9" w:rsidRPr="00FF57F9" w:rsidRDefault="00FF57F9" w:rsidP="002F1542">
      <w:pPr>
        <w:spacing w:before="120" w:after="120" w:line="240" w:lineRule="auto"/>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a) La sala correspondiente del Tribunal Provincial Popular.</w:t>
      </w:r>
      <w:r w:rsidRPr="00FF57F9">
        <w:rPr>
          <w:rFonts w:ascii="Times New Roman" w:eastAsia="Times New Roman" w:hAnsi="Times New Roman" w:cs="Times New Roman"/>
          <w:sz w:val="24"/>
          <w:szCs w:val="24"/>
          <w:lang w:eastAsia="es-ES"/>
        </w:rPr>
        <w:br/>
        <w:t>b) La sala respectiva del Tribunal Supremo Popular.</w:t>
      </w:r>
    </w:p>
    <w:p w14:paraId="5B04B61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Esta disposición merece un comentario. Cuando la primera instancia se ha tramitado ante el Tribunal Supremo (por ejemplo, en los casos del artículo 9.1), el recurso de apelación se resuelve por la </w:t>
      </w:r>
      <w:r w:rsidRPr="00FF57F9">
        <w:rPr>
          <w:rFonts w:ascii="Times New Roman" w:eastAsia="Times New Roman" w:hAnsi="Times New Roman" w:cs="Times New Roman"/>
          <w:b/>
          <w:bCs/>
          <w:sz w:val="24"/>
          <w:szCs w:val="24"/>
          <w:lang w:eastAsia="es-ES"/>
        </w:rPr>
        <w:t>Sala Especial</w:t>
      </w:r>
      <w:r w:rsidRPr="00FF57F9">
        <w:rPr>
          <w:rFonts w:ascii="Times New Roman" w:eastAsia="Times New Roman" w:hAnsi="Times New Roman" w:cs="Times New Roman"/>
          <w:sz w:val="24"/>
          <w:szCs w:val="24"/>
          <w:lang w:eastAsia="es-ES"/>
        </w:rPr>
        <w:t xml:space="preserve"> del Tribunal Supremo, de conformidad con lo establecido en la Ley de los Tribunales de Justicia (art. 37.2).</w:t>
      </w:r>
    </w:p>
    <w:p w14:paraId="5EC9BA43"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Plazo y forma de interposición</w:t>
      </w:r>
    </w:p>
    <w:p w14:paraId="7BFB817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El artículo 38 establece: "El recurso se presenta ante el tribunal que decidió el asunto en primera instancia, en el plazo de los </w:t>
      </w:r>
      <w:r w:rsidRPr="00FF57F9">
        <w:rPr>
          <w:rFonts w:ascii="Times New Roman" w:eastAsia="Times New Roman" w:hAnsi="Times New Roman" w:cs="Times New Roman"/>
          <w:b/>
          <w:bCs/>
          <w:sz w:val="24"/>
          <w:szCs w:val="24"/>
          <w:lang w:eastAsia="es-ES"/>
        </w:rPr>
        <w:t>cinco días</w:t>
      </w:r>
      <w:r w:rsidRPr="00FF57F9">
        <w:rPr>
          <w:rFonts w:ascii="Times New Roman" w:eastAsia="Times New Roman" w:hAnsi="Times New Roman" w:cs="Times New Roman"/>
          <w:sz w:val="24"/>
          <w:szCs w:val="24"/>
          <w:lang w:eastAsia="es-ES"/>
        </w:rPr>
        <w:t xml:space="preserve"> siguientes a la notificación de la resolución a la parte que lo interponga, mediante escrito fundamentado, en el que se expresan los motivos de inconformidad".</w:t>
      </w:r>
    </w:p>
    <w:p w14:paraId="7AA3A0D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Observa la brevedad del plazo: cinco días. Nuevamente, el legislador privilegia la celeridad. Quien quiera recurrir debe hacerlo rápidamente y, además, debe fundamentar su recurso. No basta con decir "apelo"; hay que explicar por qué se considera que la sentencia es errónea.</w:t>
      </w:r>
    </w:p>
    <w:p w14:paraId="725EC28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Traslado a los no recurrentes</w:t>
      </w:r>
    </w:p>
    <w:p w14:paraId="385AA910"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El artículo 39 regula el trámite siguiente: "Establecido el recurso, se confiere traslado a los no recurrentes por el plazo de </w:t>
      </w:r>
      <w:r w:rsidRPr="00FF57F9">
        <w:rPr>
          <w:rFonts w:ascii="Times New Roman" w:eastAsia="Times New Roman" w:hAnsi="Times New Roman" w:cs="Times New Roman"/>
          <w:b/>
          <w:bCs/>
          <w:sz w:val="24"/>
          <w:szCs w:val="24"/>
          <w:lang w:eastAsia="es-ES"/>
        </w:rPr>
        <w:t>cinco días</w:t>
      </w:r>
      <w:r w:rsidRPr="00FF57F9">
        <w:rPr>
          <w:rFonts w:ascii="Times New Roman" w:eastAsia="Times New Roman" w:hAnsi="Times New Roman" w:cs="Times New Roman"/>
          <w:sz w:val="24"/>
          <w:szCs w:val="24"/>
          <w:lang w:eastAsia="es-ES"/>
        </w:rPr>
        <w:t xml:space="preserve"> para que formulen la oposición en la forma que consideren </w:t>
      </w:r>
      <w:r w:rsidRPr="00FF57F9">
        <w:rPr>
          <w:rFonts w:ascii="Times New Roman" w:eastAsia="Times New Roman" w:hAnsi="Times New Roman" w:cs="Times New Roman"/>
          <w:sz w:val="24"/>
          <w:szCs w:val="24"/>
          <w:lang w:eastAsia="es-ES"/>
        </w:rPr>
        <w:lastRenderedPageBreak/>
        <w:t>procedente; presentada esta o vencido el plazo sin formularla, se elevan las actuaciones al tribunal que deba conocer el recurso, en un plazo que no exceda de cinco días".</w:t>
      </w:r>
    </w:p>
    <w:p w14:paraId="09149ED0"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Este trámite garantiza el principio de contradicción también en segunda instancia. La parte apelada tiene la oportunidad de oponerse al recurso y de exponer las razones por las que, a su juicio, la sentencia debe ser confirmada.</w:t>
      </w:r>
    </w:p>
    <w:p w14:paraId="771D366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Actuaciones del tribunal de apelación</w:t>
      </w:r>
    </w:p>
    <w:p w14:paraId="36BDDB8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40 regula las decisiones que debe adoptar el tribunal superior una vez recibidas las actuaciones:</w:t>
      </w:r>
    </w:p>
    <w:p w14:paraId="2C9B7B1F" w14:textId="77777777" w:rsidR="00FF57F9" w:rsidRPr="00FF57F9" w:rsidRDefault="00FF57F9" w:rsidP="002F1542">
      <w:pPr>
        <w:spacing w:before="120" w:after="120" w:line="240" w:lineRule="auto"/>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"1. Recibidas las actuaciones, el tribunal, en un plazo que no exceda de tres días, decide sobre la procedencia de:</w:t>
      </w:r>
      <w:r w:rsidRPr="00FF57F9">
        <w:rPr>
          <w:rFonts w:ascii="Times New Roman" w:eastAsia="Times New Roman" w:hAnsi="Times New Roman" w:cs="Times New Roman"/>
          <w:sz w:val="24"/>
          <w:szCs w:val="24"/>
          <w:lang w:eastAsia="es-ES"/>
        </w:rPr>
        <w:br/>
        <w:t>a) Suspender el cumplimiento de la resolución recurrida;</w:t>
      </w:r>
      <w:r w:rsidRPr="00FF57F9">
        <w:rPr>
          <w:rFonts w:ascii="Times New Roman" w:eastAsia="Times New Roman" w:hAnsi="Times New Roman" w:cs="Times New Roman"/>
          <w:sz w:val="24"/>
          <w:szCs w:val="24"/>
          <w:lang w:eastAsia="es-ES"/>
        </w:rPr>
        <w:br/>
        <w:t>b) admitir las pruebas; y</w:t>
      </w:r>
      <w:r w:rsidRPr="00FF57F9">
        <w:rPr>
          <w:rFonts w:ascii="Times New Roman" w:eastAsia="Times New Roman" w:hAnsi="Times New Roman" w:cs="Times New Roman"/>
          <w:sz w:val="24"/>
          <w:szCs w:val="24"/>
          <w:lang w:eastAsia="es-ES"/>
        </w:rPr>
        <w:br/>
        <w:t>c) celebrar vista."</w:t>
      </w:r>
    </w:p>
    <w:p w14:paraId="63CF2D20"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Este precepto es de suma importancia práctica. El tribunal de apelación debe pronunciarse, en primer término, sobre si suspende o no la ejecución de la sentencia recurrida. Recordemos que, como regla general, la sentencia se ejecuta a pesar del recurso. Pero el tribunal puede acordar la suspensión si concurren los presupuestos del artículo 34.1 (perjuicio imposible de revertir).</w:t>
      </w:r>
    </w:p>
    <w:p w14:paraId="1E030EC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En segundo lugar, el tribunal decide sobre la </w:t>
      </w:r>
      <w:r w:rsidRPr="00FF57F9">
        <w:rPr>
          <w:rFonts w:ascii="Times New Roman" w:eastAsia="Times New Roman" w:hAnsi="Times New Roman" w:cs="Times New Roman"/>
          <w:b/>
          <w:bCs/>
          <w:sz w:val="24"/>
          <w:szCs w:val="24"/>
          <w:lang w:eastAsia="es-ES"/>
        </w:rPr>
        <w:t>admisión de pruebas</w:t>
      </w:r>
      <w:r w:rsidRPr="00FF57F9">
        <w:rPr>
          <w:rFonts w:ascii="Times New Roman" w:eastAsia="Times New Roman" w:hAnsi="Times New Roman" w:cs="Times New Roman"/>
          <w:sz w:val="24"/>
          <w:szCs w:val="24"/>
          <w:lang w:eastAsia="es-ES"/>
        </w:rPr>
        <w:t>. El artículo 37.3 establece que "la admisión de las pruebas y la celebración de vista constituyen facultades exclusivas del tribunal que deba resolver el recurso". Esto significa que no hay un derecho automático a practicar prueba en segunda instancia; es el tribunal quien valora su necesidad.</w:t>
      </w:r>
    </w:p>
    <w:p w14:paraId="765B90B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¿Qué pruebas pueden admitirse en apelación? Supletoriamente, debemos acudir al artículo 425 del Código de Procesos, que permite la prueba cuando: a) en primera instancia se denegó alguna prueba propuesta oportunamente; b) habiendo sido admitida, no pudo practicarse por causa ajena a la parte; c) después de la oportunidad legal para proponer prueba, han ocurrido hechos nuevos; d) el demandado rebelde, no citado en persona, comparece después de la oportunidad para proponer prueba.</w:t>
      </w:r>
    </w:p>
    <w:p w14:paraId="31CB5F79"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En tercer lugar, el tribunal decide si celebra o no </w:t>
      </w:r>
      <w:r w:rsidRPr="00FF57F9">
        <w:rPr>
          <w:rFonts w:ascii="Times New Roman" w:eastAsia="Times New Roman" w:hAnsi="Times New Roman" w:cs="Times New Roman"/>
          <w:b/>
          <w:bCs/>
          <w:sz w:val="24"/>
          <w:szCs w:val="24"/>
          <w:lang w:eastAsia="es-ES"/>
        </w:rPr>
        <w:t>vista oral</w:t>
      </w:r>
      <w:r w:rsidRPr="00FF57F9">
        <w:rPr>
          <w:rFonts w:ascii="Times New Roman" w:eastAsia="Times New Roman" w:hAnsi="Times New Roman" w:cs="Times New Roman"/>
          <w:sz w:val="24"/>
          <w:szCs w:val="24"/>
          <w:lang w:eastAsia="es-ES"/>
        </w:rPr>
        <w:t>. La vista no es obligatoria; su celebración queda a criterio del tribunal, ponderando la complejidad del asunto y la necesidad de un debate oral.</w:t>
      </w:r>
    </w:p>
    <w:p w14:paraId="621A7833"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40.2 establece: "La práctica de las pruebas y la vista se concentran, de ser posible, en un solo acto". Nuevamente, el principio de concentración.</w:t>
      </w:r>
    </w:p>
    <w:p w14:paraId="2C82352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señalamiento de la vista, si procede, se realiza "en un plazo que no exceda de los cinco días" (art. 40.3).</w:t>
      </w:r>
    </w:p>
    <w:p w14:paraId="1A3E50AC"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La sentencia de apelación</w:t>
      </w:r>
    </w:p>
    <w:p w14:paraId="63A983B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Finalmente, el artículo 41 establece: "La sentencia se dicta en un plazo que no exceda de los quince días siguientes a la declaración de concluso del proceso".</w:t>
      </w:r>
    </w:p>
    <w:p w14:paraId="792FDEC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tribunal de apelación puede adoptar diversas decisiones:</w:t>
      </w:r>
    </w:p>
    <w:p w14:paraId="3C822819" w14:textId="77777777" w:rsidR="00FF57F9" w:rsidRPr="00FF57F9" w:rsidRDefault="00FF57F9" w:rsidP="002F1542">
      <w:pPr>
        <w:numPr>
          <w:ilvl w:val="0"/>
          <w:numId w:val="4"/>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Desestimar</w:t>
      </w:r>
      <w:r w:rsidRPr="00FF57F9">
        <w:rPr>
          <w:rFonts w:ascii="Times New Roman" w:eastAsia="Times New Roman" w:hAnsi="Times New Roman" w:cs="Times New Roman"/>
          <w:sz w:val="24"/>
          <w:szCs w:val="24"/>
          <w:lang w:eastAsia="es-ES"/>
        </w:rPr>
        <w:t xml:space="preserve"> el recurso y confirmar la sentencia impugnada.</w:t>
      </w:r>
    </w:p>
    <w:p w14:paraId="68491CB9" w14:textId="77777777" w:rsidR="00FF57F9" w:rsidRPr="00FF57F9" w:rsidRDefault="00FF57F9" w:rsidP="002F1542">
      <w:pPr>
        <w:numPr>
          <w:ilvl w:val="0"/>
          <w:numId w:val="4"/>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lastRenderedPageBreak/>
        <w:t>Estimar</w:t>
      </w:r>
      <w:r w:rsidRPr="00FF57F9">
        <w:rPr>
          <w:rFonts w:ascii="Times New Roman" w:eastAsia="Times New Roman" w:hAnsi="Times New Roman" w:cs="Times New Roman"/>
          <w:sz w:val="24"/>
          <w:szCs w:val="24"/>
          <w:lang w:eastAsia="es-ES"/>
        </w:rPr>
        <w:t xml:space="preserve"> el recurso y revocar total o parcialmente la sentencia, dictando en su lugar la que corresponda.</w:t>
      </w:r>
    </w:p>
    <w:p w14:paraId="57DFD6A6" w14:textId="77777777" w:rsidR="00FF57F9" w:rsidRPr="00FF57F9" w:rsidRDefault="00FF57F9" w:rsidP="002F1542">
      <w:pPr>
        <w:numPr>
          <w:ilvl w:val="0"/>
          <w:numId w:val="4"/>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Declarar la nulidad</w:t>
      </w:r>
      <w:r w:rsidRPr="00FF57F9">
        <w:rPr>
          <w:rFonts w:ascii="Times New Roman" w:eastAsia="Times New Roman" w:hAnsi="Times New Roman" w:cs="Times New Roman"/>
          <w:sz w:val="24"/>
          <w:szCs w:val="24"/>
          <w:lang w:eastAsia="es-ES"/>
        </w:rPr>
        <w:t xml:space="preserve"> de lo actuado, si advierte infracciones procesales esenciales que no puedan ser subsanadas en la instancia.</w:t>
      </w:r>
    </w:p>
    <w:p w14:paraId="413A784B"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 sentencia de apelación, cuando es dictada por la Sala Especial del Tribunal Supremo en los casos del artículo 37.1.b, es definitiva y contra ella no cabe recurso ordinario.</w:t>
      </w:r>
    </w:p>
    <w:p w14:paraId="7B25B4DA" w14:textId="77777777" w:rsidR="00FF57F9" w:rsidRPr="00FF57F9" w:rsidRDefault="00FF57F9" w:rsidP="002F1542">
      <w:pPr>
        <w:spacing w:before="120" w:after="120"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5.2. El recurso de súplica</w:t>
      </w:r>
    </w:p>
    <w:p w14:paraId="709806B4"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Aunque la Ley 153/2022 no regula expresamente el recurso de súplica, debemos entenderlo aplicable con carácter supletorio conforme a lo dispuesto en el Código de Procesos y en la Ley del Proceso Penal.</w:t>
      </w:r>
    </w:p>
    <w:p w14:paraId="13461CC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recurso de súplica procede contra las providencias y los autos que no sean definitivos, y se interpone ante el mismo tribunal que dictó la resolución para que la revise. Es un recurso no devolutivo, de tramitación sencilla y plazo breve (generalmente tres días).</w:t>
      </w:r>
    </w:p>
    <w:p w14:paraId="03CBD698"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En el amparo, el recurso de súplica puede ser especialmente útil para impugnar decisiones interlocutorias que causen gravamen irreparable, como la denegación de una medida cautelar o la inadmisión de una prueba relevante.</w:t>
      </w:r>
    </w:p>
    <w:p w14:paraId="5B1C0E43" w14:textId="77777777" w:rsidR="00FF57F9" w:rsidRPr="00FF57F9" w:rsidRDefault="00FF57F9" w:rsidP="002F1542">
      <w:pPr>
        <w:spacing w:before="120" w:after="120" w:line="240" w:lineRule="auto"/>
        <w:jc w:val="both"/>
        <w:outlineLvl w:val="1"/>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6. EL PROCESO DE REVISIÓN: NATURALEZA EXTRAORDINARIA, CAUSALES Y PROCEDIMIENTO</w:t>
      </w:r>
    </w:p>
    <w:p w14:paraId="5E5BF4DC" w14:textId="6DBF4A06" w:rsidR="00FF57F9" w:rsidRPr="00FF57F9" w:rsidRDefault="009A4B02" w:rsidP="002F1542">
      <w:pPr>
        <w:spacing w:before="120" w:after="12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w:t>
      </w:r>
      <w:r w:rsidR="00FF57F9" w:rsidRPr="00FF57F9">
        <w:rPr>
          <w:rFonts w:ascii="Times New Roman" w:eastAsia="Times New Roman" w:hAnsi="Times New Roman" w:cs="Times New Roman"/>
          <w:sz w:val="24"/>
          <w:szCs w:val="24"/>
          <w:lang w:eastAsia="es-ES"/>
        </w:rPr>
        <w:t xml:space="preserve">a apelación no es el único medio para impugnar una sentencia de amparo. Existe un mecanismo extraordinario, de carácter excepcional, que permite reabrir procesos ya concluidos por sentencia firme: el </w:t>
      </w:r>
      <w:r w:rsidR="00FF57F9" w:rsidRPr="00FF57F9">
        <w:rPr>
          <w:rFonts w:ascii="Times New Roman" w:eastAsia="Times New Roman" w:hAnsi="Times New Roman" w:cs="Times New Roman"/>
          <w:b/>
          <w:bCs/>
          <w:sz w:val="24"/>
          <w:szCs w:val="24"/>
          <w:lang w:eastAsia="es-ES"/>
        </w:rPr>
        <w:t>proceso de revisión</w:t>
      </w:r>
      <w:r w:rsidR="00FF57F9" w:rsidRPr="00FF57F9">
        <w:rPr>
          <w:rFonts w:ascii="Times New Roman" w:eastAsia="Times New Roman" w:hAnsi="Times New Roman" w:cs="Times New Roman"/>
          <w:sz w:val="24"/>
          <w:szCs w:val="24"/>
          <w:lang w:eastAsia="es-ES"/>
        </w:rPr>
        <w:t>.</w:t>
      </w:r>
    </w:p>
    <w:p w14:paraId="08CD719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Naturaleza jurídica</w:t>
      </w:r>
    </w:p>
    <w:p w14:paraId="4C8A92C1"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La revisión no es propiamente un recurso, sino un </w:t>
      </w:r>
      <w:r w:rsidRPr="00FF57F9">
        <w:rPr>
          <w:rFonts w:ascii="Times New Roman" w:eastAsia="Times New Roman" w:hAnsi="Times New Roman" w:cs="Times New Roman"/>
          <w:b/>
          <w:bCs/>
          <w:sz w:val="24"/>
          <w:szCs w:val="24"/>
          <w:lang w:eastAsia="es-ES"/>
        </w:rPr>
        <w:t>proceso autónomo</w:t>
      </w:r>
      <w:r w:rsidRPr="00FF57F9">
        <w:rPr>
          <w:rFonts w:ascii="Times New Roman" w:eastAsia="Times New Roman" w:hAnsi="Times New Roman" w:cs="Times New Roman"/>
          <w:sz w:val="24"/>
          <w:szCs w:val="24"/>
          <w:lang w:eastAsia="es-ES"/>
        </w:rPr>
        <w:t xml:space="preserve"> e </w:t>
      </w:r>
      <w:r w:rsidRPr="00FF57F9">
        <w:rPr>
          <w:rFonts w:ascii="Times New Roman" w:eastAsia="Times New Roman" w:hAnsi="Times New Roman" w:cs="Times New Roman"/>
          <w:b/>
          <w:bCs/>
          <w:sz w:val="24"/>
          <w:szCs w:val="24"/>
          <w:lang w:eastAsia="es-ES"/>
        </w:rPr>
        <w:t>independiente</w:t>
      </w:r>
      <w:r w:rsidRPr="00FF57F9">
        <w:rPr>
          <w:rFonts w:ascii="Times New Roman" w:eastAsia="Times New Roman" w:hAnsi="Times New Roman" w:cs="Times New Roman"/>
          <w:sz w:val="24"/>
          <w:szCs w:val="24"/>
          <w:lang w:eastAsia="es-ES"/>
        </w:rPr>
        <w:t>. Así lo establece el artículo 441 del Código de Procesos, aplicable supletoriamente: "Las resoluciones firmes solo pueden ser examinadas mediante el proceso de revisión".</w:t>
      </w:r>
    </w:p>
    <w:p w14:paraId="7B2CD019"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Esta caracterización tiene importantes consecuencias:</w:t>
      </w:r>
    </w:p>
    <w:p w14:paraId="0138550F" w14:textId="77777777" w:rsidR="00FF57F9" w:rsidRPr="00FF57F9" w:rsidRDefault="00FF57F9" w:rsidP="002F1542">
      <w:pPr>
        <w:numPr>
          <w:ilvl w:val="0"/>
          <w:numId w:val="5"/>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 revisión no se tramita ante el mismo tribunal que dictó la sentencia, sino ante un tribunal superior (en amparo, ante el Tribunal Supremo).</w:t>
      </w:r>
    </w:p>
    <w:p w14:paraId="6923CB3B" w14:textId="77777777" w:rsidR="00FF57F9" w:rsidRPr="00FF57F9" w:rsidRDefault="00FF57F9" w:rsidP="002F1542">
      <w:pPr>
        <w:numPr>
          <w:ilvl w:val="0"/>
          <w:numId w:val="5"/>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No es una continuación del proceso anterior, sino un nuevo proceso con partes, objeto y procedimiento propios.</w:t>
      </w:r>
    </w:p>
    <w:p w14:paraId="1D388BC6" w14:textId="77777777" w:rsidR="00FF57F9" w:rsidRPr="00FF57F9" w:rsidRDefault="00FF57F9" w:rsidP="002F1542">
      <w:pPr>
        <w:numPr>
          <w:ilvl w:val="0"/>
          <w:numId w:val="5"/>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Las causales son tasadas y de interpretación restrictiva, por cuanto la revisión quiebra el principio de cosa juzgada.</w:t>
      </w:r>
    </w:p>
    <w:p w14:paraId="1D56FB1B"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Competencia</w:t>
      </w:r>
    </w:p>
    <w:p w14:paraId="2CEBFBEC"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9.2.b de la Ley 153/2022 atribuye al Tribunal Supremo Popular la competencia para conocer de "los procesos de revisión en esta materia".</w:t>
      </w:r>
    </w:p>
    <w:p w14:paraId="742C60A7"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Esta atribución al máximo tribunal es coherente con la naturaleza extraordinaria de la revisión. Solo el órgano superior de la jurisdicción ordinaria puede revisar sentencias firmes, y solo cuando concurran causas excepcionales.</w:t>
      </w:r>
    </w:p>
    <w:p w14:paraId="6584D14A"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Causales de revisión</w:t>
      </w:r>
    </w:p>
    <w:p w14:paraId="335DF001"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lastRenderedPageBreak/>
        <w:t>La Ley 153/2022 no enumera expresamente las causales de revisión en el amparo. Por tanto, debemos acudir supletoriamente al Código de Procesos, cuyo artículo 442.1 establece las siguientes:</w:t>
      </w:r>
    </w:p>
    <w:p w14:paraId="35CD3453"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"a) Si se obtienen documentos decisivos de los que no se pudo disponer a tiempo por fuerza mayor o por obra de la contraparte;</w:t>
      </w:r>
    </w:p>
    <w:p w14:paraId="1C5D2574"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b) si el fallo se funda en un documento que, al tiempo de dictarse, ignoraba la parte haber sido declarado falso en un proceso penal o se declara después la falsedad por esa vía;</w:t>
      </w:r>
    </w:p>
    <w:p w14:paraId="3C7289B0"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c) cuando, habiéndose dictado en virtud de prueba testifical, los testigos hubieran sido después sancionados por perjurio y su declaración hubiera servido de fundamento a la sentencia;</w:t>
      </w:r>
    </w:p>
    <w:p w14:paraId="111907C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d) cuando la sentencia haya sido dictada por un tribunal cuyos integrantes sean posteriormente sancionados por prevaricación o cohecho cometido al dictarla o decidida debido a la violencia ejercida sobre ellos;</w:t>
      </w:r>
    </w:p>
    <w:p w14:paraId="084BDA73"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 cuando, atendiendo a argumento debidamente fundamentado, se constate una situación de indefensión concreta, con trascendencia al resultado del proceso, en la que haya sido colocada la parte interesada, por obra de la contraparte, de los representantes procesales o por disposición del tribunal que dictó la resolución, al haberle privado, indebidamente, de las garantías del debido proceso o del ejercicio de algún derecho previsto en la Constitución de la República y las leyes."</w:t>
      </w:r>
    </w:p>
    <w:p w14:paraId="610824FF" w14:textId="55178F64" w:rsidR="00FF57F9" w:rsidRPr="00FF57F9" w:rsidRDefault="009A4B02"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Obsérv</w:t>
      </w:r>
      <w:r>
        <w:rPr>
          <w:rFonts w:ascii="Times New Roman" w:eastAsia="Times New Roman" w:hAnsi="Times New Roman" w:cs="Times New Roman"/>
          <w:sz w:val="24"/>
          <w:szCs w:val="24"/>
          <w:lang w:eastAsia="es-ES"/>
        </w:rPr>
        <w:t>ese</w:t>
      </w:r>
      <w:r w:rsidR="00FF57F9" w:rsidRPr="00FF57F9">
        <w:rPr>
          <w:rFonts w:ascii="Times New Roman" w:eastAsia="Times New Roman" w:hAnsi="Times New Roman" w:cs="Times New Roman"/>
          <w:sz w:val="24"/>
          <w:szCs w:val="24"/>
          <w:lang w:eastAsia="es-ES"/>
        </w:rPr>
        <w:t>, cómo todas estas causales se refieren a situaciones en las que la sentencia se ha basado en elementos falsos, viciados o en procedimientos gravemente defectuosos. La revisión no es una oportunidad para reabrir el debate sobre el fondo, sino para corregir injusticias derivadas de la utilización de pruebas falsas, de la actuación delictiva de jueces o de situaciones de indefensión.</w:t>
      </w:r>
    </w:p>
    <w:p w14:paraId="108045D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Plazo para interponer la revisión</w:t>
      </w:r>
    </w:p>
    <w:p w14:paraId="2403547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El artículo 445 del Código de Procesos establece: "En ningún caso puede solicitarse la revisión después de dos años desde la firmeza de la resolución contra la cual se dirija en los procesos del trabajo y de la seguridad social, y de cuatro años en las demás materias que regula este Código".</w:t>
      </w:r>
    </w:p>
    <w:p w14:paraId="2ECB540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Para el amparo, por tanto, el plazo general es de </w:t>
      </w:r>
      <w:r w:rsidRPr="00FF57F9">
        <w:rPr>
          <w:rFonts w:ascii="Times New Roman" w:eastAsia="Times New Roman" w:hAnsi="Times New Roman" w:cs="Times New Roman"/>
          <w:b/>
          <w:bCs/>
          <w:sz w:val="24"/>
          <w:szCs w:val="24"/>
          <w:lang w:eastAsia="es-ES"/>
        </w:rPr>
        <w:t>cuatro años</w:t>
      </w:r>
      <w:r w:rsidRPr="00FF57F9">
        <w:rPr>
          <w:rFonts w:ascii="Times New Roman" w:eastAsia="Times New Roman" w:hAnsi="Times New Roman" w:cs="Times New Roman"/>
          <w:sz w:val="24"/>
          <w:szCs w:val="24"/>
          <w:lang w:eastAsia="es-ES"/>
        </w:rPr>
        <w:t xml:space="preserve"> desde la firmeza de la sentencia. No obstante, el propio artículo 445.2 establece una regla especial: el plazo se entiende prorrogado por el tiempo necesario si durante él se halla pendiente el proceso penal en que se declare la comisión de alguno de los delitos a que se refieren las causales de revisión.</w:t>
      </w:r>
    </w:p>
    <w:p w14:paraId="4962AC37"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Además, el artículo 446.1 establece un plazo específico para interponer la demanda, que varía según la causal:</w:t>
      </w:r>
    </w:p>
    <w:p w14:paraId="69758B80" w14:textId="77777777" w:rsidR="00FF57F9" w:rsidRPr="00FF57F9" w:rsidRDefault="00FF57F9" w:rsidP="002F1542">
      <w:pPr>
        <w:numPr>
          <w:ilvl w:val="0"/>
          <w:numId w:val="6"/>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Desde la fecha de obtención del documento (causal a).</w:t>
      </w:r>
    </w:p>
    <w:p w14:paraId="5D759F51" w14:textId="77777777" w:rsidR="00FF57F9" w:rsidRPr="00FF57F9" w:rsidRDefault="00FF57F9" w:rsidP="002F1542">
      <w:pPr>
        <w:numPr>
          <w:ilvl w:val="0"/>
          <w:numId w:val="6"/>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Desde que se tiene conocimiento de la declaración de falsedad (causal b).</w:t>
      </w:r>
    </w:p>
    <w:p w14:paraId="046DBCE6" w14:textId="77777777" w:rsidR="00FF57F9" w:rsidRPr="00FF57F9" w:rsidRDefault="00FF57F9" w:rsidP="002F1542">
      <w:pPr>
        <w:numPr>
          <w:ilvl w:val="0"/>
          <w:numId w:val="6"/>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Desde que se tiene conocimiento de la firmeza de la sentencia penal que declare la falsedad, perjurio, prevaricación, etc. (causales c y d).</w:t>
      </w:r>
    </w:p>
    <w:p w14:paraId="00F46833" w14:textId="77777777" w:rsidR="00FF57F9" w:rsidRPr="00FF57F9" w:rsidRDefault="00FF57F9" w:rsidP="002F1542">
      <w:pPr>
        <w:numPr>
          <w:ilvl w:val="0"/>
          <w:numId w:val="6"/>
        </w:num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Desde que se tuvo conocimiento de la sentencia cuestionada (causal e).</w:t>
      </w:r>
    </w:p>
    <w:p w14:paraId="3B4E192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En todos los casos, el plazo es de </w:t>
      </w:r>
      <w:r w:rsidRPr="00FF57F9">
        <w:rPr>
          <w:rFonts w:ascii="Times New Roman" w:eastAsia="Times New Roman" w:hAnsi="Times New Roman" w:cs="Times New Roman"/>
          <w:b/>
          <w:bCs/>
          <w:sz w:val="24"/>
          <w:szCs w:val="24"/>
          <w:lang w:eastAsia="es-ES"/>
        </w:rPr>
        <w:t>ciento veinte días</w:t>
      </w:r>
      <w:r w:rsidRPr="00FF57F9">
        <w:rPr>
          <w:rFonts w:ascii="Times New Roman" w:eastAsia="Times New Roman" w:hAnsi="Times New Roman" w:cs="Times New Roman"/>
          <w:sz w:val="24"/>
          <w:szCs w:val="24"/>
          <w:lang w:eastAsia="es-ES"/>
        </w:rPr>
        <w:t>.</w:t>
      </w:r>
    </w:p>
    <w:p w14:paraId="3E2903C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Procedimiento</w:t>
      </w:r>
    </w:p>
    <w:p w14:paraId="4683D213"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lastRenderedPageBreak/>
        <w:t>El procedimiento de revisión se regula en los artículos 446 a 450 del Código de Procesos, con las siguientes fases:</w:t>
      </w:r>
    </w:p>
    <w:p w14:paraId="4A1EED61"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Presentación de la demanda</w:t>
      </w:r>
      <w:r w:rsidRPr="00FF57F9">
        <w:rPr>
          <w:rFonts w:ascii="Times New Roman" w:eastAsia="Times New Roman" w:hAnsi="Times New Roman" w:cs="Times New Roman"/>
          <w:sz w:val="24"/>
          <w:szCs w:val="24"/>
          <w:lang w:eastAsia="es-ES"/>
        </w:rPr>
        <w:t>: Se presenta ante el Tribunal Municipal o Provincial que dictó la resolución firme, acompañada de todos los documentos que acrediten la causal (art. 445.4). Sin estos documentos, no se da curso a la demanda.</w:t>
      </w:r>
    </w:p>
    <w:p w14:paraId="1F85913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Elevación al Tribunal Supremo</w:t>
      </w:r>
      <w:r w:rsidRPr="00FF57F9">
        <w:rPr>
          <w:rFonts w:ascii="Times New Roman" w:eastAsia="Times New Roman" w:hAnsi="Times New Roman" w:cs="Times New Roman"/>
          <w:sz w:val="24"/>
          <w:szCs w:val="24"/>
          <w:lang w:eastAsia="es-ES"/>
        </w:rPr>
        <w:t>: El tribunal que recibió la demanda la eleva al Tribunal Supremo en un plazo que no exceda de diez días (art. 446.1).</w:t>
      </w:r>
    </w:p>
    <w:p w14:paraId="62207877"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Admisión</w:t>
      </w:r>
      <w:r w:rsidRPr="00FF57F9">
        <w:rPr>
          <w:rFonts w:ascii="Times New Roman" w:eastAsia="Times New Roman" w:hAnsi="Times New Roman" w:cs="Times New Roman"/>
          <w:sz w:val="24"/>
          <w:szCs w:val="24"/>
          <w:lang w:eastAsia="es-ES"/>
        </w:rPr>
        <w:t>: La Sala correspondiente del Tribunal Supremo resuelve sobre la admisión. Admitida la demanda, se emplaza al fiscal y a las partes para que contesten en el plazo de quince días (art. 446.2).</w:t>
      </w:r>
    </w:p>
    <w:p w14:paraId="12BA61B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Prueba</w:t>
      </w:r>
      <w:r w:rsidRPr="00FF57F9">
        <w:rPr>
          <w:rFonts w:ascii="Times New Roman" w:eastAsia="Times New Roman" w:hAnsi="Times New Roman" w:cs="Times New Roman"/>
          <w:sz w:val="24"/>
          <w:szCs w:val="24"/>
          <w:lang w:eastAsia="es-ES"/>
        </w:rPr>
        <w:t>: El tribunal puede abrir el proceso a prueba por un plazo que no exceda de sesenta días (art. 446.4).</w:t>
      </w:r>
    </w:p>
    <w:p w14:paraId="1344A12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Sentencia</w:t>
      </w:r>
      <w:r w:rsidRPr="00FF57F9">
        <w:rPr>
          <w:rFonts w:ascii="Times New Roman" w:eastAsia="Times New Roman" w:hAnsi="Times New Roman" w:cs="Times New Roman"/>
          <w:sz w:val="24"/>
          <w:szCs w:val="24"/>
          <w:lang w:eastAsia="es-ES"/>
        </w:rPr>
        <w:t>: Contestada la demanda o transcurrido el plazo, el tribunal dicta sentencia en un plazo que no exceda de treinta días (art. 446.3).</w:t>
      </w:r>
    </w:p>
    <w:p w14:paraId="4AE7E515"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Suspensión de la ejecución</w:t>
      </w:r>
    </w:p>
    <w:p w14:paraId="3D4C3723"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El artículo 447 regula la posibilidad de suspender la ejecución de la sentencia impugnada. Cuando la demanda se funda en las causales b), c) o d) (falsedad documental, perjurio, prevaricación, cohecho o violencia), la admisión de la demanda </w:t>
      </w:r>
      <w:r w:rsidRPr="00FF57F9">
        <w:rPr>
          <w:rFonts w:ascii="Times New Roman" w:eastAsia="Times New Roman" w:hAnsi="Times New Roman" w:cs="Times New Roman"/>
          <w:b/>
          <w:bCs/>
          <w:sz w:val="24"/>
          <w:szCs w:val="24"/>
          <w:lang w:eastAsia="es-ES"/>
        </w:rPr>
        <w:t>suspende automáticamente</w:t>
      </w:r>
      <w:r w:rsidRPr="00FF57F9">
        <w:rPr>
          <w:rFonts w:ascii="Times New Roman" w:eastAsia="Times New Roman" w:hAnsi="Times New Roman" w:cs="Times New Roman"/>
          <w:sz w:val="24"/>
          <w:szCs w:val="24"/>
          <w:lang w:eastAsia="es-ES"/>
        </w:rPr>
        <w:t xml:space="preserve"> la ejecución.</w:t>
      </w:r>
    </w:p>
    <w:p w14:paraId="2FEC11C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En las demás causales, el Tribunal Supremo puede suspender la ejecución a instancia de parte, pudiendo exigir la constitución de fianza.</w:t>
      </w:r>
    </w:p>
    <w:p w14:paraId="0E72035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Efectos de la sentencia de revisión</w:t>
      </w:r>
    </w:p>
    <w:p w14:paraId="46F7CFFD"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Si el tribunal estima la demanda, "revoca la resolución a la que se refiere y dicta nueva sentencia en los términos en los que debió hacerlo el órgano judicial del que procede la revisada" (art. 449.1).</w:t>
      </w:r>
    </w:p>
    <w:p w14:paraId="2BF30882"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Si el tribunal advierte infracciones que no puedan ser subsanadas por el juzgamiento de revisión, dispone la nulidad de las actuaciones y devuelve el expediente para la reparación del quebrantamiento.</w:t>
      </w:r>
    </w:p>
    <w:p w14:paraId="259A36C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Contra la sentencia que se dicte en proceso de revisión </w:t>
      </w:r>
      <w:r w:rsidRPr="00FF57F9">
        <w:rPr>
          <w:rFonts w:ascii="Times New Roman" w:eastAsia="Times New Roman" w:hAnsi="Times New Roman" w:cs="Times New Roman"/>
          <w:b/>
          <w:bCs/>
          <w:sz w:val="24"/>
          <w:szCs w:val="24"/>
          <w:lang w:eastAsia="es-ES"/>
        </w:rPr>
        <w:t>no procede recurso alguno</w:t>
      </w:r>
      <w:r w:rsidRPr="00FF57F9">
        <w:rPr>
          <w:rFonts w:ascii="Times New Roman" w:eastAsia="Times New Roman" w:hAnsi="Times New Roman" w:cs="Times New Roman"/>
          <w:sz w:val="24"/>
          <w:szCs w:val="24"/>
          <w:lang w:eastAsia="es-ES"/>
        </w:rPr>
        <w:t xml:space="preserve"> (art. 450). Es la última palabra del Tribunal Supremo.</w:t>
      </w:r>
    </w:p>
    <w:p w14:paraId="70984D67" w14:textId="77777777" w:rsidR="00FF57F9" w:rsidRPr="00FF57F9" w:rsidRDefault="00FF57F9" w:rsidP="002F1542">
      <w:pPr>
        <w:spacing w:before="120" w:after="120" w:line="240" w:lineRule="auto"/>
        <w:jc w:val="both"/>
        <w:outlineLvl w:val="1"/>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7. REFLEXIONES FINALES: EL AMPARO COMO GARANTÍA EN CONSTRUCCIÓN</w:t>
      </w:r>
    </w:p>
    <w:p w14:paraId="1DDE63E7" w14:textId="4F09710C" w:rsidR="00FF57F9" w:rsidRPr="00FF57F9" w:rsidRDefault="009A4B02" w:rsidP="002F1542">
      <w:pPr>
        <w:spacing w:before="120" w:after="12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H</w:t>
      </w:r>
      <w:r w:rsidR="00FF57F9" w:rsidRPr="00FF57F9">
        <w:rPr>
          <w:rFonts w:ascii="Times New Roman" w:eastAsia="Times New Roman" w:hAnsi="Times New Roman" w:cs="Times New Roman"/>
          <w:sz w:val="24"/>
          <w:szCs w:val="24"/>
          <w:lang w:eastAsia="es-ES"/>
        </w:rPr>
        <w:t>emos llegado al final de nuestro estudio sobre el proceso de amparo. Permíteme sintetizar las ideas fundamentales que deben quedar como aprendizaje de esta lección y de todo el recorrido que hemos realizado:</w:t>
      </w:r>
    </w:p>
    <w:p w14:paraId="77AB5594"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Primera: La sentencia es el acto culminante del proceso de amparo y tiene naturaleza estimativa.</w:t>
      </w:r>
      <w:r w:rsidRPr="00FF57F9">
        <w:rPr>
          <w:rFonts w:ascii="Times New Roman" w:eastAsia="Times New Roman" w:hAnsi="Times New Roman" w:cs="Times New Roman"/>
          <w:sz w:val="24"/>
          <w:szCs w:val="24"/>
          <w:lang w:eastAsia="es-ES"/>
        </w:rPr>
        <w:t xml:space="preserve"> En ella, el tribunal realiza un juicio de constatación sobre la vulneración del contenido esencial del derecho constitucional. La construcción de los hechos a través de la prueba, la identificación del derecho afectado y de su núcleo esencial, el contraste entre ambos, y la declaración de vulneración (o su ausencia) constituyen la estructura lógica de este juicio. La reparación es consecuencia de esa declaración, pero no se confunde con ella.</w:t>
      </w:r>
    </w:p>
    <w:p w14:paraId="02FF059B"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Segunda: La sentencia de amparo produce efectos inmediatos y goza de ejecutividad provisional.</w:t>
      </w:r>
      <w:r w:rsidRPr="00FF57F9">
        <w:rPr>
          <w:rFonts w:ascii="Times New Roman" w:eastAsia="Times New Roman" w:hAnsi="Times New Roman" w:cs="Times New Roman"/>
          <w:sz w:val="24"/>
          <w:szCs w:val="24"/>
          <w:lang w:eastAsia="es-ES"/>
        </w:rPr>
        <w:t xml:space="preserve"> Su ejecución no se suspende por la interposición de recursos, salvo en casos </w:t>
      </w:r>
      <w:r w:rsidRPr="00FF57F9">
        <w:rPr>
          <w:rFonts w:ascii="Times New Roman" w:eastAsia="Times New Roman" w:hAnsi="Times New Roman" w:cs="Times New Roman"/>
          <w:sz w:val="24"/>
          <w:szCs w:val="24"/>
          <w:lang w:eastAsia="es-ES"/>
        </w:rPr>
        <w:lastRenderedPageBreak/>
        <w:t>excepcionales en que pueda causar un perjuicio irreparable. Esta ejecución inmediata es una manifestación del carácter preferente del amparo.</w:t>
      </w:r>
    </w:p>
    <w:p w14:paraId="0C86C21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Tercera: La cosa juzgada en amparo opera inter partes, pero con efectos expansivos.</w:t>
      </w:r>
      <w:r w:rsidRPr="00FF57F9">
        <w:rPr>
          <w:rFonts w:ascii="Times New Roman" w:eastAsia="Times New Roman" w:hAnsi="Times New Roman" w:cs="Times New Roman"/>
          <w:sz w:val="24"/>
          <w:szCs w:val="24"/>
          <w:lang w:eastAsia="es-ES"/>
        </w:rPr>
        <w:t xml:space="preserve"> La sentencia solo vincula a las partes del proceso, pero sus criterios interpretativos, especialmente cuando emanan del Tribunal Supremo, tienen un indudable valor orientador para futuros casos. Las sentencias desestimatorias no impiden que la interpretación constitucional que contienen vincule a otros órganos judiciales.</w:t>
      </w:r>
    </w:p>
    <w:p w14:paraId="28D07101"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Cuarta: Los medios de impugnación están al servicio de la justicia, pero también de la seguridad jurídica.</w:t>
      </w:r>
      <w:r w:rsidRPr="00FF57F9">
        <w:rPr>
          <w:rFonts w:ascii="Times New Roman" w:eastAsia="Times New Roman" w:hAnsi="Times New Roman" w:cs="Times New Roman"/>
          <w:sz w:val="24"/>
          <w:szCs w:val="24"/>
          <w:lang w:eastAsia="es-ES"/>
        </w:rPr>
        <w:t xml:space="preserve"> La apelación permite una revisión amplia de la sentencia de primera instancia, pero debe interponerse en plazo breve (cinco días) y tramitarse de forma expedita. La revisión, por su parte, es un mecanismo excepcional para corregir injusticias derivadas de vicios graves, pero no puede convertirse en una tercera instancia ordinaria.</w:t>
      </w:r>
    </w:p>
    <w:p w14:paraId="5F8C07D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Quinta: La ejecución de la sentencia es tan importante como la sentencia misma.</w:t>
      </w:r>
      <w:r w:rsidRPr="00FF57F9">
        <w:rPr>
          <w:rFonts w:ascii="Times New Roman" w:eastAsia="Times New Roman" w:hAnsi="Times New Roman" w:cs="Times New Roman"/>
          <w:sz w:val="24"/>
          <w:szCs w:val="24"/>
          <w:lang w:eastAsia="es-ES"/>
        </w:rPr>
        <w:t xml:space="preserve"> Un derecho reconocido que no puede hacerse efectivo es un derecho ilusorio. Por eso, la ley prevé medidas de conminación económica y personal, así como el auxilio de otras autoridades, para vencer la resistencia del condenado.</w:t>
      </w:r>
    </w:p>
    <w:p w14:paraId="1A16E2C6"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b/>
          <w:bCs/>
          <w:sz w:val="24"/>
          <w:szCs w:val="24"/>
          <w:lang w:eastAsia="es-ES"/>
        </w:rPr>
        <w:t>Sexta: El amparo cubano es una garantía en construcción.</w:t>
      </w:r>
      <w:r w:rsidRPr="00FF57F9">
        <w:rPr>
          <w:rFonts w:ascii="Times New Roman" w:eastAsia="Times New Roman" w:hAnsi="Times New Roman" w:cs="Times New Roman"/>
          <w:sz w:val="24"/>
          <w:szCs w:val="24"/>
          <w:lang w:eastAsia="es-ES"/>
        </w:rPr>
        <w:t xml:space="preserve"> Como hemos visto, la Ley 153/2022 ha establecido un marco normativo avanzado, pero su aplicación práctica enfrenta desafíos significativos. La Dra. Pérez Gutiérrez señala acertadamente que el amparo muestra varias "asignaturas pendientes": "necesaria definición de derechos merecedores de esta tutela privilegiada; peligro de colapso de tribunales ante reclamaciones de amparo por solicitudes desestimadas en vía ordinaria; y, responder al postulado constitucional de ser 'preferente, expedito y concentrado'".</w:t>
      </w:r>
    </w:p>
    <w:p w14:paraId="7B067F2C"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La práctica de los tribunales cubanos en los primeros años de vigencia de la ley ha sido, cuando menos, restrictiva. Son contadas las demandas que han logrado superar el umbral de admisibilidad, y los autos de inadmisión suelen adolecer de motivaciones estereotipadas que no satisfacen las exigencias del debido proceso. Como documenta Guzmán Hernández, "a casi dos años de la entrada en vigor de la Ley 153/2022, sobran los dedos de una mano para contar las demandas que han rebasado el umbral de admisibilidad; el amparo se encuentra aún en un limbo jurídico en Cuba".</w:t>
      </w:r>
    </w:p>
    <w:p w14:paraId="4349B27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Frente a esta realidad, el abogado litigante debe asumir un papel especialmente activo. Como aconseja Pérez Gutiérrez, antes de promover el amparo se requiere "previa y exhaustiva -por 'razonada'- preparación: primero, valorar la procedencia del cauce </w:t>
      </w:r>
      <w:proofErr w:type="spellStart"/>
      <w:r w:rsidRPr="00FF57F9">
        <w:rPr>
          <w:rFonts w:ascii="Times New Roman" w:eastAsia="Times New Roman" w:hAnsi="Times New Roman" w:cs="Times New Roman"/>
          <w:sz w:val="24"/>
          <w:szCs w:val="24"/>
          <w:lang w:eastAsia="es-ES"/>
        </w:rPr>
        <w:t>amparista</w:t>
      </w:r>
      <w:proofErr w:type="spellEnd"/>
      <w:r w:rsidRPr="00FF57F9">
        <w:rPr>
          <w:rFonts w:ascii="Times New Roman" w:eastAsia="Times New Roman" w:hAnsi="Times New Roman" w:cs="Times New Roman"/>
          <w:sz w:val="24"/>
          <w:szCs w:val="24"/>
          <w:lang w:eastAsia="es-ES"/>
        </w:rPr>
        <w:t xml:space="preserve"> como el apropiado para la defensa del asunto; segundo, pensar en cómo superar la barrera del juicio de admisibilidad de la demanda; y, tercero, advertir al cliente de que constituye un terreno judicial prácticamente inexplorado, al no existir referencias de actuación cercana en el tiempo en el ámbito nacional".</w:t>
      </w:r>
    </w:p>
    <w:p w14:paraId="7D51812F" w14:textId="1457694A"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Quiero finalizar, con una reflexión que trasciende lo puramente técnico. El amparo no es solo un conjunto de normas procesales; es, ante todo, una garantía al servicio de la dignidad humana. Cuando una persona acude al amparo, está diciendo: "mis derechos fundamentales han sido vulnerados, y necesito que el Estado, a través de sus tribunales, me proteja". La respuesta que el sistema judicial dé a esa persona no solo resuelve su caso concreto; también envía un mensaje a toda la sociedad sobre el valor que realmente tienen los derechos constitucionales.</w:t>
      </w:r>
    </w:p>
    <w:p w14:paraId="3AD5DA1E"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lastRenderedPageBreak/>
        <w:t>Por eso, cuando en el futuro ejerzas la abogacía o la judicatura, recuerda que detrás de cada expediente de amparo hay una persona con nombre y apellido, con una historia, con un sufrimiento, con una expectativa de justicia. Las normas que hemos estudiado son el instrumento, pero la justicia es el fin. Y la justicia, en el ámbito del amparo, significa que los derechos constitucionales no sean meras declaraciones retóricas, sino realidades efectivas en la vida de las personas.</w:t>
      </w:r>
    </w:p>
    <w:p w14:paraId="391D760F" w14:textId="77777777" w:rsidR="00FF57F9" w:rsidRPr="00FF57F9" w:rsidRDefault="00FF57F9" w:rsidP="002F1542">
      <w:pPr>
        <w:spacing w:before="120" w:after="120"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Como bien señalaba Calamandrei, "el oficio del abogado es duro y austero". Pero es también, </w:t>
      </w:r>
      <w:proofErr w:type="gramStart"/>
      <w:r w:rsidRPr="00FF57F9">
        <w:rPr>
          <w:rFonts w:ascii="Times New Roman" w:eastAsia="Times New Roman" w:hAnsi="Times New Roman" w:cs="Times New Roman"/>
          <w:sz w:val="24"/>
          <w:szCs w:val="24"/>
          <w:lang w:eastAsia="es-ES"/>
        </w:rPr>
        <w:t>y</w:t>
      </w:r>
      <w:proofErr w:type="gramEnd"/>
      <w:r w:rsidRPr="00FF57F9">
        <w:rPr>
          <w:rFonts w:ascii="Times New Roman" w:eastAsia="Times New Roman" w:hAnsi="Times New Roman" w:cs="Times New Roman"/>
          <w:sz w:val="24"/>
          <w:szCs w:val="24"/>
          <w:lang w:eastAsia="es-ES"/>
        </w:rPr>
        <w:t xml:space="preserve"> sobre todo, un oficio noble, porque pone el conocimiento técnico al servicio de la defensa de lo más valioso que tiene el ser humano: su dignidad y sus derechos.</w:t>
      </w:r>
    </w:p>
    <w:p w14:paraId="4D8CDA72" w14:textId="77777777" w:rsidR="00FF57F9" w:rsidRPr="00FF57F9" w:rsidRDefault="00FF57F9" w:rsidP="00FF57F9">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REFERENCIAS BIBLIOGRÁFICAS</w:t>
      </w:r>
    </w:p>
    <w:p w14:paraId="2FA52154" w14:textId="77777777" w:rsidR="00FF57F9" w:rsidRPr="00FF57F9" w:rsidRDefault="00FF57F9" w:rsidP="00FF57F9">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I. NORMATIVA JURÍDICA</w:t>
      </w:r>
    </w:p>
    <w:p w14:paraId="6CFC6C27" w14:textId="77777777" w:rsidR="00FF57F9" w:rsidRPr="00FF57F9" w:rsidRDefault="00FF57F9" w:rsidP="00FF57F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Constitución de la República de Cuba, de 10 de abril de 2019. Gaceta Oficial de la República de Cuba, Edición Extraordinaria No. 5, de 10 de abril de 2019.</w:t>
      </w:r>
    </w:p>
    <w:p w14:paraId="2ACE0FCD" w14:textId="77777777" w:rsidR="00FF57F9" w:rsidRPr="00FF57F9" w:rsidRDefault="00FF57F9" w:rsidP="00FF57F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Ley No. 141 de 2021, "Código de Procesos". Gaceta Oficial de la República de Cuba, Edición Extraordinaria No. 138, de 7 de diciembre de 2021 (GOC-2021-1071-O138).</w:t>
      </w:r>
    </w:p>
    <w:p w14:paraId="3E40FA39" w14:textId="77777777" w:rsidR="00FF57F9" w:rsidRPr="00FF57F9" w:rsidRDefault="00FF57F9" w:rsidP="00FF57F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Ley No. 153 de 2022, "Del Proceso de Amparo de los Derechos Constitucionales". Gaceta Oficial de la República de Cuba, Edición Ordinaria No. 74, de 15 de julio de 2022 (GOC-2022-734-O74).</w:t>
      </w:r>
    </w:p>
    <w:p w14:paraId="5DCC32E0" w14:textId="77777777" w:rsidR="00FF57F9" w:rsidRPr="00FF57F9" w:rsidRDefault="00FF57F9" w:rsidP="00FF57F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Ley No. 140 de 2021, "Ley de los Tribunales de Justicia". Gaceta Oficial de la República de Cuba, Edición Extraordinaria No. 137, de 7 de diciembre de 2021.</w:t>
      </w:r>
    </w:p>
    <w:p w14:paraId="7DC890DD" w14:textId="77777777" w:rsidR="00FF57F9" w:rsidRPr="00FF57F9" w:rsidRDefault="00FF57F9" w:rsidP="00FF57F9">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II. DOCTRINA CUBANA</w:t>
      </w:r>
    </w:p>
    <w:p w14:paraId="126A7828" w14:textId="77777777" w:rsidR="00FF57F9" w:rsidRPr="00FF57F9" w:rsidRDefault="00FF57F9" w:rsidP="00FF57F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GUZMÁN HERNÁNDEZ, Teodoro Yan. "El amparo de los derechos constitucionales en Cuba desde el análisis de la 'trascendencia jurídico social de la vulneración alegada' de la Ley 153/2022". </w:t>
      </w:r>
      <w:r w:rsidRPr="00FF57F9">
        <w:rPr>
          <w:rFonts w:ascii="Times New Roman" w:eastAsia="Times New Roman" w:hAnsi="Times New Roman" w:cs="Times New Roman"/>
          <w:i/>
          <w:iCs/>
          <w:sz w:val="24"/>
          <w:szCs w:val="24"/>
          <w:lang w:eastAsia="es-ES"/>
        </w:rPr>
        <w:t>Revista General de Derecho Público Comparado</w:t>
      </w:r>
      <w:r w:rsidRPr="00FF57F9">
        <w:rPr>
          <w:rFonts w:ascii="Times New Roman" w:eastAsia="Times New Roman" w:hAnsi="Times New Roman" w:cs="Times New Roman"/>
          <w:sz w:val="24"/>
          <w:szCs w:val="24"/>
          <w:lang w:eastAsia="es-ES"/>
        </w:rPr>
        <w:t>, No. 35, 2024.</w:t>
      </w:r>
    </w:p>
    <w:p w14:paraId="19905267" w14:textId="77777777" w:rsidR="00FF57F9" w:rsidRPr="00FF57F9" w:rsidRDefault="00FF57F9" w:rsidP="00FF57F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MENDOZA DÍAZ, Juan. </w:t>
      </w:r>
      <w:r w:rsidRPr="00FF57F9">
        <w:rPr>
          <w:rFonts w:ascii="Times New Roman" w:eastAsia="Times New Roman" w:hAnsi="Times New Roman" w:cs="Times New Roman"/>
          <w:i/>
          <w:iCs/>
          <w:sz w:val="24"/>
          <w:szCs w:val="24"/>
          <w:lang w:eastAsia="es-ES"/>
        </w:rPr>
        <w:t>Derecho Procesal. Parte General</w:t>
      </w:r>
      <w:r w:rsidRPr="00FF57F9">
        <w:rPr>
          <w:rFonts w:ascii="Times New Roman" w:eastAsia="Times New Roman" w:hAnsi="Times New Roman" w:cs="Times New Roman"/>
          <w:sz w:val="24"/>
          <w:szCs w:val="24"/>
          <w:lang w:eastAsia="es-ES"/>
        </w:rPr>
        <w:t>. La Habana: Editorial Universitaria Félix Varela, 2015.</w:t>
      </w:r>
    </w:p>
    <w:p w14:paraId="50B5F1EA" w14:textId="77777777" w:rsidR="00FF57F9" w:rsidRPr="00FF57F9" w:rsidRDefault="00FF57F9" w:rsidP="00FF57F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PÉREZ GUTIÉRREZ, Ivonne. "La demanda de amparo: peculiaridades procedimentales y de fondo". Artículo inédito, 2025.</w:t>
      </w:r>
    </w:p>
    <w:p w14:paraId="6F0E7632" w14:textId="77777777" w:rsidR="00FF57F9" w:rsidRPr="00FF57F9" w:rsidRDefault="00FF57F9" w:rsidP="00FF57F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PÉREZ GUTIÉRREZ, Ivonne. </w:t>
      </w:r>
      <w:r w:rsidRPr="00FF57F9">
        <w:rPr>
          <w:rFonts w:ascii="Times New Roman" w:eastAsia="Times New Roman" w:hAnsi="Times New Roman" w:cs="Times New Roman"/>
          <w:i/>
          <w:iCs/>
          <w:sz w:val="24"/>
          <w:szCs w:val="24"/>
          <w:lang w:eastAsia="es-ES"/>
        </w:rPr>
        <w:t>Las medidas cautelares: una valiosa herramienta procesal</w:t>
      </w:r>
      <w:r w:rsidRPr="00FF57F9">
        <w:rPr>
          <w:rFonts w:ascii="Times New Roman" w:eastAsia="Times New Roman" w:hAnsi="Times New Roman" w:cs="Times New Roman"/>
          <w:sz w:val="24"/>
          <w:szCs w:val="24"/>
          <w:lang w:eastAsia="es-ES"/>
        </w:rPr>
        <w:t>. La Habana: Ediciones ONBC, 2012.</w:t>
      </w:r>
    </w:p>
    <w:p w14:paraId="18D9545A" w14:textId="77777777" w:rsidR="00FF57F9" w:rsidRPr="00FF57F9" w:rsidRDefault="00FF57F9" w:rsidP="00FF57F9">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III. DOCTRINA IBEROAMERICANA</w:t>
      </w:r>
    </w:p>
    <w:p w14:paraId="6485C1A8" w14:textId="77777777" w:rsidR="00FF57F9" w:rsidRPr="00FF57F9" w:rsidRDefault="00FF57F9" w:rsidP="00FF57F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ATIENZA, Manuel. </w:t>
      </w:r>
      <w:r w:rsidRPr="00FF57F9">
        <w:rPr>
          <w:rFonts w:ascii="Times New Roman" w:eastAsia="Times New Roman" w:hAnsi="Times New Roman" w:cs="Times New Roman"/>
          <w:i/>
          <w:iCs/>
          <w:sz w:val="24"/>
          <w:szCs w:val="24"/>
          <w:lang w:eastAsia="es-ES"/>
        </w:rPr>
        <w:t>Curso de argumentación jurídica</w:t>
      </w:r>
      <w:r w:rsidRPr="00FF57F9">
        <w:rPr>
          <w:rFonts w:ascii="Times New Roman" w:eastAsia="Times New Roman" w:hAnsi="Times New Roman" w:cs="Times New Roman"/>
          <w:sz w:val="24"/>
          <w:szCs w:val="24"/>
          <w:lang w:eastAsia="es-ES"/>
        </w:rPr>
        <w:t>. Madrid: Editorial Trotta S.A., 2013.</w:t>
      </w:r>
    </w:p>
    <w:p w14:paraId="7A633660" w14:textId="77777777" w:rsidR="00FF57F9" w:rsidRPr="00FF57F9" w:rsidRDefault="00FF57F9" w:rsidP="00FF57F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CALAMANDREI, Piero. </w:t>
      </w:r>
      <w:r w:rsidRPr="00FF57F9">
        <w:rPr>
          <w:rFonts w:ascii="Times New Roman" w:eastAsia="Times New Roman" w:hAnsi="Times New Roman" w:cs="Times New Roman"/>
          <w:i/>
          <w:iCs/>
          <w:sz w:val="24"/>
          <w:szCs w:val="24"/>
          <w:lang w:eastAsia="es-ES"/>
        </w:rPr>
        <w:t>Elogio de los jueces escrito por un abogado</w:t>
      </w:r>
      <w:r w:rsidRPr="00FF57F9">
        <w:rPr>
          <w:rFonts w:ascii="Times New Roman" w:eastAsia="Times New Roman" w:hAnsi="Times New Roman" w:cs="Times New Roman"/>
          <w:sz w:val="24"/>
          <w:szCs w:val="24"/>
          <w:lang w:eastAsia="es-ES"/>
        </w:rPr>
        <w:t>. T.I. La Habana: Ediciones ONBC (a partir de Ediciones Jurídicas Europa-América, 1956), 2015.</w:t>
      </w:r>
    </w:p>
    <w:p w14:paraId="4B29F3BD" w14:textId="77777777" w:rsidR="00FF57F9" w:rsidRPr="00FF57F9" w:rsidRDefault="00FF57F9" w:rsidP="00FF57F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FERRER BELTRÁN, Jordi. </w:t>
      </w:r>
      <w:r w:rsidRPr="00FF57F9">
        <w:rPr>
          <w:rFonts w:ascii="Times New Roman" w:eastAsia="Times New Roman" w:hAnsi="Times New Roman" w:cs="Times New Roman"/>
          <w:i/>
          <w:iCs/>
          <w:sz w:val="24"/>
          <w:szCs w:val="24"/>
          <w:lang w:eastAsia="es-ES"/>
        </w:rPr>
        <w:t>La valoración racional de la prueba</w:t>
      </w:r>
      <w:r w:rsidRPr="00FF57F9">
        <w:rPr>
          <w:rFonts w:ascii="Times New Roman" w:eastAsia="Times New Roman" w:hAnsi="Times New Roman" w:cs="Times New Roman"/>
          <w:sz w:val="24"/>
          <w:szCs w:val="24"/>
          <w:lang w:eastAsia="es-ES"/>
        </w:rPr>
        <w:t>. Madrid: Marcial Pons, 2007.</w:t>
      </w:r>
    </w:p>
    <w:p w14:paraId="23788509" w14:textId="77777777" w:rsidR="00FF57F9" w:rsidRPr="00FF57F9" w:rsidRDefault="00FF57F9" w:rsidP="00FF57F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KLETT, Selva. </w:t>
      </w:r>
      <w:r w:rsidRPr="00FF57F9">
        <w:rPr>
          <w:rFonts w:ascii="Times New Roman" w:eastAsia="Times New Roman" w:hAnsi="Times New Roman" w:cs="Times New Roman"/>
          <w:i/>
          <w:iCs/>
          <w:sz w:val="24"/>
          <w:szCs w:val="24"/>
          <w:lang w:eastAsia="es-ES"/>
        </w:rPr>
        <w:t>Proceso Ordinario en el Código General del Proceso</w:t>
      </w:r>
      <w:r w:rsidRPr="00FF57F9">
        <w:rPr>
          <w:rFonts w:ascii="Times New Roman" w:eastAsia="Times New Roman" w:hAnsi="Times New Roman" w:cs="Times New Roman"/>
          <w:sz w:val="24"/>
          <w:szCs w:val="24"/>
          <w:lang w:eastAsia="es-ES"/>
        </w:rPr>
        <w:t>. T. I. Montevideo: Fundación de Cultura Universitaria, 2014.</w:t>
      </w:r>
    </w:p>
    <w:p w14:paraId="619468E8" w14:textId="77777777" w:rsidR="00FF57F9" w:rsidRPr="00FF57F9" w:rsidRDefault="00FF57F9" w:rsidP="00FF57F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LORENZO, Leticia. </w:t>
      </w:r>
      <w:r w:rsidRPr="00FF57F9">
        <w:rPr>
          <w:rFonts w:ascii="Times New Roman" w:eastAsia="Times New Roman" w:hAnsi="Times New Roman" w:cs="Times New Roman"/>
          <w:i/>
          <w:iCs/>
          <w:sz w:val="24"/>
          <w:szCs w:val="24"/>
          <w:lang w:eastAsia="es-ES"/>
        </w:rPr>
        <w:t>Manual de Litigación Civil</w:t>
      </w:r>
      <w:r w:rsidRPr="00FF57F9">
        <w:rPr>
          <w:rFonts w:ascii="Times New Roman" w:eastAsia="Times New Roman" w:hAnsi="Times New Roman" w:cs="Times New Roman"/>
          <w:sz w:val="24"/>
          <w:szCs w:val="24"/>
          <w:lang w:eastAsia="es-ES"/>
        </w:rPr>
        <w:t>. Santiago de Chile: Editorial CEJA-JSCA, 2017.</w:t>
      </w:r>
    </w:p>
    <w:p w14:paraId="158986CB" w14:textId="77777777" w:rsidR="00FF57F9" w:rsidRPr="00FF57F9" w:rsidRDefault="00FF57F9" w:rsidP="00FF57F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lastRenderedPageBreak/>
        <w:t>SCHAUER, Frederick. "Pensar como un abogado, una nueva introducción al razonamiento jurídico". En: FERRER BELTRÁN, Jordi; MORESO MATEOS, José J.; SGARBI, Adrián (</w:t>
      </w:r>
      <w:proofErr w:type="spellStart"/>
      <w:r w:rsidRPr="00FF57F9">
        <w:rPr>
          <w:rFonts w:ascii="Times New Roman" w:eastAsia="Times New Roman" w:hAnsi="Times New Roman" w:cs="Times New Roman"/>
          <w:sz w:val="24"/>
          <w:szCs w:val="24"/>
          <w:lang w:eastAsia="es-ES"/>
        </w:rPr>
        <w:t>dirs</w:t>
      </w:r>
      <w:proofErr w:type="spellEnd"/>
      <w:r w:rsidRPr="00FF57F9">
        <w:rPr>
          <w:rFonts w:ascii="Times New Roman" w:eastAsia="Times New Roman" w:hAnsi="Times New Roman" w:cs="Times New Roman"/>
          <w:sz w:val="24"/>
          <w:szCs w:val="24"/>
          <w:lang w:eastAsia="es-ES"/>
        </w:rPr>
        <w:t xml:space="preserve">.). </w:t>
      </w:r>
      <w:r w:rsidRPr="00FF57F9">
        <w:rPr>
          <w:rFonts w:ascii="Times New Roman" w:eastAsia="Times New Roman" w:hAnsi="Times New Roman" w:cs="Times New Roman"/>
          <w:i/>
          <w:iCs/>
          <w:sz w:val="24"/>
          <w:szCs w:val="24"/>
          <w:lang w:eastAsia="es-ES"/>
        </w:rPr>
        <w:t>Colección Filosofía y Derecho</w:t>
      </w:r>
      <w:r w:rsidRPr="00FF57F9">
        <w:rPr>
          <w:rFonts w:ascii="Times New Roman" w:eastAsia="Times New Roman" w:hAnsi="Times New Roman" w:cs="Times New Roman"/>
          <w:sz w:val="24"/>
          <w:szCs w:val="24"/>
          <w:lang w:eastAsia="es-ES"/>
        </w:rPr>
        <w:t xml:space="preserve">. Traducción de Tobías J. </w:t>
      </w:r>
      <w:proofErr w:type="spellStart"/>
      <w:r w:rsidRPr="00FF57F9">
        <w:rPr>
          <w:rFonts w:ascii="Times New Roman" w:eastAsia="Times New Roman" w:hAnsi="Times New Roman" w:cs="Times New Roman"/>
          <w:sz w:val="24"/>
          <w:szCs w:val="24"/>
          <w:lang w:eastAsia="es-ES"/>
        </w:rPr>
        <w:t>Schleider</w:t>
      </w:r>
      <w:proofErr w:type="spellEnd"/>
      <w:r w:rsidRPr="00FF57F9">
        <w:rPr>
          <w:rFonts w:ascii="Times New Roman" w:eastAsia="Times New Roman" w:hAnsi="Times New Roman" w:cs="Times New Roman"/>
          <w:sz w:val="24"/>
          <w:szCs w:val="24"/>
          <w:lang w:eastAsia="es-ES"/>
        </w:rPr>
        <w:t>. Madrid: Editorial Marcial Pons, 2013.</w:t>
      </w:r>
    </w:p>
    <w:p w14:paraId="5804CC8C" w14:textId="77777777" w:rsidR="00FF57F9" w:rsidRPr="00FF57F9" w:rsidRDefault="00FF57F9" w:rsidP="00FF57F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TARUFFO, Michele. </w:t>
      </w:r>
      <w:r w:rsidRPr="00FF57F9">
        <w:rPr>
          <w:rFonts w:ascii="Times New Roman" w:eastAsia="Times New Roman" w:hAnsi="Times New Roman" w:cs="Times New Roman"/>
          <w:i/>
          <w:iCs/>
          <w:sz w:val="24"/>
          <w:szCs w:val="24"/>
          <w:lang w:eastAsia="es-ES"/>
        </w:rPr>
        <w:t>La prueba de los hechos</w:t>
      </w:r>
      <w:r w:rsidRPr="00FF57F9">
        <w:rPr>
          <w:rFonts w:ascii="Times New Roman" w:eastAsia="Times New Roman" w:hAnsi="Times New Roman" w:cs="Times New Roman"/>
          <w:sz w:val="24"/>
          <w:szCs w:val="24"/>
          <w:lang w:eastAsia="es-ES"/>
        </w:rPr>
        <w:t>. Traducción de Jordi Ferrer Beltrán. Madrid: Trotta, 2002.</w:t>
      </w:r>
    </w:p>
    <w:p w14:paraId="4B27F68B" w14:textId="77777777" w:rsidR="00FF57F9" w:rsidRPr="00FF57F9" w:rsidRDefault="00FF57F9" w:rsidP="00FF57F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TARUFFO, Michele. </w:t>
      </w:r>
      <w:r w:rsidRPr="00FF57F9">
        <w:rPr>
          <w:rFonts w:ascii="Times New Roman" w:eastAsia="Times New Roman" w:hAnsi="Times New Roman" w:cs="Times New Roman"/>
          <w:i/>
          <w:iCs/>
          <w:sz w:val="24"/>
          <w:szCs w:val="24"/>
          <w:lang w:eastAsia="es-ES"/>
        </w:rPr>
        <w:t>La motivación de la sentencia civil</w:t>
      </w:r>
      <w:r w:rsidRPr="00FF57F9">
        <w:rPr>
          <w:rFonts w:ascii="Times New Roman" w:eastAsia="Times New Roman" w:hAnsi="Times New Roman" w:cs="Times New Roman"/>
          <w:sz w:val="24"/>
          <w:szCs w:val="24"/>
          <w:lang w:eastAsia="es-ES"/>
        </w:rPr>
        <w:t>. Traducción de Lorenzo Córdova. Madrid: Trotta, 2011.</w:t>
      </w:r>
    </w:p>
    <w:p w14:paraId="572A0A9C" w14:textId="77777777" w:rsidR="00FF57F9" w:rsidRPr="00FF57F9" w:rsidRDefault="00FF57F9" w:rsidP="00FF57F9">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FF57F9">
        <w:rPr>
          <w:rFonts w:ascii="Times New Roman" w:eastAsia="Times New Roman" w:hAnsi="Times New Roman" w:cs="Times New Roman"/>
          <w:b/>
          <w:bCs/>
          <w:sz w:val="24"/>
          <w:szCs w:val="24"/>
          <w:lang w:eastAsia="es-ES"/>
        </w:rPr>
        <w:t>IV. JURISPRUDENCIA CONSULTADA</w:t>
      </w:r>
    </w:p>
    <w:p w14:paraId="02E5F3E4" w14:textId="77777777" w:rsidR="00FF57F9" w:rsidRPr="00FF57F9" w:rsidRDefault="00FF57F9" w:rsidP="00FF57F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Tribunal Constitucional de España, Sentencia 11/1981, de 8 de abril.</w:t>
      </w:r>
    </w:p>
    <w:p w14:paraId="4ACA36E9" w14:textId="77777777" w:rsidR="00FF57F9" w:rsidRPr="00FF57F9" w:rsidRDefault="00FF57F9" w:rsidP="00FF57F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 xml:space="preserve">Tribunal Constitucional del Perú, Sentencia recaída en el Expediente </w:t>
      </w:r>
      <w:proofErr w:type="spellStart"/>
      <w:r w:rsidRPr="00FF57F9">
        <w:rPr>
          <w:rFonts w:ascii="Times New Roman" w:eastAsia="Times New Roman" w:hAnsi="Times New Roman" w:cs="Times New Roman"/>
          <w:sz w:val="24"/>
          <w:szCs w:val="24"/>
          <w:lang w:eastAsia="es-ES"/>
        </w:rPr>
        <w:t>N.°</w:t>
      </w:r>
      <w:proofErr w:type="spellEnd"/>
      <w:r w:rsidRPr="00FF57F9">
        <w:rPr>
          <w:rFonts w:ascii="Times New Roman" w:eastAsia="Times New Roman" w:hAnsi="Times New Roman" w:cs="Times New Roman"/>
          <w:sz w:val="24"/>
          <w:szCs w:val="24"/>
          <w:lang w:eastAsia="es-ES"/>
        </w:rPr>
        <w:t xml:space="preserve"> 1417-2005-PA/TC.</w:t>
      </w:r>
    </w:p>
    <w:p w14:paraId="4AA9749E" w14:textId="77777777" w:rsidR="00FF57F9" w:rsidRPr="00FF57F9" w:rsidRDefault="00FF57F9" w:rsidP="00FF57F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FF57F9">
        <w:rPr>
          <w:rFonts w:ascii="Times New Roman" w:eastAsia="Times New Roman" w:hAnsi="Times New Roman" w:cs="Times New Roman"/>
          <w:sz w:val="24"/>
          <w:szCs w:val="24"/>
          <w:lang w:eastAsia="es-ES"/>
        </w:rPr>
        <w:t>Tribunal Europeo de Derechos Humanos, Caso Velásquez Rodríguez vs. Honduras (Fondo), Sentencia de 29 de julio de 1988.</w:t>
      </w:r>
    </w:p>
    <w:p w14:paraId="7F447F38" w14:textId="77777777" w:rsidR="00DD5322" w:rsidRPr="00FF57F9" w:rsidRDefault="00DD5322" w:rsidP="00FF57F9">
      <w:pPr>
        <w:jc w:val="both"/>
        <w:rPr>
          <w:rFonts w:ascii="Times New Roman" w:hAnsi="Times New Roman" w:cs="Times New Roman"/>
          <w:sz w:val="24"/>
          <w:szCs w:val="24"/>
        </w:rPr>
      </w:pPr>
    </w:p>
    <w:sectPr w:rsidR="00DD5322" w:rsidRPr="00FF57F9" w:rsidSect="009D0270">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419A"/>
    <w:multiLevelType w:val="multilevel"/>
    <w:tmpl w:val="F272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0242B"/>
    <w:multiLevelType w:val="multilevel"/>
    <w:tmpl w:val="7512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64001"/>
    <w:multiLevelType w:val="multilevel"/>
    <w:tmpl w:val="3E9674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BF7D0D"/>
    <w:multiLevelType w:val="multilevel"/>
    <w:tmpl w:val="7CDE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C0FED"/>
    <w:multiLevelType w:val="multilevel"/>
    <w:tmpl w:val="41CC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D5977"/>
    <w:multiLevelType w:val="multilevel"/>
    <w:tmpl w:val="01C8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05148D"/>
    <w:multiLevelType w:val="multilevel"/>
    <w:tmpl w:val="1D7C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035F0"/>
    <w:multiLevelType w:val="multilevel"/>
    <w:tmpl w:val="0A60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A4796"/>
    <w:multiLevelType w:val="multilevel"/>
    <w:tmpl w:val="3822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06247"/>
    <w:multiLevelType w:val="multilevel"/>
    <w:tmpl w:val="26F6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9"/>
  </w:num>
  <w:num w:numId="4">
    <w:abstractNumId w:val="4"/>
  </w:num>
  <w:num w:numId="5">
    <w:abstractNumId w:val="5"/>
  </w:num>
  <w:num w:numId="6">
    <w:abstractNumId w:val="7"/>
  </w:num>
  <w:num w:numId="7">
    <w:abstractNumId w:val="6"/>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7F9"/>
    <w:rsid w:val="002F1542"/>
    <w:rsid w:val="00303DD2"/>
    <w:rsid w:val="009A4B02"/>
    <w:rsid w:val="009D0270"/>
    <w:rsid w:val="00DD5322"/>
    <w:rsid w:val="00FF57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D670"/>
  <w15:chartTrackingRefBased/>
  <w15:docId w15:val="{3022EB56-226F-4200-9F3F-72D1D29F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F57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FF57F9"/>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FF57F9"/>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57F9"/>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FF57F9"/>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FF57F9"/>
    <w:rPr>
      <w:rFonts w:ascii="Times New Roman" w:eastAsia="Times New Roman" w:hAnsi="Times New Roman" w:cs="Times New Roman"/>
      <w:b/>
      <w:bCs/>
      <w:sz w:val="27"/>
      <w:szCs w:val="27"/>
      <w:lang w:eastAsia="es-ES"/>
    </w:rPr>
  </w:style>
  <w:style w:type="paragraph" w:customStyle="1" w:styleId="ds-markdown-paragraph">
    <w:name w:val="ds-markdown-paragraph"/>
    <w:basedOn w:val="Normal"/>
    <w:rsid w:val="00FF57F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F57F9"/>
    <w:rPr>
      <w:b/>
      <w:bCs/>
    </w:rPr>
  </w:style>
  <w:style w:type="character" w:styleId="nfasis">
    <w:name w:val="Emphasis"/>
    <w:basedOn w:val="Fuentedeprrafopredeter"/>
    <w:uiPriority w:val="20"/>
    <w:qFormat/>
    <w:rsid w:val="00FF57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7802</Words>
  <Characters>42916</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amed</dc:creator>
  <cp:keywords/>
  <dc:description/>
  <cp:lastModifiedBy>amed</cp:lastModifiedBy>
  <cp:revision>3</cp:revision>
  <dcterms:created xsi:type="dcterms:W3CDTF">2026-03-15T18:06:00Z</dcterms:created>
  <dcterms:modified xsi:type="dcterms:W3CDTF">2026-03-15T18:11:00Z</dcterms:modified>
</cp:coreProperties>
</file>