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02634" w14:textId="270A6E39" w:rsidR="00A52F93" w:rsidRDefault="00DD02AE" w:rsidP="00DD02AE">
      <w:pPr>
        <w:spacing w:line="360" w:lineRule="auto"/>
        <w:jc w:val="both"/>
        <w:rPr>
          <w:rFonts w:ascii="Arial" w:hAnsi="Arial" w:cs="Arial"/>
          <w:sz w:val="24"/>
          <w:szCs w:val="24"/>
          <w:lang w:val="es-ES"/>
        </w:rPr>
      </w:pPr>
      <w:r>
        <w:rPr>
          <w:rFonts w:ascii="Arial" w:hAnsi="Arial" w:cs="Arial"/>
          <w:sz w:val="24"/>
          <w:szCs w:val="24"/>
          <w:lang w:val="es-ES"/>
        </w:rPr>
        <w:t>Derecho de Contratos.</w:t>
      </w:r>
    </w:p>
    <w:p w14:paraId="56334FAE" w14:textId="4AFF3B88" w:rsidR="00DD02AE" w:rsidRDefault="00DD02AE" w:rsidP="00DD02AE">
      <w:pPr>
        <w:spacing w:line="360" w:lineRule="auto"/>
        <w:jc w:val="both"/>
        <w:rPr>
          <w:rFonts w:ascii="Arial" w:hAnsi="Arial" w:cs="Arial"/>
          <w:color w:val="000000"/>
          <w:sz w:val="24"/>
          <w:szCs w:val="24"/>
        </w:rPr>
      </w:pPr>
      <w:r>
        <w:rPr>
          <w:rFonts w:ascii="Arial" w:hAnsi="Arial" w:cs="Arial"/>
          <w:sz w:val="24"/>
          <w:szCs w:val="24"/>
          <w:lang w:val="es-ES"/>
        </w:rPr>
        <w:t xml:space="preserve">Conferencia 4: </w:t>
      </w:r>
      <w:r w:rsidRPr="00325529">
        <w:rPr>
          <w:rFonts w:ascii="Arial" w:hAnsi="Arial" w:cs="Arial"/>
          <w:color w:val="000000"/>
          <w:sz w:val="24"/>
          <w:szCs w:val="24"/>
        </w:rPr>
        <w:t>Los contratos traslativos del derecho de propiedad.</w:t>
      </w:r>
    </w:p>
    <w:p w14:paraId="3DFE209B" w14:textId="7D04DF32" w:rsidR="00DD02AE" w:rsidRDefault="00DD02AE" w:rsidP="00DD02AE">
      <w:pPr>
        <w:jc w:val="both"/>
        <w:rPr>
          <w:rFonts w:ascii="Arial" w:hAnsi="Arial" w:cs="Arial"/>
          <w:color w:val="000000"/>
          <w:sz w:val="24"/>
          <w:szCs w:val="24"/>
        </w:rPr>
      </w:pPr>
      <w:r w:rsidRPr="00325529">
        <w:rPr>
          <w:rFonts w:ascii="Arial" w:hAnsi="Arial" w:cs="Arial"/>
          <w:color w:val="000000"/>
          <w:sz w:val="24"/>
          <w:szCs w:val="24"/>
        </w:rPr>
        <w:t>Concepto, naturaleza jurídica, características, elementos constitutivos,</w:t>
      </w:r>
      <w:r>
        <w:rPr>
          <w:rFonts w:ascii="Arial" w:hAnsi="Arial" w:cs="Arial"/>
          <w:color w:val="000000"/>
          <w:sz w:val="24"/>
          <w:szCs w:val="24"/>
        </w:rPr>
        <w:t xml:space="preserve"> </w:t>
      </w:r>
      <w:r w:rsidRPr="00325529">
        <w:rPr>
          <w:rFonts w:ascii="Arial" w:hAnsi="Arial" w:cs="Arial"/>
          <w:color w:val="000000"/>
          <w:sz w:val="24"/>
          <w:szCs w:val="24"/>
        </w:rPr>
        <w:t>obligaciones de las partes, elementos naturales y terminación de los contratos.</w:t>
      </w:r>
    </w:p>
    <w:p w14:paraId="6DD4DEE5" w14:textId="77777777" w:rsidR="00297E09" w:rsidRDefault="00297E09" w:rsidP="00DD02AE">
      <w:pPr>
        <w:spacing w:line="360" w:lineRule="auto"/>
        <w:jc w:val="both"/>
        <w:rPr>
          <w:rFonts w:ascii="Arial" w:hAnsi="Arial" w:cs="Arial"/>
          <w:sz w:val="24"/>
          <w:szCs w:val="24"/>
          <w:lang w:val="es-ES"/>
        </w:rPr>
      </w:pPr>
    </w:p>
    <w:p w14:paraId="668BBF86" w14:textId="025ABB6C" w:rsidR="00DD02AE" w:rsidRPr="00DD02AE" w:rsidRDefault="00DD02AE" w:rsidP="00DD02AE">
      <w:pPr>
        <w:spacing w:line="360" w:lineRule="auto"/>
        <w:jc w:val="both"/>
        <w:rPr>
          <w:rFonts w:ascii="Arial" w:hAnsi="Arial" w:cs="Arial"/>
          <w:sz w:val="24"/>
          <w:szCs w:val="24"/>
          <w:lang w:val="es-ES"/>
        </w:rPr>
      </w:pPr>
      <w:r>
        <w:rPr>
          <w:rFonts w:ascii="Arial" w:hAnsi="Arial" w:cs="Arial"/>
          <w:sz w:val="24"/>
          <w:szCs w:val="24"/>
          <w:lang w:val="es-ES"/>
        </w:rPr>
        <w:t>T</w:t>
      </w:r>
      <w:r w:rsidRPr="00DD02AE">
        <w:rPr>
          <w:rFonts w:ascii="Arial" w:hAnsi="Arial" w:cs="Arial"/>
          <w:sz w:val="24"/>
          <w:szCs w:val="24"/>
          <w:lang w:val="es-ES"/>
        </w:rPr>
        <w:t>eoría del título y el modo en Cuba ------ el contrato no transmite la propiedad.</w:t>
      </w:r>
    </w:p>
    <w:p w14:paraId="1A3F6514"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Compraventa: contrato en virtud del cual una parte (vendedor) consiente en trasmitir la propiedad a otra (comprador) y este se compromete a pagar a cambio una suma de dinero (precio) ------- artículo 334.</w:t>
      </w:r>
    </w:p>
    <w:p w14:paraId="0D156B3D" w14:textId="77777777" w:rsidR="00DD02AE" w:rsidRPr="00DD02AE" w:rsidRDefault="00DD02AE" w:rsidP="00DD02AE">
      <w:pPr>
        <w:spacing w:line="360" w:lineRule="auto"/>
        <w:jc w:val="both"/>
        <w:rPr>
          <w:rFonts w:ascii="Arial" w:hAnsi="Arial" w:cs="Arial"/>
          <w:sz w:val="24"/>
          <w:szCs w:val="24"/>
          <w:lang w:val="es-ES"/>
        </w:rPr>
      </w:pPr>
    </w:p>
    <w:p w14:paraId="09BFB4C4" w14:textId="04CE397B"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noProof/>
          <w:sz w:val="24"/>
          <w:szCs w:val="24"/>
          <w:lang w:val="es-ES" w:eastAsia="es-ES"/>
        </w:rPr>
        <mc:AlternateContent>
          <mc:Choice Requires="wps">
            <w:drawing>
              <wp:anchor distT="0" distB="0" distL="114300" distR="114300" simplePos="0" relativeHeight="251664384" behindDoc="0" locked="0" layoutInCell="1" allowOverlap="1" wp14:anchorId="376A4956" wp14:editId="08BAE41F">
                <wp:simplePos x="0" y="0"/>
                <wp:positionH relativeFrom="column">
                  <wp:posOffset>2696845</wp:posOffset>
                </wp:positionH>
                <wp:positionV relativeFrom="paragraph">
                  <wp:posOffset>213360</wp:posOffset>
                </wp:positionV>
                <wp:extent cx="635" cy="358140"/>
                <wp:effectExtent l="52705" t="8255" r="60960" b="14605"/>
                <wp:wrapNone/>
                <wp:docPr id="18" name="Conector recto de flech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8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EF585B" id="_x0000_t32" coordsize="21600,21600" o:spt="32" o:oned="t" path="m,l21600,21600e" filled="f">
                <v:path arrowok="t" fillok="f" o:connecttype="none"/>
                <o:lock v:ext="edit" shapetype="t"/>
              </v:shapetype>
              <v:shape id="Conector recto de flecha 18" o:spid="_x0000_s1026" type="#_x0000_t32" style="position:absolute;margin-left:212.35pt;margin-top:16.8pt;width:.05pt;height:2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">
                <v:stroke endarrow="block"/>
              </v:shape>
            </w:pict>
          </mc:Fallback>
        </mc:AlternateContent>
      </w:r>
      <w:r w:rsidRPr="00DD02AE">
        <w:rPr>
          <w:rFonts w:ascii="Arial" w:hAnsi="Arial" w:cs="Arial"/>
          <w:noProof/>
          <w:sz w:val="24"/>
          <w:szCs w:val="24"/>
          <w:lang w:val="es-ES" w:eastAsia="es-ES"/>
        </w:rPr>
        <mc:AlternateContent>
          <mc:Choice Requires="wps">
            <w:drawing>
              <wp:anchor distT="0" distB="0" distL="114300" distR="114300" simplePos="0" relativeHeight="251663360" behindDoc="0" locked="0" layoutInCell="1" allowOverlap="1" wp14:anchorId="038C496E" wp14:editId="25075893">
                <wp:simplePos x="0" y="0"/>
                <wp:positionH relativeFrom="column">
                  <wp:posOffset>3205480</wp:posOffset>
                </wp:positionH>
                <wp:positionV relativeFrom="paragraph">
                  <wp:posOffset>118110</wp:posOffset>
                </wp:positionV>
                <wp:extent cx="1924050" cy="230505"/>
                <wp:effectExtent l="8890" t="8255" r="29210" b="56515"/>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230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5920AA" id="Conector recto de flecha 17" o:spid="_x0000_s1026" type="#_x0000_t32" style="position:absolute;margin-left:252.4pt;margin-top:9.3pt;width:151.5pt;height:1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">
                <v:stroke endarrow="block"/>
              </v:shape>
            </w:pict>
          </mc:Fallback>
        </mc:AlternateContent>
      </w:r>
      <w:r w:rsidRPr="00DD02AE">
        <w:rPr>
          <w:rFonts w:ascii="Arial" w:hAnsi="Arial" w:cs="Arial"/>
          <w:noProof/>
          <w:sz w:val="24"/>
          <w:szCs w:val="24"/>
          <w:lang w:val="es-ES" w:eastAsia="es-ES"/>
        </w:rPr>
        <mc:AlternateContent>
          <mc:Choice Requires="wps">
            <w:drawing>
              <wp:anchor distT="0" distB="0" distL="114300" distR="114300" simplePos="0" relativeHeight="251662336" behindDoc="0" locked="0" layoutInCell="1" allowOverlap="1" wp14:anchorId="37E9A4A1" wp14:editId="178BF6E1">
                <wp:simplePos x="0" y="0"/>
                <wp:positionH relativeFrom="column">
                  <wp:posOffset>295275</wp:posOffset>
                </wp:positionH>
                <wp:positionV relativeFrom="paragraph">
                  <wp:posOffset>165735</wp:posOffset>
                </wp:positionV>
                <wp:extent cx="1908175" cy="182880"/>
                <wp:effectExtent l="22860" t="8255" r="12065" b="56515"/>
                <wp:wrapNone/>
                <wp:docPr id="16" name="Conector recto de flech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7446EA" id="Conector recto de flecha 16" o:spid="_x0000_s1026" type="#_x0000_t32" style="position:absolute;margin-left:23.25pt;margin-top:13.05pt;width:150.25pt;height:14.4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">
                <v:stroke endarrow="block"/>
              </v:shape>
            </w:pict>
          </mc:Fallback>
        </mc:AlternateContent>
      </w:r>
      <w:r w:rsidRPr="00DD02AE">
        <w:rPr>
          <w:rFonts w:ascii="Arial" w:hAnsi="Arial" w:cs="Arial"/>
          <w:sz w:val="24"/>
          <w:szCs w:val="24"/>
          <w:lang w:val="es-ES"/>
        </w:rPr>
        <w:t>Compraventa</w:t>
      </w:r>
    </w:p>
    <w:p w14:paraId="1A86801F" w14:textId="40DAF1B8"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noProof/>
          <w:sz w:val="24"/>
          <w:szCs w:val="24"/>
          <w:lang w:val="es-ES"/>
        </w:rPr>
        <mc:AlternateContent>
          <mc:Choice Requires="wps">
            <w:drawing>
              <wp:anchor distT="0" distB="0" distL="114300" distR="114300" simplePos="0" relativeHeight="251666432" behindDoc="0" locked="0" layoutInCell="1" allowOverlap="1" wp14:anchorId="195D79A6" wp14:editId="47B333E7">
                <wp:simplePos x="0" y="0"/>
                <wp:positionH relativeFrom="column">
                  <wp:posOffset>4058920</wp:posOffset>
                </wp:positionH>
                <wp:positionV relativeFrom="paragraph">
                  <wp:posOffset>189230</wp:posOffset>
                </wp:positionV>
                <wp:extent cx="1652905" cy="626745"/>
                <wp:effectExtent l="6350" t="7620" r="7620" b="13335"/>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05" cy="626745"/>
                        </a:xfrm>
                        <a:prstGeom prst="rect">
                          <a:avLst/>
                        </a:prstGeom>
                        <a:solidFill>
                          <a:srgbClr val="FFFFFF"/>
                        </a:solidFill>
                        <a:ln w="9525">
                          <a:solidFill>
                            <a:srgbClr val="000000"/>
                          </a:solidFill>
                          <a:miter lim="800000"/>
                          <a:headEnd/>
                          <a:tailEnd/>
                        </a:ln>
                      </wps:spPr>
                      <wps:txbx>
                        <w:txbxContent>
                          <w:p w14:paraId="45E15422" w14:textId="77777777" w:rsidR="00DD02AE" w:rsidRDefault="00DD02AE" w:rsidP="00DD02AE">
                            <w:pPr>
                              <w:rPr>
                                <w:lang w:val="es-ES"/>
                              </w:rPr>
                            </w:pPr>
                            <w:r>
                              <w:rPr>
                                <w:lang w:val="es-ES"/>
                              </w:rPr>
                              <w:t>Consensual o traslativa del dominio (Francia e Italia).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95D79A6" id="_x0000_t202" coordsize="21600,21600" o:spt="202" path="m,l,21600r21600,l21600,xe">
                <v:stroke joinstyle="miter"/>
                <v:path gradientshapeok="t" o:connecttype="rect"/>
              </v:shapetype>
              <v:shape id="Cuadro de texto 15" o:spid="_x0000_s1026" type="#_x0000_t202" style="position:absolute;left:0;text-align:left;margin-left:319.6pt;margin-top:14.9pt;width:130.15pt;height:49.3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">
                <v:textbox style="mso-fit-shape-to-text:t">
                  <w:txbxContent>
                    <w:p w14:paraId="45E15422" w14:textId="77777777" w:rsidR="00DD02AE" w:rsidRDefault="00DD02AE" w:rsidP="00DD02AE">
                      <w:pPr>
                        <w:rPr>
                          <w:lang w:val="es-ES"/>
                        </w:rPr>
                      </w:pPr>
                      <w:r>
                        <w:rPr>
                          <w:lang w:val="es-ES"/>
                        </w:rPr>
                        <w:t>Consensual o traslativa del dominio (Francia e Italia).</w:t>
                      </w:r>
                    </w:p>
                  </w:txbxContent>
                </v:textbox>
              </v:shape>
            </w:pict>
          </mc:Fallback>
        </mc:AlternateContent>
      </w:r>
    </w:p>
    <w:p w14:paraId="34EDF297" w14:textId="046D57BD"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noProof/>
          <w:sz w:val="24"/>
          <w:szCs w:val="24"/>
          <w:lang w:val="es-ES"/>
        </w:rPr>
        <mc:AlternateContent>
          <mc:Choice Requires="wps">
            <w:drawing>
              <wp:anchor distT="0" distB="0" distL="114300" distR="114300" simplePos="0" relativeHeight="251667456" behindDoc="0" locked="0" layoutInCell="1" allowOverlap="1" wp14:anchorId="3210A1E2" wp14:editId="4BD6A463">
                <wp:simplePos x="0" y="0"/>
                <wp:positionH relativeFrom="column">
                  <wp:posOffset>1265555</wp:posOffset>
                </wp:positionH>
                <wp:positionV relativeFrom="paragraph">
                  <wp:posOffset>124460</wp:posOffset>
                </wp:positionV>
                <wp:extent cx="2734945" cy="626745"/>
                <wp:effectExtent l="10795" t="7620" r="6985" b="13335"/>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945" cy="626745"/>
                        </a:xfrm>
                        <a:prstGeom prst="rect">
                          <a:avLst/>
                        </a:prstGeom>
                        <a:solidFill>
                          <a:srgbClr val="FFFFFF"/>
                        </a:solidFill>
                        <a:ln w="9525">
                          <a:solidFill>
                            <a:srgbClr val="000000"/>
                          </a:solidFill>
                          <a:miter lim="800000"/>
                          <a:headEnd/>
                          <a:tailEnd/>
                        </a:ln>
                      </wps:spPr>
                      <wps:txbx>
                        <w:txbxContent>
                          <w:p w14:paraId="7CBF46A3" w14:textId="77777777" w:rsidR="00DD02AE" w:rsidRDefault="00DD02AE" w:rsidP="00DD02AE">
                            <w:pPr>
                              <w:rPr>
                                <w:lang w:val="es-ES"/>
                              </w:rPr>
                            </w:pPr>
                            <w:r>
                              <w:rPr>
                                <w:lang w:val="es-ES"/>
                              </w:rPr>
                              <w:t>Consensual y productora de obligaciones (Derecho Romano clásico y moderno). Cuba.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10A1E2" id="Cuadro de texto 14" o:spid="_x0000_s1027" type="#_x0000_t202" style="position:absolute;left:0;text-align:left;margin-left:99.65pt;margin-top:9.8pt;width:215.35pt;height:49.3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">
                <v:textbox style="mso-fit-shape-to-text:t">
                  <w:txbxContent>
                    <w:p w14:paraId="7CBF46A3" w14:textId="77777777" w:rsidR="00DD02AE" w:rsidRDefault="00DD02AE" w:rsidP="00DD02AE">
                      <w:pPr>
                        <w:rPr>
                          <w:lang w:val="es-ES"/>
                        </w:rPr>
                      </w:pPr>
                      <w:r>
                        <w:rPr>
                          <w:lang w:val="es-ES"/>
                        </w:rPr>
                        <w:t>Consensual y productora de obligaciones (Derecho Romano clásico y moderno). Cuba.</w:t>
                      </w:r>
                    </w:p>
                  </w:txbxContent>
                </v:textbox>
              </v:shape>
            </w:pict>
          </mc:Fallback>
        </mc:AlternateContent>
      </w:r>
      <w:r w:rsidRPr="00DD02AE">
        <w:rPr>
          <w:rFonts w:ascii="Arial" w:hAnsi="Arial" w:cs="Arial"/>
          <w:noProof/>
          <w:sz w:val="24"/>
          <w:szCs w:val="24"/>
          <w:lang w:val="es-ES"/>
        </w:rPr>
        <mc:AlternateContent>
          <mc:Choice Requires="wps">
            <w:drawing>
              <wp:anchor distT="0" distB="0" distL="114300" distR="114300" simplePos="0" relativeHeight="251665408" behindDoc="0" locked="0" layoutInCell="1" allowOverlap="1" wp14:anchorId="431F2701" wp14:editId="341D70F7">
                <wp:simplePos x="0" y="0"/>
                <wp:positionH relativeFrom="column">
                  <wp:posOffset>-323850</wp:posOffset>
                </wp:positionH>
                <wp:positionV relativeFrom="paragraph">
                  <wp:posOffset>12700</wp:posOffset>
                </wp:positionV>
                <wp:extent cx="1486535" cy="626745"/>
                <wp:effectExtent l="13335" t="12700" r="5080" b="8255"/>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626745"/>
                        </a:xfrm>
                        <a:prstGeom prst="rect">
                          <a:avLst/>
                        </a:prstGeom>
                        <a:solidFill>
                          <a:srgbClr val="FFFFFF"/>
                        </a:solidFill>
                        <a:ln w="9525">
                          <a:solidFill>
                            <a:srgbClr val="000000"/>
                          </a:solidFill>
                          <a:miter lim="800000"/>
                          <a:headEnd/>
                          <a:tailEnd/>
                        </a:ln>
                      </wps:spPr>
                      <wps:txbx>
                        <w:txbxContent>
                          <w:p w14:paraId="680D31A2" w14:textId="77777777" w:rsidR="00DD02AE" w:rsidRDefault="00DD02AE" w:rsidP="00DD02AE">
                            <w:pPr>
                              <w:rPr>
                                <w:lang w:val="es-ES"/>
                              </w:rPr>
                            </w:pPr>
                            <w:r>
                              <w:rPr>
                                <w:lang w:val="es-ES"/>
                              </w:rPr>
                              <w:t>Real o manual en el Derecho Romano Primitivo.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31F2701" id="Cuadro de texto 13" o:spid="_x0000_s1028" type="#_x0000_t202" style="position:absolute;left:0;text-align:left;margin-left:-25.5pt;margin-top:1pt;width:117.05pt;height:49.3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">
                <v:textbox style="mso-fit-shape-to-text:t">
                  <w:txbxContent>
                    <w:p w14:paraId="680D31A2" w14:textId="77777777" w:rsidR="00DD02AE" w:rsidRDefault="00DD02AE" w:rsidP="00DD02AE">
                      <w:pPr>
                        <w:rPr>
                          <w:lang w:val="es-ES"/>
                        </w:rPr>
                      </w:pPr>
                      <w:r>
                        <w:rPr>
                          <w:lang w:val="es-ES"/>
                        </w:rPr>
                        <w:t>Real o manual en el Derecho Romano Primitivo.</w:t>
                      </w:r>
                    </w:p>
                  </w:txbxContent>
                </v:textbox>
              </v:shape>
            </w:pict>
          </mc:Fallback>
        </mc:AlternateContent>
      </w:r>
    </w:p>
    <w:p w14:paraId="27804FB7" w14:textId="77777777" w:rsidR="00DD02AE" w:rsidRPr="00DD02AE" w:rsidRDefault="00DD02AE" w:rsidP="00DD02AE">
      <w:pPr>
        <w:spacing w:line="360" w:lineRule="auto"/>
        <w:jc w:val="both"/>
        <w:rPr>
          <w:rFonts w:ascii="Arial" w:hAnsi="Arial" w:cs="Arial"/>
          <w:sz w:val="24"/>
          <w:szCs w:val="24"/>
          <w:lang w:val="es-ES"/>
        </w:rPr>
      </w:pPr>
    </w:p>
    <w:p w14:paraId="007EF68D" w14:textId="77777777" w:rsidR="00DD02AE" w:rsidRPr="00DD02AE" w:rsidRDefault="00DD02AE" w:rsidP="00DD02AE">
      <w:pPr>
        <w:spacing w:line="360" w:lineRule="auto"/>
        <w:jc w:val="both"/>
        <w:rPr>
          <w:rFonts w:ascii="Arial" w:hAnsi="Arial" w:cs="Arial"/>
          <w:sz w:val="24"/>
          <w:szCs w:val="24"/>
          <w:lang w:val="es-ES"/>
        </w:rPr>
      </w:pPr>
    </w:p>
    <w:p w14:paraId="21C53540" w14:textId="77777777" w:rsidR="00DD02AE" w:rsidRPr="00DD02AE" w:rsidRDefault="00DD02AE" w:rsidP="00DD02AE">
      <w:pPr>
        <w:spacing w:line="360" w:lineRule="auto"/>
        <w:jc w:val="both"/>
        <w:rPr>
          <w:rFonts w:ascii="Arial" w:hAnsi="Arial" w:cs="Arial"/>
          <w:sz w:val="24"/>
          <w:szCs w:val="24"/>
          <w:lang w:val="es-ES"/>
        </w:rPr>
      </w:pPr>
    </w:p>
    <w:p w14:paraId="25988A4E"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Clasificaciones: bilateral; oneroso; consensual, si excede los $500 es formal y en el caso de inmuebles y automóviles es solemne; principal; típico; generalmente impersonal.</w:t>
      </w:r>
    </w:p>
    <w:p w14:paraId="67FE9E33" w14:textId="6D3122A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noProof/>
          <w:sz w:val="24"/>
          <w:szCs w:val="24"/>
          <w:lang w:val="es-ES" w:eastAsia="es-ES"/>
        </w:rPr>
        <mc:AlternateContent>
          <mc:Choice Requires="wps">
            <w:drawing>
              <wp:anchor distT="0" distB="0" distL="114300" distR="114300" simplePos="0" relativeHeight="251668480" behindDoc="0" locked="0" layoutInCell="1" allowOverlap="1" wp14:anchorId="1D282B48" wp14:editId="215FA45C">
                <wp:simplePos x="0" y="0"/>
                <wp:positionH relativeFrom="column">
                  <wp:posOffset>2291080</wp:posOffset>
                </wp:positionH>
                <wp:positionV relativeFrom="paragraph">
                  <wp:posOffset>184785</wp:posOffset>
                </wp:positionV>
                <wp:extent cx="0" cy="215265"/>
                <wp:effectExtent l="56515" t="12065" r="57785" b="20320"/>
                <wp:wrapNone/>
                <wp:docPr id="12"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950C0" id="Conector recto de flecha 12" o:spid="_x0000_s1026" type="#_x0000_t32" style="position:absolute;margin-left:180.4pt;margin-top:14.55pt;width:0;height:1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">
                <v:stroke endarrow="block"/>
              </v:shape>
            </w:pict>
          </mc:Fallback>
        </mc:AlternateContent>
      </w:r>
      <w:r w:rsidRPr="00DD02AE">
        <w:rPr>
          <w:rFonts w:ascii="Arial" w:hAnsi="Arial" w:cs="Arial"/>
          <w:sz w:val="24"/>
          <w:szCs w:val="24"/>
          <w:lang w:val="es-ES"/>
        </w:rPr>
        <w:t>Elementos personales: comprador y vendedor</w:t>
      </w:r>
    </w:p>
    <w:p w14:paraId="2E07F424" w14:textId="77777777" w:rsidR="00DD02AE" w:rsidRPr="00DD02AE" w:rsidRDefault="00DD02AE" w:rsidP="00DD02AE">
      <w:pPr>
        <w:spacing w:line="360" w:lineRule="auto"/>
        <w:jc w:val="both"/>
        <w:rPr>
          <w:rFonts w:ascii="Arial" w:hAnsi="Arial" w:cs="Arial"/>
          <w:sz w:val="24"/>
          <w:szCs w:val="24"/>
          <w:lang w:val="es-ES"/>
        </w:rPr>
      </w:pPr>
    </w:p>
    <w:p w14:paraId="57C6DF24" w14:textId="77777777" w:rsid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 xml:space="preserve">                                      Activo y pasivo indistintamente. </w:t>
      </w:r>
    </w:p>
    <w:p w14:paraId="022DD090" w14:textId="33AA1788"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 xml:space="preserve">Se requiere la capacidad general que se exige a las personas para contratar. Capacidad específica solo en el caso del artículo 338 del </w:t>
      </w:r>
      <w:proofErr w:type="spellStart"/>
      <w:r w:rsidRPr="00DD02AE">
        <w:rPr>
          <w:rFonts w:ascii="Arial" w:hAnsi="Arial" w:cs="Arial"/>
          <w:sz w:val="24"/>
          <w:szCs w:val="24"/>
          <w:lang w:val="es-ES"/>
        </w:rPr>
        <w:t>CCc</w:t>
      </w:r>
      <w:proofErr w:type="spellEnd"/>
      <w:r w:rsidRPr="00DD02AE">
        <w:rPr>
          <w:rFonts w:ascii="Arial" w:hAnsi="Arial" w:cs="Arial"/>
          <w:sz w:val="24"/>
          <w:szCs w:val="24"/>
          <w:lang w:val="es-ES"/>
        </w:rPr>
        <w:t>. En el caso de los padres o tutores necesitan autorización del tribunal para enajenar los bienes del menor</w:t>
      </w:r>
      <w:r>
        <w:rPr>
          <w:rFonts w:ascii="Arial" w:hAnsi="Arial" w:cs="Arial"/>
          <w:sz w:val="24"/>
          <w:szCs w:val="24"/>
          <w:lang w:val="es-ES"/>
        </w:rPr>
        <w:t>.</w:t>
      </w:r>
    </w:p>
    <w:p w14:paraId="32A6E2BB"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lastRenderedPageBreak/>
        <w:t>Elementos reales: cosa y precio. La cosa es el elemento que determina la existencia del contrato y el precio tiene que consistir en dinero o su representativo. El contratante más fuerte puede seleccionarse a partir de estos criterios.</w:t>
      </w:r>
    </w:p>
    <w:p w14:paraId="4754DF2D"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Elementos formales: no tiene si es consensual. Requiere la forma escrita si excede los $500 (formal). En caso de automóviles e inmuebles es un contrato solemne y requiere de escritura pública.</w:t>
      </w:r>
    </w:p>
    <w:p w14:paraId="1E029785" w14:textId="4E134913"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noProof/>
          <w:sz w:val="24"/>
          <w:szCs w:val="24"/>
          <w:lang w:val="es-ES" w:eastAsia="es-ES"/>
        </w:rPr>
        <mc:AlternateContent>
          <mc:Choice Requires="wps">
            <w:drawing>
              <wp:anchor distT="0" distB="0" distL="114300" distR="114300" simplePos="0" relativeHeight="251670528" behindDoc="0" locked="0" layoutInCell="1" allowOverlap="1" wp14:anchorId="29111B6F" wp14:editId="4D5B9942">
                <wp:simplePos x="0" y="0"/>
                <wp:positionH relativeFrom="column">
                  <wp:posOffset>3141980</wp:posOffset>
                </wp:positionH>
                <wp:positionV relativeFrom="paragraph">
                  <wp:posOffset>123190</wp:posOffset>
                </wp:positionV>
                <wp:extent cx="1614170" cy="270510"/>
                <wp:effectExtent l="12065" t="10795" r="31115" b="61595"/>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170" cy="270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525C1C" id="Conector recto de flecha 11" o:spid="_x0000_s1026" type="#_x0000_t32" style="position:absolute;margin-left:247.4pt;margin-top:9.7pt;width:127.1pt;height:2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">
                <v:stroke endarrow="block"/>
              </v:shape>
            </w:pict>
          </mc:Fallback>
        </mc:AlternateContent>
      </w:r>
      <w:r w:rsidRPr="00DD02AE">
        <w:rPr>
          <w:rFonts w:ascii="Arial" w:hAnsi="Arial" w:cs="Arial"/>
          <w:noProof/>
          <w:sz w:val="24"/>
          <w:szCs w:val="24"/>
          <w:lang w:val="es-ES" w:eastAsia="es-ES"/>
        </w:rPr>
        <mc:AlternateContent>
          <mc:Choice Requires="wps">
            <w:drawing>
              <wp:anchor distT="0" distB="0" distL="114300" distR="114300" simplePos="0" relativeHeight="251669504" behindDoc="0" locked="0" layoutInCell="1" allowOverlap="1" wp14:anchorId="10564699" wp14:editId="566F9CDE">
                <wp:simplePos x="0" y="0"/>
                <wp:positionH relativeFrom="column">
                  <wp:posOffset>565785</wp:posOffset>
                </wp:positionH>
                <wp:positionV relativeFrom="paragraph">
                  <wp:posOffset>123190</wp:posOffset>
                </wp:positionV>
                <wp:extent cx="1677670" cy="230505"/>
                <wp:effectExtent l="26670" t="10795" r="10160" b="53975"/>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77670" cy="230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DBADCD" id="Conector recto de flecha 10" o:spid="_x0000_s1026" type="#_x0000_t32" style="position:absolute;margin-left:44.55pt;margin-top:9.7pt;width:132.1pt;height:18.1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">
                <v:stroke endarrow="block"/>
              </v:shape>
            </w:pict>
          </mc:Fallback>
        </mc:AlternateContent>
      </w:r>
      <w:r w:rsidRPr="00DD02AE">
        <w:rPr>
          <w:rFonts w:ascii="Arial" w:hAnsi="Arial" w:cs="Arial"/>
          <w:sz w:val="24"/>
          <w:szCs w:val="24"/>
          <w:lang w:val="es-ES"/>
        </w:rPr>
        <w:t>Obligaciones</w:t>
      </w:r>
    </w:p>
    <w:p w14:paraId="647B7872" w14:textId="3887ED3E"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noProof/>
          <w:sz w:val="24"/>
          <w:szCs w:val="24"/>
          <w:lang w:val="es-ES"/>
        </w:rPr>
        <mc:AlternateContent>
          <mc:Choice Requires="wps">
            <w:drawing>
              <wp:anchor distT="0" distB="0" distL="114300" distR="114300" simplePos="0" relativeHeight="251672576" behindDoc="0" locked="0" layoutInCell="1" allowOverlap="1" wp14:anchorId="58DF03D1" wp14:editId="701D8BC5">
                <wp:simplePos x="0" y="0"/>
                <wp:positionH relativeFrom="column">
                  <wp:posOffset>-139065</wp:posOffset>
                </wp:positionH>
                <wp:positionV relativeFrom="paragraph">
                  <wp:posOffset>186055</wp:posOffset>
                </wp:positionV>
                <wp:extent cx="2551430" cy="977265"/>
                <wp:effectExtent l="11430" t="8255" r="8890" b="508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1430" cy="977265"/>
                        </a:xfrm>
                        <a:prstGeom prst="rect">
                          <a:avLst/>
                        </a:prstGeom>
                        <a:solidFill>
                          <a:srgbClr val="FFFFFF"/>
                        </a:solidFill>
                        <a:ln w="9525">
                          <a:solidFill>
                            <a:srgbClr val="000000"/>
                          </a:solidFill>
                          <a:miter lim="800000"/>
                          <a:headEnd/>
                          <a:tailEnd/>
                        </a:ln>
                      </wps:spPr>
                      <wps:txbx>
                        <w:txbxContent>
                          <w:p w14:paraId="7DB21A01" w14:textId="77777777" w:rsidR="00DD02AE" w:rsidRDefault="00DD02AE" w:rsidP="00DD02AE">
                            <w:pPr>
                              <w:rPr>
                                <w:lang w:val="es-ES"/>
                              </w:rPr>
                            </w:pPr>
                            <w:r>
                              <w:rPr>
                                <w:lang w:val="es-ES"/>
                              </w:rPr>
                              <w:t>Del vendedor (artículo 340 – 351)</w:t>
                            </w:r>
                          </w:p>
                          <w:p w14:paraId="349CA561" w14:textId="77777777" w:rsidR="00DD02AE" w:rsidRDefault="00DD02AE" w:rsidP="00DD02AE">
                            <w:pPr>
                              <w:numPr>
                                <w:ilvl w:val="0"/>
                                <w:numId w:val="1"/>
                              </w:numPr>
                              <w:rPr>
                                <w:lang w:val="es-ES"/>
                              </w:rPr>
                            </w:pPr>
                            <w:r>
                              <w:rPr>
                                <w:lang w:val="es-ES"/>
                              </w:rPr>
                              <w:t>Saneamiento por evicción (artículos 341 – 345).</w:t>
                            </w:r>
                          </w:p>
                          <w:p w14:paraId="78814E61" w14:textId="77777777" w:rsidR="00DD02AE" w:rsidRDefault="00DD02AE" w:rsidP="00DD02AE">
                            <w:pPr>
                              <w:numPr>
                                <w:ilvl w:val="0"/>
                                <w:numId w:val="1"/>
                              </w:numPr>
                              <w:rPr>
                                <w:lang w:val="es-ES"/>
                              </w:rPr>
                            </w:pPr>
                            <w:r>
                              <w:rPr>
                                <w:lang w:val="es-ES"/>
                              </w:rPr>
                              <w:t>Saneamiento por vicios ocultos (artículos 346 – 351).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8DF03D1" id="Cuadro de texto 9" o:spid="_x0000_s1029" type="#_x0000_t202" style="position:absolute;left:0;text-align:left;margin-left:-10.95pt;margin-top:14.65pt;width:200.9pt;height:76.9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">
                <v:textbox style="mso-fit-shape-to-text:t">
                  <w:txbxContent>
                    <w:p w14:paraId="7DB21A01" w14:textId="77777777" w:rsidR="00DD02AE" w:rsidRDefault="00DD02AE" w:rsidP="00DD02AE">
                      <w:pPr>
                        <w:rPr>
                          <w:lang w:val="es-ES"/>
                        </w:rPr>
                      </w:pPr>
                      <w:r>
                        <w:rPr>
                          <w:lang w:val="es-ES"/>
                        </w:rPr>
                        <w:t>Del vendedor (artículo 340 – 351)</w:t>
                      </w:r>
                    </w:p>
                    <w:p w14:paraId="349CA561" w14:textId="77777777" w:rsidR="00DD02AE" w:rsidRDefault="00DD02AE" w:rsidP="00DD02AE">
                      <w:pPr>
                        <w:numPr>
                          <w:ilvl w:val="0"/>
                          <w:numId w:val="1"/>
                        </w:numPr>
                        <w:rPr>
                          <w:lang w:val="es-ES"/>
                        </w:rPr>
                      </w:pPr>
                      <w:r>
                        <w:rPr>
                          <w:lang w:val="es-ES"/>
                        </w:rPr>
                        <w:t>Saneamiento por evicción (artículos 341 – 345).</w:t>
                      </w:r>
                    </w:p>
                    <w:p w14:paraId="78814E61" w14:textId="77777777" w:rsidR="00DD02AE" w:rsidRDefault="00DD02AE" w:rsidP="00DD02AE">
                      <w:pPr>
                        <w:numPr>
                          <w:ilvl w:val="0"/>
                          <w:numId w:val="1"/>
                        </w:numPr>
                        <w:rPr>
                          <w:lang w:val="es-ES"/>
                        </w:rPr>
                      </w:pPr>
                      <w:r>
                        <w:rPr>
                          <w:lang w:val="es-ES"/>
                        </w:rPr>
                        <w:t>Saneamiento por vicios ocultos (artículos 346 – 351).</w:t>
                      </w:r>
                    </w:p>
                  </w:txbxContent>
                </v:textbox>
              </v:shape>
            </w:pict>
          </mc:Fallback>
        </mc:AlternateContent>
      </w:r>
    </w:p>
    <w:p w14:paraId="6FC890EB" w14:textId="0F4F5DAF"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noProof/>
          <w:sz w:val="24"/>
          <w:szCs w:val="24"/>
          <w:lang w:val="es-ES"/>
        </w:rPr>
        <mc:AlternateContent>
          <mc:Choice Requires="wps">
            <w:drawing>
              <wp:anchor distT="0" distB="0" distL="114300" distR="114300" simplePos="0" relativeHeight="251671552" behindDoc="0" locked="0" layoutInCell="1" allowOverlap="1" wp14:anchorId="7EA25784" wp14:editId="1E612183">
                <wp:simplePos x="0" y="0"/>
                <wp:positionH relativeFrom="column">
                  <wp:posOffset>3691255</wp:posOffset>
                </wp:positionH>
                <wp:positionV relativeFrom="paragraph">
                  <wp:posOffset>-635</wp:posOffset>
                </wp:positionV>
                <wp:extent cx="2027555" cy="276225"/>
                <wp:effectExtent l="13970" t="12065" r="6350" b="6985"/>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55" cy="276225"/>
                        </a:xfrm>
                        <a:prstGeom prst="rect">
                          <a:avLst/>
                        </a:prstGeom>
                        <a:solidFill>
                          <a:srgbClr val="FFFFFF"/>
                        </a:solidFill>
                        <a:ln w="9525">
                          <a:solidFill>
                            <a:srgbClr val="000000"/>
                          </a:solidFill>
                          <a:miter lim="800000"/>
                          <a:headEnd/>
                          <a:tailEnd/>
                        </a:ln>
                      </wps:spPr>
                      <wps:txbx>
                        <w:txbxContent>
                          <w:p w14:paraId="5076E509" w14:textId="77777777" w:rsidR="00DD02AE" w:rsidRDefault="00DD02AE" w:rsidP="00DD02AE">
                            <w:pPr>
                              <w:rPr>
                                <w:lang w:val="es-ES"/>
                              </w:rPr>
                            </w:pPr>
                            <w:r>
                              <w:rPr>
                                <w:lang w:val="es-ES"/>
                              </w:rPr>
                              <w:t>Del comprador (artículo 352)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A25784" id="Cuadro de texto 8" o:spid="_x0000_s1030" type="#_x0000_t202" style="position:absolute;left:0;text-align:left;margin-left:290.65pt;margin-top:-.05pt;width:159.65pt;height:21.7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">
                <v:textbox style="mso-fit-shape-to-text:t">
                  <w:txbxContent>
                    <w:p w14:paraId="5076E509" w14:textId="77777777" w:rsidR="00DD02AE" w:rsidRDefault="00DD02AE" w:rsidP="00DD02AE">
                      <w:pPr>
                        <w:rPr>
                          <w:lang w:val="es-ES"/>
                        </w:rPr>
                      </w:pPr>
                      <w:r>
                        <w:rPr>
                          <w:lang w:val="es-ES"/>
                        </w:rPr>
                        <w:t>Del comprador (artículo 352)</w:t>
                      </w:r>
                    </w:p>
                  </w:txbxContent>
                </v:textbox>
              </v:shape>
            </w:pict>
          </mc:Fallback>
        </mc:AlternateContent>
      </w:r>
    </w:p>
    <w:p w14:paraId="7C6C6999" w14:textId="77777777" w:rsidR="00DD02AE" w:rsidRPr="00DD02AE" w:rsidRDefault="00DD02AE" w:rsidP="00DD02AE">
      <w:pPr>
        <w:spacing w:line="360" w:lineRule="auto"/>
        <w:jc w:val="both"/>
        <w:rPr>
          <w:rFonts w:ascii="Arial" w:hAnsi="Arial" w:cs="Arial"/>
          <w:sz w:val="24"/>
          <w:szCs w:val="24"/>
          <w:lang w:val="es-ES"/>
        </w:rPr>
      </w:pPr>
    </w:p>
    <w:p w14:paraId="661C17E1" w14:textId="77777777" w:rsidR="00DD02AE" w:rsidRPr="00DD02AE" w:rsidRDefault="00DD02AE" w:rsidP="00DD02AE">
      <w:pPr>
        <w:spacing w:line="360" w:lineRule="auto"/>
        <w:jc w:val="both"/>
        <w:rPr>
          <w:rFonts w:ascii="Arial" w:hAnsi="Arial" w:cs="Arial"/>
          <w:sz w:val="24"/>
          <w:szCs w:val="24"/>
          <w:lang w:val="es-ES"/>
        </w:rPr>
      </w:pPr>
    </w:p>
    <w:p w14:paraId="5ECCF1F8" w14:textId="77777777" w:rsidR="00DD02AE" w:rsidRPr="00DD02AE" w:rsidRDefault="00DD02AE" w:rsidP="00DD02AE">
      <w:pPr>
        <w:spacing w:line="360" w:lineRule="auto"/>
        <w:jc w:val="both"/>
        <w:rPr>
          <w:rFonts w:ascii="Arial" w:hAnsi="Arial" w:cs="Arial"/>
          <w:sz w:val="24"/>
          <w:szCs w:val="24"/>
          <w:lang w:val="es-ES"/>
        </w:rPr>
      </w:pPr>
    </w:p>
    <w:p w14:paraId="776BB21F" w14:textId="77777777" w:rsidR="00DD02AE" w:rsidRPr="00DD02AE" w:rsidRDefault="00DD02AE" w:rsidP="00DD02AE">
      <w:pPr>
        <w:spacing w:line="360" w:lineRule="auto"/>
        <w:jc w:val="both"/>
        <w:rPr>
          <w:rFonts w:ascii="Arial" w:hAnsi="Arial" w:cs="Arial"/>
          <w:sz w:val="24"/>
          <w:szCs w:val="24"/>
          <w:lang w:val="es-ES"/>
        </w:rPr>
      </w:pPr>
    </w:p>
    <w:p w14:paraId="799D5934" w14:textId="5D61F000"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noProof/>
          <w:sz w:val="24"/>
          <w:szCs w:val="24"/>
          <w:lang w:val="es-ES" w:eastAsia="es-ES"/>
        </w:rPr>
        <mc:AlternateContent>
          <mc:Choice Requires="wps">
            <w:drawing>
              <wp:anchor distT="0" distB="0" distL="114300" distR="114300" simplePos="0" relativeHeight="251673600" behindDoc="0" locked="0" layoutInCell="1" allowOverlap="1" wp14:anchorId="3504670D" wp14:editId="1F5A1199">
                <wp:simplePos x="0" y="0"/>
                <wp:positionH relativeFrom="column">
                  <wp:posOffset>208280</wp:posOffset>
                </wp:positionH>
                <wp:positionV relativeFrom="paragraph">
                  <wp:posOffset>183515</wp:posOffset>
                </wp:positionV>
                <wp:extent cx="7620" cy="333375"/>
                <wp:effectExtent l="59690" t="6350" r="46990" b="2222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D1FEDC" id="Conector recto de flecha 7" o:spid="_x0000_s1026" type="#_x0000_t32" style="position:absolute;margin-left:16.4pt;margin-top:14.45pt;width:.6pt;height:26.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">
                <v:stroke endarrow="block"/>
              </v:shape>
            </w:pict>
          </mc:Fallback>
        </mc:AlternateContent>
      </w:r>
      <w:r w:rsidRPr="00DD02AE">
        <w:rPr>
          <w:rFonts w:ascii="Arial" w:hAnsi="Arial" w:cs="Arial"/>
          <w:sz w:val="24"/>
          <w:szCs w:val="24"/>
          <w:lang w:val="es-ES"/>
        </w:rPr>
        <w:t xml:space="preserve">Evicción, derivada del latín </w:t>
      </w:r>
      <w:proofErr w:type="spellStart"/>
      <w:r w:rsidRPr="00DD02AE">
        <w:rPr>
          <w:rFonts w:ascii="Arial" w:hAnsi="Arial" w:cs="Arial"/>
          <w:sz w:val="24"/>
          <w:szCs w:val="24"/>
          <w:lang w:val="es-ES"/>
        </w:rPr>
        <w:t>evincere</w:t>
      </w:r>
      <w:proofErr w:type="spellEnd"/>
      <w:r w:rsidRPr="00DD02AE">
        <w:rPr>
          <w:rFonts w:ascii="Arial" w:hAnsi="Arial" w:cs="Arial"/>
          <w:sz w:val="24"/>
          <w:szCs w:val="24"/>
          <w:lang w:val="es-ES"/>
        </w:rPr>
        <w:t xml:space="preserve"> que significa vencer.</w:t>
      </w:r>
    </w:p>
    <w:p w14:paraId="2474092B" w14:textId="77777777" w:rsidR="00DD02AE" w:rsidRPr="00DD02AE" w:rsidRDefault="00DD02AE" w:rsidP="00DD02AE">
      <w:pPr>
        <w:spacing w:line="360" w:lineRule="auto"/>
        <w:jc w:val="both"/>
        <w:rPr>
          <w:rFonts w:ascii="Arial" w:hAnsi="Arial" w:cs="Arial"/>
          <w:sz w:val="24"/>
          <w:szCs w:val="24"/>
          <w:lang w:val="es-ES"/>
        </w:rPr>
      </w:pPr>
    </w:p>
    <w:p w14:paraId="1290720B"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Acto que despoja total o parcialmente mediante sentencia firme a un adquirente de la cosa en virtud de un derecho anterior, contemporáneo o posterior a la venta, que involucra a un tercero que posee un fundamento jurídico superior.</w:t>
      </w:r>
    </w:p>
    <w:p w14:paraId="4A73C50C"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Saneamiento (efecto) ------------------------- evicción (causa)</w:t>
      </w:r>
    </w:p>
    <w:p w14:paraId="565B27E9"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Saneamiento por evicción: derecho del eviccionado de que el enajenante lo sanee reparándole la pérdida sufrida, restituyéndole el valor de lo perdido e indemnizándole por los perjuicios causados.</w:t>
      </w:r>
    </w:p>
    <w:p w14:paraId="53B65C10" w14:textId="72630322"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noProof/>
          <w:sz w:val="24"/>
          <w:szCs w:val="24"/>
          <w:lang w:val="es-ES" w:eastAsia="es-ES"/>
        </w:rPr>
        <mc:AlternateContent>
          <mc:Choice Requires="wps">
            <w:drawing>
              <wp:anchor distT="0" distB="0" distL="114300" distR="114300" simplePos="0" relativeHeight="251675648" behindDoc="0" locked="0" layoutInCell="1" allowOverlap="1" wp14:anchorId="04F2408F" wp14:editId="0B6D1248">
                <wp:simplePos x="0" y="0"/>
                <wp:positionH relativeFrom="column">
                  <wp:posOffset>3245485</wp:posOffset>
                </wp:positionH>
                <wp:positionV relativeFrom="paragraph">
                  <wp:posOffset>955040</wp:posOffset>
                </wp:positionV>
                <wp:extent cx="731520" cy="644525"/>
                <wp:effectExtent l="10795" t="12700" r="48260" b="476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644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1D123D" id="Conector recto de flecha 6" o:spid="_x0000_s1026" type="#_x0000_t32" style="position:absolute;margin-left:255.55pt;margin-top:75.2pt;width:57.6pt;height:5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">
                <v:stroke endarrow="block"/>
              </v:shape>
            </w:pict>
          </mc:Fallback>
        </mc:AlternateContent>
      </w:r>
      <w:r w:rsidRPr="00DD02AE">
        <w:rPr>
          <w:rFonts w:ascii="Arial" w:hAnsi="Arial" w:cs="Arial"/>
          <w:noProof/>
          <w:sz w:val="24"/>
          <w:szCs w:val="24"/>
          <w:lang w:val="es-ES" w:eastAsia="es-ES"/>
        </w:rPr>
        <mc:AlternateContent>
          <mc:Choice Requires="wps">
            <w:drawing>
              <wp:anchor distT="0" distB="0" distL="114300" distR="114300" simplePos="0" relativeHeight="251674624" behindDoc="0" locked="0" layoutInCell="1" allowOverlap="1" wp14:anchorId="5CA35177" wp14:editId="7F45AD69">
                <wp:simplePos x="0" y="0"/>
                <wp:positionH relativeFrom="column">
                  <wp:posOffset>1098550</wp:posOffset>
                </wp:positionH>
                <wp:positionV relativeFrom="paragraph">
                  <wp:posOffset>1010920</wp:posOffset>
                </wp:positionV>
                <wp:extent cx="683895" cy="541020"/>
                <wp:effectExtent l="45085" t="11430" r="13970" b="57150"/>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3895" cy="541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6B465" id="Conector recto de flecha 5" o:spid="_x0000_s1026" type="#_x0000_t32" style="position:absolute;margin-left:86.5pt;margin-top:79.6pt;width:53.85pt;height:42.6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">
                <v:stroke endarrow="block"/>
              </v:shape>
            </w:pict>
          </mc:Fallback>
        </mc:AlternateContent>
      </w:r>
      <w:r w:rsidRPr="00DD02AE">
        <w:rPr>
          <w:rFonts w:ascii="Arial" w:hAnsi="Arial" w:cs="Arial"/>
          <w:sz w:val="24"/>
          <w:szCs w:val="24"/>
          <w:lang w:val="es-ES"/>
        </w:rPr>
        <w:t>Saneamiento por vicios ocultos: derecho que le asiste al perjudicado de pedir al enajenante el saneamiento por vicios o defectos en el bien recibido y que estaban ocultos o no manifiestos al momento de la enajenación provocando la ignorancia en el adquirente y perjudicado la utilidad de la cosa.</w:t>
      </w:r>
    </w:p>
    <w:p w14:paraId="15F6AA9B" w14:textId="77777777" w:rsidR="00DD02AE" w:rsidRPr="00DD02AE" w:rsidRDefault="00DD02AE" w:rsidP="00DD02AE">
      <w:pPr>
        <w:spacing w:line="360" w:lineRule="auto"/>
        <w:jc w:val="both"/>
        <w:rPr>
          <w:rFonts w:ascii="Arial" w:hAnsi="Arial" w:cs="Arial"/>
          <w:sz w:val="24"/>
          <w:szCs w:val="24"/>
          <w:lang w:val="es-ES"/>
        </w:rPr>
      </w:pPr>
    </w:p>
    <w:p w14:paraId="32FBB927" w14:textId="77777777" w:rsidR="00DD02AE" w:rsidRPr="00DD02AE" w:rsidRDefault="00DD02AE" w:rsidP="00DD02AE">
      <w:pPr>
        <w:spacing w:line="360" w:lineRule="auto"/>
        <w:jc w:val="both"/>
        <w:rPr>
          <w:rFonts w:ascii="Arial" w:hAnsi="Arial" w:cs="Arial"/>
          <w:sz w:val="24"/>
          <w:szCs w:val="24"/>
          <w:lang w:val="es-ES"/>
        </w:rPr>
      </w:pPr>
    </w:p>
    <w:p w14:paraId="7DFAD386"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 xml:space="preserve">       Acción redhibitoria                                                Ación quanti minoris</w:t>
      </w:r>
    </w:p>
    <w:p w14:paraId="75B799A9"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Permuta: cronológicamente surge anterior a la compraventa. Contrato en virtud del cual dos personas (permutantes) consienten en intercambiar la propiedad de un bien por la de otro (artículo 367).</w:t>
      </w:r>
    </w:p>
    <w:p w14:paraId="1F8ECD2D"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Clasificaciones: bilateral; oneroso; consensual, si excede los $500 es formal y en el caso de inmuebles es solemne; principal; típico; generalmente impersonal.</w:t>
      </w:r>
    </w:p>
    <w:p w14:paraId="4461F6AA" w14:textId="75710C8F"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noProof/>
          <w:sz w:val="24"/>
          <w:szCs w:val="24"/>
          <w:lang w:val="es-ES" w:eastAsia="es-ES"/>
        </w:rPr>
        <mc:AlternateContent>
          <mc:Choice Requires="wps">
            <w:drawing>
              <wp:anchor distT="0" distB="0" distL="114300" distR="114300" simplePos="0" relativeHeight="251676672" behindDoc="0" locked="0" layoutInCell="1" allowOverlap="1" wp14:anchorId="00791FD2" wp14:editId="7AADB7CC">
                <wp:simplePos x="0" y="0"/>
                <wp:positionH relativeFrom="column">
                  <wp:posOffset>183515</wp:posOffset>
                </wp:positionH>
                <wp:positionV relativeFrom="paragraph">
                  <wp:posOffset>191770</wp:posOffset>
                </wp:positionV>
                <wp:extent cx="0" cy="326390"/>
                <wp:effectExtent l="53975" t="8890" r="60325" b="17145"/>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6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72F54" id="Conector recto de flecha 4" o:spid="_x0000_s1026" type="#_x0000_t32" style="position:absolute;margin-left:14.45pt;margin-top:15.1pt;width:0;height:2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">
                <v:stroke endarrow="block"/>
              </v:shape>
            </w:pict>
          </mc:Fallback>
        </mc:AlternateContent>
      </w:r>
      <w:r w:rsidRPr="00DD02AE">
        <w:rPr>
          <w:rFonts w:ascii="Arial" w:hAnsi="Arial" w:cs="Arial"/>
          <w:sz w:val="24"/>
          <w:szCs w:val="24"/>
          <w:lang w:val="es-ES"/>
        </w:rPr>
        <w:t>Permuta = Compraventa + Compraventa</w:t>
      </w:r>
    </w:p>
    <w:p w14:paraId="7D409DE3" w14:textId="77777777" w:rsidR="00DD02AE" w:rsidRPr="00DD02AE" w:rsidRDefault="00DD02AE" w:rsidP="00DD02AE">
      <w:pPr>
        <w:spacing w:line="360" w:lineRule="auto"/>
        <w:jc w:val="both"/>
        <w:rPr>
          <w:rFonts w:ascii="Arial" w:hAnsi="Arial" w:cs="Arial"/>
          <w:sz w:val="24"/>
          <w:szCs w:val="24"/>
          <w:lang w:val="es-ES"/>
        </w:rPr>
      </w:pPr>
    </w:p>
    <w:p w14:paraId="32F60E45"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Dos ventas sucesivas en las que se compensan los precios.</w:t>
      </w:r>
    </w:p>
    <w:p w14:paraId="248E29D6" w14:textId="67E0BEB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 xml:space="preserve">Elementos personales: permutantes --- activo y pasivo indistintamente. Se requiere la capacidad general que se exige a las personas para contratar. Capacidad específica solo en el caso del artículo 338 del </w:t>
      </w:r>
      <w:proofErr w:type="spellStart"/>
      <w:r w:rsidRPr="00DD02AE">
        <w:rPr>
          <w:rFonts w:ascii="Arial" w:hAnsi="Arial" w:cs="Arial"/>
          <w:sz w:val="24"/>
          <w:szCs w:val="24"/>
          <w:lang w:val="es-ES"/>
        </w:rPr>
        <w:t>CCc</w:t>
      </w:r>
      <w:proofErr w:type="spellEnd"/>
      <w:r w:rsidRPr="00DD02AE">
        <w:rPr>
          <w:rFonts w:ascii="Arial" w:hAnsi="Arial" w:cs="Arial"/>
          <w:sz w:val="24"/>
          <w:szCs w:val="24"/>
          <w:lang w:val="es-ES"/>
        </w:rPr>
        <w:t>. En el caso de los padres o tutores necesitan autorización del tribunal para enajenar los bienes del menor.</w:t>
      </w:r>
    </w:p>
    <w:p w14:paraId="7CE7B621"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Elementos reales: bienes.</w:t>
      </w:r>
    </w:p>
    <w:p w14:paraId="60430373"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Elementos formales: no tiene si es consensual. Requiere la forma escrita si excede los $500 (formal). En caso de inmuebles es un contrato solemne y requiere de escritura pública.</w:t>
      </w:r>
    </w:p>
    <w:p w14:paraId="05E84F89"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Saneamiento por evicción en la permuta --- artículo 368 y 369.</w:t>
      </w:r>
    </w:p>
    <w:p w14:paraId="3C3FFECE"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Artículo 370: declara aplicable a la permuta, las normas de la compraventa, en aquello en lo que sean pertinentes. No es aplicable, por ejemplo, en el pago de los gastos de formación del contrato, que no deben ser solo de uno de los contratantes, sino divididos a partes iguales.</w:t>
      </w:r>
    </w:p>
    <w:p w14:paraId="7E1EFBF9"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Base de la donación --- la liberalidad: sin estar obligado a ello una persona proporciona a otra alguna ventaja o beneficio gratuito.</w:t>
      </w:r>
    </w:p>
    <w:p w14:paraId="05B5892E"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 xml:space="preserve">La donación tiene una naturaleza jurídica variable. Algunos códigos la consideran un contrato; otros un acto revocable deferente de los contratos; otros </w:t>
      </w:r>
      <w:r w:rsidRPr="00DD02AE">
        <w:rPr>
          <w:rFonts w:ascii="Arial" w:hAnsi="Arial" w:cs="Arial"/>
          <w:sz w:val="24"/>
          <w:szCs w:val="24"/>
          <w:lang w:val="es-ES"/>
        </w:rPr>
        <w:lastRenderedPageBreak/>
        <w:t xml:space="preserve">como causa o forma de adquirir la propiedad y otros como una forma de sucesión inter vivos. </w:t>
      </w:r>
    </w:p>
    <w:p w14:paraId="205C57CB"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Donación: contrato en virtud del cual una persona, a expensas de su patrimonio transmite la propiedad de un bien a otra (artículo 371).</w:t>
      </w:r>
    </w:p>
    <w:p w14:paraId="11A0D56D"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Donación es un acto jurídico bilateral con efecto unilateral --- explicar.</w:t>
      </w:r>
    </w:p>
    <w:p w14:paraId="62285F6F" w14:textId="4D657DC5"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Es claro el CCC cuando acoge la teoría del conocimiento para fijar el momento de perfección del contrato de donación entre ausentes (artículo 3</w:t>
      </w:r>
      <w:r w:rsidR="00297E09">
        <w:rPr>
          <w:rFonts w:ascii="Arial" w:hAnsi="Arial" w:cs="Arial"/>
          <w:sz w:val="24"/>
          <w:szCs w:val="24"/>
          <w:lang w:val="es-ES"/>
        </w:rPr>
        <w:t>71</w:t>
      </w:r>
      <w:r w:rsidRPr="00DD02AE">
        <w:rPr>
          <w:rFonts w:ascii="Arial" w:hAnsi="Arial" w:cs="Arial"/>
          <w:sz w:val="24"/>
          <w:szCs w:val="24"/>
          <w:lang w:val="es-ES"/>
        </w:rPr>
        <w:t>, 372, 374.4 y 376 in fine).</w:t>
      </w:r>
    </w:p>
    <w:p w14:paraId="41E1FEF0" w14:textId="34AD3C34"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noProof/>
          <w:sz w:val="24"/>
          <w:szCs w:val="24"/>
          <w:lang w:val="es-ES" w:eastAsia="es-ES"/>
        </w:rPr>
        <mc:AlternateContent>
          <mc:Choice Requires="wps">
            <w:drawing>
              <wp:anchor distT="0" distB="0" distL="114300" distR="114300" simplePos="0" relativeHeight="251677696" behindDoc="0" locked="0" layoutInCell="1" allowOverlap="1" wp14:anchorId="41C669BF" wp14:editId="01159978">
                <wp:simplePos x="0" y="0"/>
                <wp:positionH relativeFrom="column">
                  <wp:posOffset>676910</wp:posOffset>
                </wp:positionH>
                <wp:positionV relativeFrom="paragraph">
                  <wp:posOffset>114935</wp:posOffset>
                </wp:positionV>
                <wp:extent cx="429260" cy="262255"/>
                <wp:effectExtent l="13970" t="55880" r="42545" b="5715"/>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9260" cy="262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5A6AB" id="Conector recto de flecha 3" o:spid="_x0000_s1026" type="#_x0000_t32" style="position:absolute;margin-left:53.3pt;margin-top:9.05pt;width:33.8pt;height:20.6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">
                <v:stroke endarrow="block"/>
              </v:shape>
            </w:pict>
          </mc:Fallback>
        </mc:AlternateContent>
      </w:r>
      <w:r w:rsidRPr="00DD02AE">
        <w:rPr>
          <w:rFonts w:ascii="Arial" w:hAnsi="Arial" w:cs="Arial"/>
          <w:sz w:val="24"/>
          <w:szCs w:val="24"/>
          <w:lang w:val="es-ES"/>
        </w:rPr>
        <w:t xml:space="preserve">                           No puede estar sujeta a condición (artículo 376).</w:t>
      </w:r>
    </w:p>
    <w:p w14:paraId="15FE2052" w14:textId="3A1BD834"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noProof/>
          <w:sz w:val="24"/>
          <w:szCs w:val="24"/>
          <w:lang w:val="es-ES" w:eastAsia="es-ES"/>
        </w:rPr>
        <mc:AlternateContent>
          <mc:Choice Requires="wps">
            <w:drawing>
              <wp:anchor distT="0" distB="0" distL="114300" distR="114300" simplePos="0" relativeHeight="251679744" behindDoc="0" locked="0" layoutInCell="1" allowOverlap="1" wp14:anchorId="73D38F8A" wp14:editId="34D713B5">
                <wp:simplePos x="0" y="0"/>
                <wp:positionH relativeFrom="column">
                  <wp:posOffset>247650</wp:posOffset>
                </wp:positionH>
                <wp:positionV relativeFrom="paragraph">
                  <wp:posOffset>209550</wp:posOffset>
                </wp:positionV>
                <wp:extent cx="0" cy="1065530"/>
                <wp:effectExtent l="60960" t="13335" r="53340" b="16510"/>
                <wp:wrapNone/>
                <wp:docPr id="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5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AB7287" id="Conector recto de flecha 2" o:spid="_x0000_s1026" type="#_x0000_t32" style="position:absolute;margin-left:19.5pt;margin-top:16.5pt;width:0;height:8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">
                <v:stroke endarrow="block"/>
              </v:shape>
            </w:pict>
          </mc:Fallback>
        </mc:AlternateContent>
      </w:r>
      <w:r w:rsidRPr="00DD02AE">
        <w:rPr>
          <w:rFonts w:ascii="Arial" w:hAnsi="Arial" w:cs="Arial"/>
          <w:noProof/>
          <w:sz w:val="24"/>
          <w:szCs w:val="24"/>
          <w:lang w:val="es-ES" w:eastAsia="es-ES"/>
        </w:rPr>
        <mc:AlternateContent>
          <mc:Choice Requires="wps">
            <w:drawing>
              <wp:anchor distT="0" distB="0" distL="114300" distR="114300" simplePos="0" relativeHeight="251678720" behindDoc="0" locked="0" layoutInCell="1" allowOverlap="1" wp14:anchorId="16368D8F" wp14:editId="43B843A8">
                <wp:simplePos x="0" y="0"/>
                <wp:positionH relativeFrom="column">
                  <wp:posOffset>676910</wp:posOffset>
                </wp:positionH>
                <wp:positionV relativeFrom="paragraph">
                  <wp:posOffset>114300</wp:posOffset>
                </wp:positionV>
                <wp:extent cx="381635" cy="485140"/>
                <wp:effectExtent l="13970" t="13335" r="52070" b="44450"/>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635" cy="485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19F262" id="Conector recto de flecha 1" o:spid="_x0000_s1026" type="#_x0000_t32" style="position:absolute;margin-left:53.3pt;margin-top:9pt;width:30.05pt;height:3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">
                <v:stroke endarrow="block"/>
              </v:shape>
            </w:pict>
          </mc:Fallback>
        </mc:AlternateContent>
      </w:r>
      <w:r w:rsidRPr="00DD02AE">
        <w:rPr>
          <w:rFonts w:ascii="Arial" w:hAnsi="Arial" w:cs="Arial"/>
          <w:sz w:val="24"/>
          <w:szCs w:val="24"/>
          <w:lang w:val="es-ES"/>
        </w:rPr>
        <w:t xml:space="preserve">Donación </w:t>
      </w:r>
    </w:p>
    <w:p w14:paraId="512AA92D"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 xml:space="preserve">                             </w:t>
      </w:r>
    </w:p>
    <w:p w14:paraId="6CA916CF"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 xml:space="preserve">                           No puede realizarse para que tenga efectos después de la</w:t>
      </w:r>
    </w:p>
    <w:p w14:paraId="2DDCFFE2"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 xml:space="preserve">                           muerte (artículo 377)</w:t>
      </w:r>
    </w:p>
    <w:p w14:paraId="12513E2C" w14:textId="77777777" w:rsidR="00DD02AE" w:rsidRPr="00DD02AE" w:rsidRDefault="00DD02AE" w:rsidP="00DD02AE">
      <w:pPr>
        <w:spacing w:line="360" w:lineRule="auto"/>
        <w:jc w:val="both"/>
        <w:rPr>
          <w:rFonts w:ascii="Arial" w:hAnsi="Arial" w:cs="Arial"/>
          <w:sz w:val="24"/>
          <w:szCs w:val="24"/>
          <w:lang w:val="es-ES"/>
        </w:rPr>
      </w:pPr>
    </w:p>
    <w:p w14:paraId="51CAD2E2"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En Cuba la donación se fundamenta en los merecimientos del donatario.</w:t>
      </w:r>
    </w:p>
    <w:p w14:paraId="6D090B14"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Clasificación: unilateral; gratuita; Real en caso de que sean bienes muebles (artículo 373) o solemne si se trata de bienes inmuebles (artículo 374.1); típico; principal; generalmente personalísimo.</w:t>
      </w:r>
    </w:p>
    <w:p w14:paraId="0EFAFC73"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Elementos personales: Donante --- sujeto pasivo y deudor.</w:t>
      </w:r>
    </w:p>
    <w:p w14:paraId="4DB376C2"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 xml:space="preserve">                                      Donatario --- sujeto activo y acreedor. Puede aceptar a través de poder especial (artículo 375).</w:t>
      </w:r>
    </w:p>
    <w:p w14:paraId="78DFC60B"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 xml:space="preserve">Analizar para el seminario si procede la donación a favor del nasciturus a tenor del artículo 25 del </w:t>
      </w:r>
      <w:proofErr w:type="spellStart"/>
      <w:r w:rsidRPr="00DD02AE">
        <w:rPr>
          <w:rFonts w:ascii="Arial" w:hAnsi="Arial" w:cs="Arial"/>
          <w:sz w:val="24"/>
          <w:szCs w:val="24"/>
          <w:lang w:val="es-ES"/>
        </w:rPr>
        <w:t>CCc</w:t>
      </w:r>
      <w:proofErr w:type="spellEnd"/>
      <w:r w:rsidRPr="00DD02AE">
        <w:rPr>
          <w:rFonts w:ascii="Arial" w:hAnsi="Arial" w:cs="Arial"/>
          <w:sz w:val="24"/>
          <w:szCs w:val="24"/>
          <w:lang w:val="es-ES"/>
        </w:rPr>
        <w:t xml:space="preserve"> y a pesar de las regulaciones del artículo 376.</w:t>
      </w:r>
    </w:p>
    <w:p w14:paraId="3BBD7E78" w14:textId="0BD313D9"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 xml:space="preserve">Se requiere la capacidad general que se exige a las personas para contratar. Capacidad específica solo en el caso del artículo 338 del </w:t>
      </w:r>
      <w:proofErr w:type="spellStart"/>
      <w:r w:rsidRPr="00DD02AE">
        <w:rPr>
          <w:rFonts w:ascii="Arial" w:hAnsi="Arial" w:cs="Arial"/>
          <w:sz w:val="24"/>
          <w:szCs w:val="24"/>
          <w:lang w:val="es-ES"/>
        </w:rPr>
        <w:t>CCc</w:t>
      </w:r>
      <w:proofErr w:type="spellEnd"/>
      <w:r w:rsidRPr="00DD02AE">
        <w:rPr>
          <w:rFonts w:ascii="Arial" w:hAnsi="Arial" w:cs="Arial"/>
          <w:sz w:val="24"/>
          <w:szCs w:val="24"/>
          <w:lang w:val="es-ES"/>
        </w:rPr>
        <w:t>. En el caso de los padres o tutores necesitan autorización del tribunal para aceptar o repudiar la donación</w:t>
      </w:r>
      <w:r w:rsidR="00297E09">
        <w:rPr>
          <w:rFonts w:ascii="Arial" w:hAnsi="Arial" w:cs="Arial"/>
          <w:sz w:val="24"/>
          <w:szCs w:val="24"/>
          <w:lang w:val="es-ES"/>
        </w:rPr>
        <w:t>.</w:t>
      </w:r>
    </w:p>
    <w:p w14:paraId="6FA99FC7"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lastRenderedPageBreak/>
        <w:t>Elementos reales: bienes --- se debate si se incluyen los órganos y tejidos (Ley 41 de 13/7/1983 y Decreto Ley 139 de 4/2/1983.</w:t>
      </w:r>
    </w:p>
    <w:p w14:paraId="59637B7E"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Elementos formales: real si son bienes muebles (artículo 373).</w:t>
      </w:r>
    </w:p>
    <w:p w14:paraId="588587AF" w14:textId="77777777" w:rsidR="00DD02AE" w:rsidRPr="00DD02AE" w:rsidRDefault="00DD02AE" w:rsidP="00DD02AE">
      <w:pPr>
        <w:spacing w:line="360" w:lineRule="auto"/>
        <w:jc w:val="both"/>
        <w:rPr>
          <w:rFonts w:ascii="Arial" w:hAnsi="Arial" w:cs="Arial"/>
          <w:sz w:val="24"/>
          <w:szCs w:val="24"/>
          <w:lang w:val="es-ES"/>
        </w:rPr>
      </w:pPr>
      <w:r w:rsidRPr="00DD02AE">
        <w:rPr>
          <w:rFonts w:ascii="Arial" w:hAnsi="Arial" w:cs="Arial"/>
          <w:sz w:val="24"/>
          <w:szCs w:val="24"/>
          <w:lang w:val="es-ES"/>
        </w:rPr>
        <w:t xml:space="preserve">                                    Solemne en la donación de bienes inmuebles (artículo 374).</w:t>
      </w:r>
    </w:p>
    <w:p w14:paraId="3C9BBF13" w14:textId="77777777" w:rsidR="00DD02AE" w:rsidRPr="00DD02AE" w:rsidRDefault="00DD02AE" w:rsidP="00DD02AE">
      <w:pPr>
        <w:spacing w:line="360" w:lineRule="auto"/>
        <w:jc w:val="both"/>
        <w:rPr>
          <w:rFonts w:ascii="Arial" w:hAnsi="Arial" w:cs="Arial"/>
          <w:sz w:val="24"/>
          <w:szCs w:val="24"/>
          <w:lang w:val="es-ES"/>
        </w:rPr>
      </w:pPr>
    </w:p>
    <w:sectPr w:rsidR="00DD02AE" w:rsidRPr="00DD02A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F7E25"/>
    <w:multiLevelType w:val="hybridMultilevel"/>
    <w:tmpl w:val="9632A714"/>
    <w:lvl w:ilvl="0" w:tplc="C48A7A7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8209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359"/>
    <w:rsid w:val="00297E09"/>
    <w:rsid w:val="00967359"/>
    <w:rsid w:val="00A52F93"/>
    <w:rsid w:val="00DD02AE"/>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B6178"/>
  <w15:chartTrackingRefBased/>
  <w15:docId w15:val="{A42E6B9B-E6BB-4249-A6EA-47757EB6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920</Words>
  <Characters>5060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dc:creator>
  <cp:keywords/>
  <dc:description/>
  <cp:lastModifiedBy>Fabio</cp:lastModifiedBy>
  <cp:revision>3</cp:revision>
  <dcterms:created xsi:type="dcterms:W3CDTF">2024-06-11T01:44:00Z</dcterms:created>
  <dcterms:modified xsi:type="dcterms:W3CDTF">2024-06-11T02:03:00Z</dcterms:modified>
</cp:coreProperties>
</file>