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454F6" w14:textId="77777777" w:rsidR="00630067" w:rsidRDefault="00630067" w:rsidP="0063006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Derecho de Contratos.</w:t>
      </w:r>
    </w:p>
    <w:p w14:paraId="3BEC4177" w14:textId="4E7C8A35" w:rsidR="00630067" w:rsidRDefault="00630067" w:rsidP="00630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Conferencia </w:t>
      </w:r>
      <w:r w:rsidR="00792F3D">
        <w:rPr>
          <w:rFonts w:ascii="Arial" w:hAnsi="Arial" w:cs="Arial"/>
          <w:sz w:val="24"/>
          <w:szCs w:val="24"/>
          <w:lang w:val="es-ES"/>
        </w:rPr>
        <w:t>5</w:t>
      </w:r>
      <w:r>
        <w:rPr>
          <w:rFonts w:ascii="Arial" w:hAnsi="Arial" w:cs="Arial"/>
          <w:sz w:val="24"/>
          <w:szCs w:val="24"/>
          <w:lang w:val="es-ES"/>
        </w:rPr>
        <w:t xml:space="preserve">: </w:t>
      </w:r>
      <w:r w:rsidRPr="00325529">
        <w:rPr>
          <w:rFonts w:ascii="Arial" w:hAnsi="Arial" w:cs="Arial"/>
          <w:color w:val="000000"/>
          <w:sz w:val="24"/>
          <w:szCs w:val="24"/>
        </w:rPr>
        <w:t xml:space="preserve">Los contratos traslativos del derecho de </w:t>
      </w:r>
      <w:r>
        <w:rPr>
          <w:rFonts w:ascii="Arial" w:hAnsi="Arial" w:cs="Arial"/>
          <w:color w:val="000000"/>
          <w:sz w:val="24"/>
          <w:szCs w:val="24"/>
        </w:rPr>
        <w:t>uso y disfrute.</w:t>
      </w:r>
    </w:p>
    <w:p w14:paraId="589B2B99" w14:textId="77777777" w:rsidR="00405AB3" w:rsidRDefault="00630067" w:rsidP="0063006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30067">
        <w:rPr>
          <w:rFonts w:ascii="Arial" w:hAnsi="Arial" w:cs="Arial"/>
          <w:color w:val="000000"/>
          <w:sz w:val="24"/>
          <w:szCs w:val="24"/>
        </w:rPr>
        <w:t xml:space="preserve">Los </w:t>
      </w:r>
      <w:r w:rsidRPr="00630067">
        <w:rPr>
          <w:rFonts w:ascii="Arial" w:hAnsi="Arial" w:cs="Arial"/>
          <w:sz w:val="24"/>
          <w:szCs w:val="24"/>
          <w:lang w:val="es-ES"/>
        </w:rPr>
        <w:t xml:space="preserve">contratos traslativos del derecho de propiedad (transmiten la posesión, el uso, el disfrute y la disposición). </w:t>
      </w:r>
    </w:p>
    <w:p w14:paraId="5F2C0352" w14:textId="28FFBA8B" w:rsidR="00630067" w:rsidRDefault="00630067" w:rsidP="0063006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630067">
        <w:rPr>
          <w:rFonts w:ascii="Arial" w:hAnsi="Arial" w:cs="Arial"/>
          <w:sz w:val="24"/>
          <w:szCs w:val="24"/>
          <w:lang w:val="es-ES"/>
        </w:rPr>
        <w:t>Por su parte los contratos traslativos del derecho de uso y disfrute transmiten la posesión, el uso y el disfrute, pero no la disposición.</w:t>
      </w:r>
    </w:p>
    <w:p w14:paraId="37E92490" w14:textId="2801D1B8" w:rsid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N</w:t>
      </w:r>
      <w:r w:rsidRPr="00436B18">
        <w:rPr>
          <w:rFonts w:ascii="Arial" w:hAnsi="Arial" w:cs="Arial"/>
          <w:sz w:val="24"/>
          <w:szCs w:val="24"/>
          <w:lang w:val="es-ES"/>
        </w:rPr>
        <w:t>o es indispensable en teoría que se sea propietario para ser sujeto de un contrato traslativo del derecho de uso y disfrute. Sin embargo, en Cuba ello no es posible</w:t>
      </w:r>
      <w:r>
        <w:rPr>
          <w:rFonts w:ascii="Arial" w:hAnsi="Arial" w:cs="Arial"/>
          <w:sz w:val="24"/>
          <w:szCs w:val="24"/>
          <w:lang w:val="es-ES"/>
        </w:rPr>
        <w:t>, ej.</w:t>
      </w:r>
      <w:r w:rsidRPr="00436B18">
        <w:rPr>
          <w:rFonts w:ascii="Arial" w:hAnsi="Arial" w:cs="Arial"/>
          <w:sz w:val="24"/>
          <w:szCs w:val="24"/>
          <w:lang w:val="es-ES"/>
        </w:rPr>
        <w:t xml:space="preserve"> artículo 201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Pr="00436B18">
        <w:rPr>
          <w:rFonts w:ascii="Arial" w:hAnsi="Arial" w:cs="Arial"/>
          <w:sz w:val="24"/>
          <w:szCs w:val="24"/>
          <w:lang w:val="es-ES"/>
        </w:rPr>
        <w:t>del Código Civil cubano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14:paraId="73FD7F34" w14:textId="42C6338D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>Préstamo: contrato en virtud del cual una de las partes (prestamista) se obliga a entregar a otra (prestatario) una cantidad de dinero o bienes designados por su género y esta a devolverle otro tanto del mismo género en el plazo acordado (artículo 379).</w:t>
      </w:r>
    </w:p>
    <w:p w14:paraId="5F05EA0C" w14:textId="798F8E86" w:rsidR="00436B18" w:rsidRPr="00436B18" w:rsidRDefault="00436B18" w:rsidP="00436B18">
      <w:pPr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5ED60" wp14:editId="0622A138">
                <wp:simplePos x="0" y="0"/>
                <wp:positionH relativeFrom="column">
                  <wp:posOffset>653415</wp:posOffset>
                </wp:positionH>
                <wp:positionV relativeFrom="paragraph">
                  <wp:posOffset>180340</wp:posOffset>
                </wp:positionV>
                <wp:extent cx="1709420" cy="596900"/>
                <wp:effectExtent l="34290" t="8890" r="8890" b="60960"/>
                <wp:wrapNone/>
                <wp:docPr id="5" name="Conector recto de flech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9420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FAB6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5" o:spid="_x0000_s1026" type="#_x0000_t32" style="position:absolute;margin-left:51.45pt;margin-top:14.2pt;width:134.6pt;height:4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">
                <v:stroke endarrow="block"/>
              </v:shape>
            </w:pict>
          </mc:Fallback>
        </mc:AlternateContent>
      </w:r>
      <w:r w:rsidRPr="00436B18">
        <w:rPr>
          <w:rFonts w:ascii="Arial" w:hAnsi="Arial" w:cs="Arial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A036B2" wp14:editId="7B7CD618">
                <wp:simplePos x="0" y="0"/>
                <wp:positionH relativeFrom="column">
                  <wp:posOffset>3014980</wp:posOffset>
                </wp:positionH>
                <wp:positionV relativeFrom="paragraph">
                  <wp:posOffset>180340</wp:posOffset>
                </wp:positionV>
                <wp:extent cx="1701165" cy="596900"/>
                <wp:effectExtent l="5080" t="8890" r="36830" b="60960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3F438" id="Conector recto de flecha 4" o:spid="_x0000_s1026" type="#_x0000_t32" style="position:absolute;margin-left:237.4pt;margin-top:14.2pt;width:133.95pt;height:4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">
                <v:stroke endarrow="block"/>
              </v:shape>
            </w:pict>
          </mc:Fallback>
        </mc:AlternateContent>
      </w:r>
      <w:r w:rsidRPr="00436B18">
        <w:rPr>
          <w:rFonts w:ascii="Arial" w:hAnsi="Arial" w:cs="Arial"/>
          <w:sz w:val="24"/>
          <w:szCs w:val="24"/>
          <w:lang w:val="es-ES"/>
        </w:rPr>
        <w:t>Préstamo</w:t>
      </w:r>
    </w:p>
    <w:p w14:paraId="00F0A774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2B54BF7E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6D432102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>De consumo o mutuo                                                              De uso o comodato</w:t>
      </w:r>
    </w:p>
    <w:p w14:paraId="43564612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>Préstamo en el Código Civil cubano           Comodato en el Código Civil cubano</w:t>
      </w:r>
    </w:p>
    <w:p w14:paraId="1E764B7B" w14:textId="7679FCC6" w:rsidR="00886215" w:rsidRPr="00886215" w:rsidRDefault="00886215" w:rsidP="00886215">
      <w:pPr>
        <w:spacing w:line="360" w:lineRule="auto"/>
        <w:jc w:val="center"/>
        <w:rPr>
          <w:rFonts w:ascii="Arial" w:hAnsi="Arial" w:cs="Arial"/>
          <w:sz w:val="24"/>
          <w:szCs w:val="24"/>
          <w:lang w:val="es-ES"/>
        </w:rPr>
      </w:pPr>
      <w:r w:rsidRPr="00886215">
        <w:rPr>
          <w:rFonts w:ascii="Arial" w:hAnsi="Arial" w:cs="Arial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5A09D8" wp14:editId="23C5CDEF">
                <wp:simplePos x="0" y="0"/>
                <wp:positionH relativeFrom="column">
                  <wp:posOffset>653415</wp:posOffset>
                </wp:positionH>
                <wp:positionV relativeFrom="paragraph">
                  <wp:posOffset>180340</wp:posOffset>
                </wp:positionV>
                <wp:extent cx="1709420" cy="596900"/>
                <wp:effectExtent l="34290" t="8890" r="8890" b="60960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09420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DAE6" id="Conector recto de flecha 7" o:spid="_x0000_s1026" type="#_x0000_t32" style="position:absolute;margin-left:51.45pt;margin-top:14.2pt;width:134.6pt;height:47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">
                <v:stroke endarrow="block"/>
              </v:shape>
            </w:pict>
          </mc:Fallback>
        </mc:AlternateContent>
      </w:r>
      <w:r w:rsidRPr="00886215">
        <w:rPr>
          <w:rFonts w:ascii="Arial" w:hAnsi="Arial" w:cs="Arial"/>
          <w:noProof/>
          <w:sz w:val="24"/>
          <w:szCs w:val="24"/>
          <w:lang w:val="es-VE" w:eastAsia="es-V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89344" wp14:editId="58DD4753">
                <wp:simplePos x="0" y="0"/>
                <wp:positionH relativeFrom="column">
                  <wp:posOffset>3014980</wp:posOffset>
                </wp:positionH>
                <wp:positionV relativeFrom="paragraph">
                  <wp:posOffset>180340</wp:posOffset>
                </wp:positionV>
                <wp:extent cx="1701165" cy="596900"/>
                <wp:effectExtent l="5080" t="8890" r="36830" b="6096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165" cy="596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5DCA4" id="Conector recto de flecha 6" o:spid="_x0000_s1026" type="#_x0000_t32" style="position:absolute;margin-left:237.4pt;margin-top:14.2pt;width:133.95pt;height:4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">
                <v:stroke endarrow="block"/>
              </v:shape>
            </w:pict>
          </mc:Fallback>
        </mc:AlternateContent>
      </w:r>
      <w:r w:rsidRPr="00886215">
        <w:rPr>
          <w:rFonts w:ascii="Arial" w:hAnsi="Arial" w:cs="Arial"/>
          <w:sz w:val="24"/>
          <w:szCs w:val="24"/>
          <w:lang w:val="es-ES"/>
        </w:rPr>
        <w:t>Préstamo</w:t>
      </w:r>
    </w:p>
    <w:p w14:paraId="3B3A74DE" w14:textId="77777777" w:rsidR="00886215" w:rsidRPr="00886215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4CA2318E" w14:textId="77777777" w:rsidR="00886215" w:rsidRPr="00886215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0553E450" w14:textId="77777777" w:rsidR="00886215" w:rsidRPr="00886215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86215">
        <w:rPr>
          <w:rFonts w:ascii="Arial" w:hAnsi="Arial" w:cs="Arial"/>
          <w:sz w:val="24"/>
          <w:szCs w:val="24"/>
          <w:lang w:val="es-ES"/>
        </w:rPr>
        <w:t>Traslativo del derecho de propiedad   ≠   traslativo del derecho de uso y disfrute</w:t>
      </w:r>
    </w:p>
    <w:p w14:paraId="473690AF" w14:textId="135970D4" w:rsidR="00886215" w:rsidRDefault="00886215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886215">
        <w:rPr>
          <w:rFonts w:ascii="Arial" w:hAnsi="Arial" w:cs="Arial"/>
          <w:sz w:val="24"/>
          <w:szCs w:val="24"/>
          <w:lang w:val="es-ES"/>
        </w:rPr>
        <w:t xml:space="preserve">En este sentido su clasificación se ha dividido en estas dos grandes posiciones. Autores como Rapa se afilian a la primera corriente, la doctrina cubana actual no comparte esta posición. </w:t>
      </w:r>
    </w:p>
    <w:p w14:paraId="56449A3F" w14:textId="11CB8193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 xml:space="preserve">Clasificaciones: bilateral (como se concibe en </w:t>
      </w:r>
      <w:r w:rsidR="00886215" w:rsidRPr="00436B18">
        <w:rPr>
          <w:rFonts w:ascii="Arial" w:hAnsi="Arial" w:cs="Arial"/>
          <w:sz w:val="24"/>
          <w:szCs w:val="24"/>
          <w:lang w:val="es-ES"/>
        </w:rPr>
        <w:t>Cuba,</w:t>
      </w:r>
      <w:r w:rsidRPr="00436B18">
        <w:rPr>
          <w:rFonts w:ascii="Arial" w:hAnsi="Arial" w:cs="Arial"/>
          <w:sz w:val="24"/>
          <w:szCs w:val="24"/>
          <w:lang w:val="es-ES"/>
        </w:rPr>
        <w:t xml:space="preserve"> pero en Roma era real); oneroso o gratuito; consensual, si excede los $500 es formal (artículo 51 b y 313) </w:t>
      </w:r>
      <w:r w:rsidRPr="00436B18">
        <w:rPr>
          <w:rFonts w:ascii="Arial" w:hAnsi="Arial" w:cs="Arial"/>
          <w:sz w:val="24"/>
          <w:szCs w:val="24"/>
          <w:lang w:val="es-ES"/>
        </w:rPr>
        <w:lastRenderedPageBreak/>
        <w:t>y en el caso de que sea con entidades bancarias es solemne; principal; típico; generalmente impersonal.</w:t>
      </w:r>
    </w:p>
    <w:p w14:paraId="20DE4F63" w14:textId="65AF5E19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B12C4E" wp14:editId="7D880186">
                <wp:simplePos x="0" y="0"/>
                <wp:positionH relativeFrom="column">
                  <wp:posOffset>2291080</wp:posOffset>
                </wp:positionH>
                <wp:positionV relativeFrom="paragraph">
                  <wp:posOffset>184785</wp:posOffset>
                </wp:positionV>
                <wp:extent cx="0" cy="215265"/>
                <wp:effectExtent l="52705" t="13335" r="61595" b="1905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F072A" id="Conector recto de flecha 1" o:spid="_x0000_s1026" type="#_x0000_t32" style="position:absolute;margin-left:180.4pt;margin-top:14.55pt;width:0;height:1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">
                <v:stroke endarrow="block"/>
              </v:shape>
            </w:pict>
          </mc:Fallback>
        </mc:AlternateContent>
      </w:r>
      <w:r w:rsidRPr="00436B18">
        <w:rPr>
          <w:rFonts w:ascii="Arial" w:hAnsi="Arial" w:cs="Arial"/>
          <w:sz w:val="24"/>
          <w:szCs w:val="24"/>
          <w:lang w:val="es-ES"/>
        </w:rPr>
        <w:t>Elementos personales: Prestamista y prestatario</w:t>
      </w:r>
    </w:p>
    <w:p w14:paraId="0B983D0B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C30CBEE" w14:textId="77777777" w:rsidR="00886215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 xml:space="preserve">                                      Activo y pasivo indistintamente.</w:t>
      </w:r>
    </w:p>
    <w:p w14:paraId="6A6A8BB0" w14:textId="5650100E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 xml:space="preserve">Se requiere la capacidad general que se exige a las personas para contratar. Capacidad específica solo en el caso del artículo 338 del </w:t>
      </w:r>
      <w:proofErr w:type="spellStart"/>
      <w:r w:rsidRPr="00436B18">
        <w:rPr>
          <w:rFonts w:ascii="Arial" w:hAnsi="Arial" w:cs="Arial"/>
          <w:sz w:val="24"/>
          <w:szCs w:val="24"/>
          <w:lang w:val="es-ES"/>
        </w:rPr>
        <w:t>CCc</w:t>
      </w:r>
      <w:proofErr w:type="spellEnd"/>
      <w:r w:rsidRPr="00436B18">
        <w:rPr>
          <w:rFonts w:ascii="Arial" w:hAnsi="Arial" w:cs="Arial"/>
          <w:sz w:val="24"/>
          <w:szCs w:val="24"/>
          <w:lang w:val="es-ES"/>
        </w:rPr>
        <w:t>. En el caso de los padres o tutores necesitan autorización del tribunal para enajenar los bienes del menor.</w:t>
      </w:r>
    </w:p>
    <w:p w14:paraId="147DBDBA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>Elementos reales: dinero o bienes genéricos y fungibles. Procede el saneamiento por vicios ocultos.</w:t>
      </w:r>
    </w:p>
    <w:p w14:paraId="36E4336E" w14:textId="77777777" w:rsidR="00436B18" w:rsidRPr="00436B18" w:rsidRDefault="00436B18" w:rsidP="00436B18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436B18">
        <w:rPr>
          <w:rFonts w:ascii="Arial" w:hAnsi="Arial" w:cs="Arial"/>
          <w:sz w:val="24"/>
          <w:szCs w:val="24"/>
          <w:lang w:val="es-ES"/>
        </w:rPr>
        <w:t>Elementos formales: no tiene si es consensual. Requiere la forma escrita si excede los $500 (formal). En caso de que sea con entidades bancarias es un contrato solemne y requiere las solemnidades que impone la entidad.</w:t>
      </w:r>
    </w:p>
    <w:p w14:paraId="0A43843F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Comodato: contrato en virtud del cual un sujeto (comodante) se compromete a ceder a otro el uso y disfrute de un bien de manera gratuita (artículo 382)</w:t>
      </w:r>
    </w:p>
    <w:p w14:paraId="5B35094D" w14:textId="583CE2C0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Clasificaciones: bilateral (como se concibe en </w:t>
      </w:r>
      <w:r w:rsidR="003316FD" w:rsidRPr="003316FD">
        <w:rPr>
          <w:rFonts w:ascii="Arial" w:hAnsi="Arial" w:cs="Arial"/>
          <w:sz w:val="24"/>
          <w:szCs w:val="24"/>
          <w:lang w:val="es-ES"/>
        </w:rPr>
        <w:t>Cuba,</w:t>
      </w:r>
      <w:r w:rsidRPr="003316FD">
        <w:rPr>
          <w:rFonts w:ascii="Arial" w:hAnsi="Arial" w:cs="Arial"/>
          <w:sz w:val="24"/>
          <w:szCs w:val="24"/>
          <w:lang w:val="es-ES"/>
        </w:rPr>
        <w:t xml:space="preserve"> pero en Roma era real); gratuito (justifica la regulación del artículo 386); consensual (en el Derecho Romano era real), si excede los $500 es formal (artículo 51 b y 313); principal; típico; generalmente personalísimo (artículo 386 a).</w:t>
      </w:r>
    </w:p>
    <w:p w14:paraId="1CB2B374" w14:textId="5CB9BA7D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DA3999" wp14:editId="1DE7B28E">
                <wp:simplePos x="0" y="0"/>
                <wp:positionH relativeFrom="column">
                  <wp:posOffset>2291080</wp:posOffset>
                </wp:positionH>
                <wp:positionV relativeFrom="paragraph">
                  <wp:posOffset>184785</wp:posOffset>
                </wp:positionV>
                <wp:extent cx="0" cy="215265"/>
                <wp:effectExtent l="52705" t="13335" r="61595" b="19050"/>
                <wp:wrapNone/>
                <wp:docPr id="9" name="Conector recto de flech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C1559" id="Conector recto de flecha 9" o:spid="_x0000_s1026" type="#_x0000_t32" style="position:absolute;margin-left:180.4pt;margin-top:14.55pt;width:0;height:1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">
                <v:stroke endarrow="block"/>
              </v:shape>
            </w:pict>
          </mc:Fallback>
        </mc:AlternateContent>
      </w:r>
      <w:r w:rsidRPr="003316FD">
        <w:rPr>
          <w:rFonts w:ascii="Arial" w:hAnsi="Arial" w:cs="Arial"/>
          <w:sz w:val="24"/>
          <w:szCs w:val="24"/>
          <w:lang w:val="es-ES"/>
        </w:rPr>
        <w:t>Elementos personales: Comodante y comodatario</w:t>
      </w:r>
    </w:p>
    <w:p w14:paraId="0E9B32E0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7F10ACB2" w14:textId="77777777" w:rsid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                                      Activo y pasivo indistintamente.</w:t>
      </w:r>
    </w:p>
    <w:p w14:paraId="72FB64A8" w14:textId="44D64B83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Se requiere la capacidad general que se exige a las personas para contratar. Capacidad específica solo en el caso del artículo 338 del </w:t>
      </w:r>
      <w:proofErr w:type="spellStart"/>
      <w:r w:rsidRPr="003316FD">
        <w:rPr>
          <w:rFonts w:ascii="Arial" w:hAnsi="Arial" w:cs="Arial"/>
          <w:sz w:val="24"/>
          <w:szCs w:val="24"/>
          <w:lang w:val="es-ES"/>
        </w:rPr>
        <w:t>CCc</w:t>
      </w:r>
      <w:proofErr w:type="spellEnd"/>
      <w:r w:rsidRPr="003316FD">
        <w:rPr>
          <w:rFonts w:ascii="Arial" w:hAnsi="Arial" w:cs="Arial"/>
          <w:sz w:val="24"/>
          <w:szCs w:val="24"/>
          <w:lang w:val="es-ES"/>
        </w:rPr>
        <w:t>. En el caso de los padres o tutores necesitan autorización del tribunal para enajenar los bienes del menor.</w:t>
      </w:r>
    </w:p>
    <w:p w14:paraId="31518475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Elementos reales: cosas generalmente no consumibles o que nos e agoten con el contrato. Los bienes consumibles solo a fin de exponerlos.</w:t>
      </w:r>
    </w:p>
    <w:p w14:paraId="1F53470F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lastRenderedPageBreak/>
        <w:t>Elementos formales: no tiene si es consensual. Requiere la forma escrita si excede los $500 (formal).</w:t>
      </w:r>
    </w:p>
    <w:p w14:paraId="58D9DA06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Prohibición de retención recogida en el artículo 388 ---- alejado de la doctrina romana que es considerada abusiva basada en la gratuidad del contrato. </w:t>
      </w:r>
    </w:p>
    <w:p w14:paraId="388DEE46" w14:textId="07BD30B6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Procede el saneamiento por vicios ocultos (artículo 385 </w:t>
      </w:r>
      <w:r w:rsidR="003316FD" w:rsidRPr="003316FD">
        <w:rPr>
          <w:rFonts w:ascii="Arial" w:hAnsi="Arial" w:cs="Arial"/>
          <w:sz w:val="24"/>
          <w:szCs w:val="24"/>
          <w:lang w:val="es-ES"/>
        </w:rPr>
        <w:t>ch) ---</w:t>
      </w:r>
      <w:r w:rsidRPr="003316FD">
        <w:rPr>
          <w:rFonts w:ascii="Arial" w:hAnsi="Arial" w:cs="Arial"/>
          <w:sz w:val="24"/>
          <w:szCs w:val="24"/>
          <w:lang w:val="es-ES"/>
        </w:rPr>
        <w:t>si conocía los vicios.</w:t>
      </w:r>
    </w:p>
    <w:p w14:paraId="37FAC1F5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Arrendamiento: contrato en virtud del cual un sujeto (arrendador), cede a otro el uso y disfrute de un bien a cambio del pago de una suma de dinero (artículo 389).</w:t>
      </w:r>
    </w:p>
    <w:p w14:paraId="29EF9545" w14:textId="5C38704E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Clasificaciones: bilateral (como se concibe en </w:t>
      </w:r>
      <w:r w:rsidR="003316FD" w:rsidRPr="003316FD">
        <w:rPr>
          <w:rFonts w:ascii="Arial" w:hAnsi="Arial" w:cs="Arial"/>
          <w:sz w:val="24"/>
          <w:szCs w:val="24"/>
          <w:lang w:val="es-ES"/>
        </w:rPr>
        <w:t>Cuba,</w:t>
      </w:r>
      <w:r w:rsidRPr="003316FD">
        <w:rPr>
          <w:rFonts w:ascii="Arial" w:hAnsi="Arial" w:cs="Arial"/>
          <w:sz w:val="24"/>
          <w:szCs w:val="24"/>
          <w:lang w:val="es-ES"/>
        </w:rPr>
        <w:t xml:space="preserve"> pero en Roma era real); oneroso; consensual, si excede los $500 es formal (artículo 51 b y 313); principal; típico; impersonal (artículo 390 y 391).</w:t>
      </w:r>
    </w:p>
    <w:p w14:paraId="673E338F" w14:textId="51CAA3EA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069B1" wp14:editId="041C6E93">
                <wp:simplePos x="0" y="0"/>
                <wp:positionH relativeFrom="column">
                  <wp:posOffset>2291080</wp:posOffset>
                </wp:positionH>
                <wp:positionV relativeFrom="paragraph">
                  <wp:posOffset>184785</wp:posOffset>
                </wp:positionV>
                <wp:extent cx="0" cy="215265"/>
                <wp:effectExtent l="52705" t="13335" r="61595" b="1905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DDA651" id="Conector recto de flecha 8" o:spid="_x0000_s1026" type="#_x0000_t32" style="position:absolute;margin-left:180.4pt;margin-top:14.55pt;width:0;height:1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">
                <v:stroke endarrow="block"/>
              </v:shape>
            </w:pict>
          </mc:Fallback>
        </mc:AlternateContent>
      </w:r>
      <w:r w:rsidRPr="003316FD">
        <w:rPr>
          <w:rFonts w:ascii="Arial" w:hAnsi="Arial" w:cs="Arial"/>
          <w:sz w:val="24"/>
          <w:szCs w:val="24"/>
          <w:lang w:val="es-ES"/>
        </w:rPr>
        <w:t>Elementos personales: arrendador y arrendatario</w:t>
      </w:r>
    </w:p>
    <w:p w14:paraId="584CD754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3793A98" w14:textId="77777777" w:rsid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                                      Activo y pasivo indistintamente. </w:t>
      </w:r>
    </w:p>
    <w:p w14:paraId="16ED9E50" w14:textId="0E409BEB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 xml:space="preserve">Se requiere la capacidad general que se exige a las personas para contratar. Capacidad específica solo en el caso del artículo 338 del </w:t>
      </w:r>
      <w:proofErr w:type="spellStart"/>
      <w:r w:rsidRPr="003316FD">
        <w:rPr>
          <w:rFonts w:ascii="Arial" w:hAnsi="Arial" w:cs="Arial"/>
          <w:sz w:val="24"/>
          <w:szCs w:val="24"/>
          <w:lang w:val="es-ES"/>
        </w:rPr>
        <w:t>CCc</w:t>
      </w:r>
      <w:proofErr w:type="spellEnd"/>
      <w:r w:rsidRPr="003316FD">
        <w:rPr>
          <w:rFonts w:ascii="Arial" w:hAnsi="Arial" w:cs="Arial"/>
          <w:sz w:val="24"/>
          <w:szCs w:val="24"/>
          <w:lang w:val="es-ES"/>
        </w:rPr>
        <w:t>. En el caso de los padres o tutores necesitan autorización del tribunal para enajenar los bienes del menor</w:t>
      </w:r>
      <w:r w:rsidR="003316FD">
        <w:rPr>
          <w:rFonts w:ascii="Arial" w:hAnsi="Arial" w:cs="Arial"/>
          <w:sz w:val="24"/>
          <w:szCs w:val="24"/>
          <w:lang w:val="es-ES"/>
        </w:rPr>
        <w:t>.</w:t>
      </w:r>
    </w:p>
    <w:p w14:paraId="34DF3303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Elementos reales: bien y precio.</w:t>
      </w:r>
    </w:p>
    <w:p w14:paraId="71B4CCA8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Elementos formales: no tiene si es consensual. Requiere la forma escrita si excede los $500 (formal).</w:t>
      </w:r>
    </w:p>
    <w:p w14:paraId="401C4FAD" w14:textId="77777777" w:rsidR="00886215" w:rsidRPr="003316FD" w:rsidRDefault="00886215" w:rsidP="00886215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3316FD">
        <w:rPr>
          <w:rFonts w:ascii="Arial" w:hAnsi="Arial" w:cs="Arial"/>
          <w:sz w:val="24"/>
          <w:szCs w:val="24"/>
          <w:lang w:val="es-ES"/>
        </w:rPr>
        <w:t>Obligaciones del arrendador-----artículo 393—resaltar inciso ch (saneamiento por evicción y por vicios ocultos).</w:t>
      </w:r>
    </w:p>
    <w:p w14:paraId="75A43744" w14:textId="77777777" w:rsidR="00436B18" w:rsidRPr="00436B18" w:rsidRDefault="00436B18" w:rsidP="00630067">
      <w:pPr>
        <w:spacing w:line="360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5F8BED9A" w14:textId="36885A19" w:rsidR="00630067" w:rsidRDefault="00630067" w:rsidP="0063006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79A05CD" w14:textId="77777777" w:rsidR="00A52F93" w:rsidRPr="00630067" w:rsidRDefault="00A52F93" w:rsidP="0063006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A52F93" w:rsidRPr="006300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2A"/>
    <w:rsid w:val="003316FD"/>
    <w:rsid w:val="00405AB3"/>
    <w:rsid w:val="00436B18"/>
    <w:rsid w:val="00630067"/>
    <w:rsid w:val="00792F3D"/>
    <w:rsid w:val="00886215"/>
    <w:rsid w:val="00A52F93"/>
    <w:rsid w:val="00DC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B50B0F"/>
  <w15:chartTrackingRefBased/>
  <w15:docId w15:val="{83A3769B-945E-415E-BF84-36A0A616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06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693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</dc:creator>
  <cp:keywords/>
  <dc:description/>
  <cp:lastModifiedBy>Fabio</cp:lastModifiedBy>
  <cp:revision>4</cp:revision>
  <dcterms:created xsi:type="dcterms:W3CDTF">2024-06-22T14:06:00Z</dcterms:created>
  <dcterms:modified xsi:type="dcterms:W3CDTF">2024-06-22T16:30:00Z</dcterms:modified>
</cp:coreProperties>
</file>