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3E475" w14:textId="77777777" w:rsidR="00CD1630" w:rsidRDefault="00CD1630" w:rsidP="00CD1630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Derecho de Contratos.</w:t>
      </w:r>
    </w:p>
    <w:p w14:paraId="4C68E478" w14:textId="2ECC68DA" w:rsidR="00CD1630" w:rsidRPr="00CD1630" w:rsidRDefault="00CD1630" w:rsidP="00CD1630">
      <w:pPr>
        <w:jc w:val="both"/>
        <w:rPr>
          <w:rFonts w:ascii="Arial" w:hAnsi="Arial" w:cs="Arial"/>
          <w:color w:val="000000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Conferencia 6: </w:t>
      </w:r>
      <w:r w:rsidRPr="00325529">
        <w:rPr>
          <w:rFonts w:ascii="Arial" w:hAnsi="Arial" w:cs="Arial"/>
          <w:color w:val="000000"/>
          <w:sz w:val="24"/>
          <w:szCs w:val="24"/>
        </w:rPr>
        <w:t>Los contratos</w:t>
      </w:r>
      <w:r>
        <w:rPr>
          <w:rFonts w:ascii="Arial" w:hAnsi="Arial" w:cs="Arial"/>
          <w:color w:val="000000"/>
          <w:sz w:val="24"/>
          <w:szCs w:val="24"/>
          <w:lang w:val="es-ES"/>
        </w:rPr>
        <w:t xml:space="preserve"> </w:t>
      </w:r>
      <w:r w:rsidR="000A3ABB">
        <w:rPr>
          <w:rFonts w:ascii="Arial" w:hAnsi="Arial" w:cs="Arial"/>
          <w:color w:val="000000"/>
          <w:sz w:val="24"/>
          <w:szCs w:val="24"/>
          <w:lang w:val="es-ES"/>
        </w:rPr>
        <w:t>de servicios.</w:t>
      </w:r>
    </w:p>
    <w:p w14:paraId="53FC1968" w14:textId="77777777" w:rsidR="00CD1630" w:rsidRDefault="00CD1630" w:rsidP="00CD163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F252B00" w14:textId="77777777" w:rsidR="007E5EFE" w:rsidRDefault="00CD1630" w:rsidP="00CD163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s-ES"/>
        </w:rPr>
        <w:t>O</w:t>
      </w:r>
      <w:r>
        <w:rPr>
          <w:rFonts w:ascii="Arial" w:hAnsi="Arial" w:cs="Arial"/>
          <w:sz w:val="24"/>
          <w:szCs w:val="24"/>
        </w:rPr>
        <w:t>bjeto de la relación jurídica obligatoria --- prestación (de dar, de no hacer, de hacer).</w:t>
      </w:r>
    </w:p>
    <w:p w14:paraId="405E1963" w14:textId="7CE686E5" w:rsidR="00CD1630" w:rsidRPr="007E5EFE" w:rsidRDefault="00CD1630" w:rsidP="007E5EFE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E5EFE">
        <w:rPr>
          <w:rFonts w:ascii="Arial" w:hAnsi="Arial" w:cs="Arial"/>
          <w:sz w:val="24"/>
          <w:szCs w:val="24"/>
        </w:rPr>
        <w:t>Los contratos de prestación de servicios están relacionados con las obligaciones de hacer.</w:t>
      </w:r>
    </w:p>
    <w:p w14:paraId="7500B823" w14:textId="77777777" w:rsidR="00CD1630" w:rsidRDefault="00CD1630" w:rsidP="00CD163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1987, cuando se aprobó el Código Civil, eran solo las entidades estatales las que estaban a cargo de la prestación de servicios esencialmente. Esto provoca que el articulado necesite reformulación y adecuación al contexto cubano actual.</w:t>
      </w:r>
    </w:p>
    <w:p w14:paraId="37A51A5D" w14:textId="77777777" w:rsidR="00CD1630" w:rsidRDefault="00CD1630" w:rsidP="00CD163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 320-322 comunes a todos los contratos de prestación de servicios.</w:t>
      </w:r>
    </w:p>
    <w:p w14:paraId="65C42DC9" w14:textId="77777777" w:rsidR="000A3ABB" w:rsidRDefault="00CD1630" w:rsidP="00CD163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 323-331 comunes a los contratos de prestación de servicios que exigen la entrega de un bien.</w:t>
      </w:r>
    </w:p>
    <w:p w14:paraId="2F8E74E6" w14:textId="77777777" w:rsidR="000A3ABB" w:rsidRDefault="000A3ABB" w:rsidP="00CD163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235556F" w14:textId="4254B07D" w:rsidR="00CD1630" w:rsidRPr="000A3ABB" w:rsidRDefault="000A3ABB" w:rsidP="00CD1630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1.2 </w:t>
      </w:r>
      <w:r w:rsidR="00CD1630">
        <w:rPr>
          <w:rFonts w:ascii="Arial" w:hAnsi="Arial" w:cs="Arial"/>
          <w:sz w:val="24"/>
          <w:szCs w:val="24"/>
        </w:rPr>
        <w:t>Contratos de gestión: su objetivo es intervenir en la realización de actos jurídicos a favor de otra persona.</w:t>
      </w:r>
    </w:p>
    <w:p w14:paraId="231B30F5" w14:textId="239274EF" w:rsidR="00CD1630" w:rsidRPr="007E5EFE" w:rsidRDefault="007E5EFE" w:rsidP="00CD1630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1.2.1 </w:t>
      </w:r>
      <w:r w:rsidR="00CD1630">
        <w:rPr>
          <w:rFonts w:ascii="Arial" w:hAnsi="Arial" w:cs="Arial"/>
          <w:sz w:val="24"/>
          <w:szCs w:val="24"/>
        </w:rPr>
        <w:t xml:space="preserve">Mandato: contrato en virtud el cual una persona se obliga a realizar o gestionar la realización de un acto jurídico en interés </w:t>
      </w:r>
      <w:proofErr w:type="gramStart"/>
      <w:r w:rsidR="00CD1630">
        <w:rPr>
          <w:rFonts w:ascii="Arial" w:hAnsi="Arial" w:cs="Arial"/>
          <w:sz w:val="24"/>
          <w:szCs w:val="24"/>
        </w:rPr>
        <w:t>e</w:t>
      </w:r>
      <w:proofErr w:type="gramEnd"/>
      <w:r w:rsidR="00CD1630">
        <w:rPr>
          <w:rFonts w:ascii="Arial" w:hAnsi="Arial" w:cs="Arial"/>
          <w:sz w:val="24"/>
          <w:szCs w:val="24"/>
        </w:rPr>
        <w:t xml:space="preserve"> otra (art 398).</w:t>
      </w:r>
    </w:p>
    <w:p w14:paraId="6531F23B" w14:textId="77777777" w:rsidR="00CD1630" w:rsidRDefault="00CD1630" w:rsidP="00CD163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Clasificación: consensual, unilateral y gratuito o bilateral y oneroso, principal, preparatorio (crea un estado de derecho preliminar para la realización de otros actos jurídicos posteriores), general o especial (art 401), típico, personalísimo (art 409c).</w:t>
      </w:r>
    </w:p>
    <w:p w14:paraId="4826A95C" w14:textId="77777777" w:rsidR="00CD1630" w:rsidRDefault="00CD1630" w:rsidP="00CD163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Elementos personales: mandante (activo) y mandatario (pasivo) o indistintamente.</w:t>
      </w:r>
    </w:p>
    <w:p w14:paraId="0E3C05CB" w14:textId="77777777" w:rsidR="00CD1630" w:rsidRDefault="00CD1630" w:rsidP="00CD163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Elementos reales: actos jurídicos o su gestión y si es oneroso, el precio.</w:t>
      </w:r>
    </w:p>
    <w:p w14:paraId="2FB6E848" w14:textId="77777777" w:rsidR="00CD1630" w:rsidRDefault="00CD1630" w:rsidP="00CD163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Elementos formales: no tiene.</w:t>
      </w:r>
    </w:p>
    <w:p w14:paraId="16F9DA17" w14:textId="77777777" w:rsidR="00CD1630" w:rsidRDefault="00CD1630" w:rsidP="00CD163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admite la subcontratación con los procederes que indica el artículo 407.</w:t>
      </w:r>
    </w:p>
    <w:p w14:paraId="0A306639" w14:textId="77777777" w:rsidR="00CD1630" w:rsidRDefault="00CD1630" w:rsidP="00CD163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 410 y 409a revocación unilateral del acto---esto es criticable a partir del carácter bilateral del acto y en caso de que sea onerosos. Lo mismo con la renuncia del artículo 409b.</w:t>
      </w:r>
    </w:p>
    <w:p w14:paraId="7DCE3F37" w14:textId="77777777" w:rsidR="00CD1630" w:rsidRDefault="00CD1630" w:rsidP="00CD163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puede pactar la revocabilidad a tenor del artículo 312 en relación con el artículo 5.</w:t>
      </w:r>
    </w:p>
    <w:p w14:paraId="6C5C2F1E" w14:textId="77777777" w:rsidR="00CD1630" w:rsidRDefault="00CD1630" w:rsidP="00CD163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Admisión de retención---artículo 413.2---se critica que se habla de retener en prenda. Se habla de prenda y de retención.</w:t>
      </w:r>
    </w:p>
    <w:p w14:paraId="4A75722F" w14:textId="77777777" w:rsidR="007E5EFE" w:rsidRDefault="007E5EFE" w:rsidP="00CD1630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0C76DBE8" w14:textId="449CB26A" w:rsidR="000A3ABB" w:rsidRPr="000A3ABB" w:rsidRDefault="000A3ABB" w:rsidP="00CD1630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1.3 Contratos de custodia</w:t>
      </w:r>
      <w:r w:rsidR="007E5EFE">
        <w:rPr>
          <w:rFonts w:ascii="Arial" w:hAnsi="Arial" w:cs="Arial"/>
          <w:sz w:val="24"/>
          <w:szCs w:val="24"/>
          <w:lang w:val="es-ES"/>
        </w:rPr>
        <w:t>.</w:t>
      </w:r>
    </w:p>
    <w:p w14:paraId="278881C5" w14:textId="59715952" w:rsidR="00CD1630" w:rsidRPr="007E5EFE" w:rsidRDefault="007E5EFE" w:rsidP="00CD1630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1.3.1 </w:t>
      </w:r>
      <w:r w:rsidR="00CD1630">
        <w:rPr>
          <w:rFonts w:ascii="Arial" w:hAnsi="Arial" w:cs="Arial"/>
          <w:sz w:val="24"/>
          <w:szCs w:val="24"/>
        </w:rPr>
        <w:t>Depósito: contrato en virtud del cual una persona se obliga a título oneroso o gratuito a recibir un bien para su cuidado y su posterior devolución.</w:t>
      </w:r>
    </w:p>
    <w:p w14:paraId="3AE71D63" w14:textId="77777777" w:rsidR="00CD1630" w:rsidRDefault="00CD1630" w:rsidP="00CD163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Naturaleza jurídica: consensual o formal ((artículo 51b, 313 y 424), unilateral y gratuito o bilateral y oneroso, típico, principal e impersonal.</w:t>
      </w:r>
    </w:p>
    <w:p w14:paraId="4F5F28FE" w14:textId="77777777" w:rsidR="00CD1630" w:rsidRDefault="00CD1630" w:rsidP="00CD163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Elementos personales: depositante (activo) y depositante (pasivo) o indistintamente.</w:t>
      </w:r>
    </w:p>
    <w:p w14:paraId="10B483CC" w14:textId="77777777" w:rsidR="00CD1630" w:rsidRDefault="00CD1630" w:rsidP="00CD163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Elementos formales: no tiene si es consensual o puede ser formal (art 51,313 y 424).</w:t>
      </w:r>
    </w:p>
    <w:p w14:paraId="7830F5AF" w14:textId="77777777" w:rsidR="00CD1630" w:rsidRDefault="00CD1630" w:rsidP="00CD163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admite la retención (art 428) pero solo en relación con el contrato.</w:t>
      </w:r>
    </w:p>
    <w:p w14:paraId="75131225" w14:textId="77777777" w:rsidR="000A3ABB" w:rsidRDefault="000A3ABB" w:rsidP="00CD163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94E2CD8" w14:textId="0C498BA7" w:rsidR="00CD1630" w:rsidRDefault="007E5EFE" w:rsidP="00CD163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s-ES"/>
        </w:rPr>
        <w:t xml:space="preserve">1.4 </w:t>
      </w:r>
      <w:r w:rsidR="00CD1630">
        <w:rPr>
          <w:rFonts w:ascii="Arial" w:hAnsi="Arial" w:cs="Arial"/>
          <w:sz w:val="24"/>
          <w:szCs w:val="24"/>
        </w:rPr>
        <w:t>Hospedaje: contrato en virtud del cual una entidad ofrece alojamiento temporal a una persona a cambio de la correspondiente tarifa (art 438).</w:t>
      </w:r>
    </w:p>
    <w:p w14:paraId="171B0E19" w14:textId="27586113" w:rsidR="00CD1630" w:rsidRDefault="00CD1630" w:rsidP="00CD163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Clasificación: consensual, típico (en Roma no lo era, hoy en el </w:t>
      </w:r>
      <w:proofErr w:type="spellStart"/>
      <w:r>
        <w:rPr>
          <w:rFonts w:ascii="Arial" w:hAnsi="Arial" w:cs="Arial"/>
          <w:sz w:val="24"/>
          <w:szCs w:val="24"/>
        </w:rPr>
        <w:t>CCc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B728B3">
        <w:rPr>
          <w:rFonts w:ascii="Arial" w:hAnsi="Arial" w:cs="Arial"/>
          <w:sz w:val="24"/>
          <w:szCs w:val="24"/>
        </w:rPr>
        <w:t>sí</w:t>
      </w:r>
      <w:r>
        <w:rPr>
          <w:rFonts w:ascii="Arial" w:hAnsi="Arial" w:cs="Arial"/>
          <w:sz w:val="24"/>
          <w:szCs w:val="24"/>
        </w:rPr>
        <w:t>), principal, bilateral, oneroso, complejo (arrendamiento de habitaciones + prestación de servicios personales + ejecución de obra en relación con la comida + depósito).</w:t>
      </w:r>
    </w:p>
    <w:p w14:paraId="03F88E55" w14:textId="77777777" w:rsidR="00CD1630" w:rsidRDefault="00CD1630" w:rsidP="00CD163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Elementos personales: entidad u hospedero (estatal solamente, lo que es criticable) y usuario u hospedero (activo y pasivo indistintamente).</w:t>
      </w:r>
    </w:p>
    <w:p w14:paraId="7178FDA9" w14:textId="77777777" w:rsidR="00CD1630" w:rsidRDefault="00CD1630" w:rsidP="00CD163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Elementos reales: habitación y tarifa.</w:t>
      </w:r>
    </w:p>
    <w:p w14:paraId="49A831BB" w14:textId="77777777" w:rsidR="00CD1630" w:rsidRDefault="00CD1630" w:rsidP="00CD163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Elementos formales: consensual en principio. Proforma de los hoteles (solemne).</w:t>
      </w:r>
    </w:p>
    <w:p w14:paraId="1FB5ED77" w14:textId="77777777" w:rsidR="000A3ABB" w:rsidRDefault="000A3ABB" w:rsidP="00CD163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726B481" w14:textId="45532544" w:rsidR="007E5EFE" w:rsidRDefault="007E5EFE" w:rsidP="007E5EF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s-ES"/>
        </w:rPr>
        <w:t xml:space="preserve">1.5 </w:t>
      </w:r>
      <w:r w:rsidR="00CD1630">
        <w:rPr>
          <w:rFonts w:ascii="Arial" w:hAnsi="Arial" w:cs="Arial"/>
          <w:sz w:val="24"/>
          <w:szCs w:val="24"/>
        </w:rPr>
        <w:t xml:space="preserve">Contrato de transporte (ferroviario, aéreo, marítimo y por carretera): contratos esencialmente mercantiles. Muestra de la unificación el Derecho Civil con el Derecho Mercantil en el </w:t>
      </w:r>
      <w:proofErr w:type="spellStart"/>
      <w:r w:rsidR="00CD1630">
        <w:rPr>
          <w:rFonts w:ascii="Arial" w:hAnsi="Arial" w:cs="Arial"/>
          <w:sz w:val="24"/>
          <w:szCs w:val="24"/>
        </w:rPr>
        <w:t>CCc</w:t>
      </w:r>
      <w:proofErr w:type="spellEnd"/>
      <w:r w:rsidR="00CD1630">
        <w:rPr>
          <w:rFonts w:ascii="Arial" w:hAnsi="Arial" w:cs="Arial"/>
          <w:sz w:val="24"/>
          <w:szCs w:val="24"/>
        </w:rPr>
        <w:t>. Son contratos no civiles que incluyen elementos administrativos y públicos.</w:t>
      </w:r>
    </w:p>
    <w:p w14:paraId="6A59C6A7" w14:textId="20980265" w:rsidR="007E5EFE" w:rsidRDefault="007E5EFE" w:rsidP="007E5EFE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116CDD" wp14:editId="1DE97772">
                <wp:simplePos x="0" y="0"/>
                <wp:positionH relativeFrom="column">
                  <wp:posOffset>3072765</wp:posOffset>
                </wp:positionH>
                <wp:positionV relativeFrom="paragraph">
                  <wp:posOffset>196215</wp:posOffset>
                </wp:positionV>
                <wp:extent cx="1238250" cy="457200"/>
                <wp:effectExtent l="5715" t="5715" r="32385" b="60960"/>
                <wp:wrapNone/>
                <wp:docPr id="9" name="Conector recto de flecha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3825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E5883F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9" o:spid="_x0000_s1026" type="#_x0000_t32" style="position:absolute;margin-left:241.95pt;margin-top:15.45pt;width:97.5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">
                <v:stroke endarrow="block"/>
              </v:shap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8A32C6" wp14:editId="603EC0FC">
                <wp:simplePos x="0" y="0"/>
                <wp:positionH relativeFrom="column">
                  <wp:posOffset>862965</wp:posOffset>
                </wp:positionH>
                <wp:positionV relativeFrom="paragraph">
                  <wp:posOffset>196215</wp:posOffset>
                </wp:positionV>
                <wp:extent cx="1409700" cy="457200"/>
                <wp:effectExtent l="34290" t="5715" r="13335" b="60960"/>
                <wp:wrapNone/>
                <wp:docPr id="8" name="Conector recto de flech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0970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C27233" id="Conector recto de flecha 8" o:spid="_x0000_s1026" type="#_x0000_t32" style="position:absolute;margin-left:67.95pt;margin-top:15.45pt;width:111pt;height:36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">
                <v:stroke endarrow="block"/>
              </v:shape>
            </w:pict>
          </mc:Fallback>
        </mc:AlternateContent>
      </w:r>
      <w:r>
        <w:rPr>
          <w:rFonts w:ascii="Arial" w:hAnsi="Arial" w:cs="Arial"/>
          <w:sz w:val="24"/>
          <w:szCs w:val="24"/>
        </w:rPr>
        <w:t>TRANSPORTE</w:t>
      </w:r>
    </w:p>
    <w:p w14:paraId="1126D7BA" w14:textId="77777777" w:rsidR="007E5EFE" w:rsidRDefault="007E5EFE" w:rsidP="007E5EFE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1A2EB2FE" w14:textId="4E22B148" w:rsidR="007E5EFE" w:rsidRDefault="007E5EFE" w:rsidP="007E5EFE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3A73A3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CAC3A1" wp14:editId="30B941EB">
                <wp:simplePos x="0" y="0"/>
                <wp:positionH relativeFrom="column">
                  <wp:posOffset>-120015</wp:posOffset>
                </wp:positionH>
                <wp:positionV relativeFrom="paragraph">
                  <wp:posOffset>200660</wp:posOffset>
                </wp:positionV>
                <wp:extent cx="2659380" cy="1812925"/>
                <wp:effectExtent l="13335" t="10160" r="13335" b="5715"/>
                <wp:wrapNone/>
                <wp:docPr id="7" name="Cuadro de tex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9380" cy="181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9B9C93" w14:textId="77777777" w:rsidR="007E5EFE" w:rsidRDefault="007E5EFE" w:rsidP="007E5EFE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3A73A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De carga: en virtud de este contrato el porteador se obliga a trasladar bienes muebles al punto de destino y </w:t>
                            </w:r>
                            <w:proofErr w:type="spellStart"/>
                            <w:r w:rsidRPr="003A73A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e</w:t>
                            </w:r>
                            <w:proofErr w:type="spellEnd"/>
                            <w:r w:rsidRPr="003A73A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usuario a pagar la tarifa (art 435).</w:t>
                            </w:r>
                          </w:p>
                          <w:p w14:paraId="6FD29854" w14:textId="77777777" w:rsidR="007E5EFE" w:rsidRPr="003A73A3" w:rsidRDefault="007E5EFE" w:rsidP="007E5EFE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Elementos personales: porteado</w:t>
                            </w:r>
                            <w:r w:rsidRPr="003A73A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r y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usuario o cargador</w:t>
                            </w:r>
                            <w:r w:rsidRPr="003A73A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, a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ctivo y pasivo indistintamente.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CAC3A1" id="_x0000_t202" coordsize="21600,21600" o:spt="202" path="m,l,21600r21600,l21600,xe">
                <v:stroke joinstyle="miter"/>
                <v:path gradientshapeok="t" o:connecttype="rect"/>
              </v:shapetype>
              <v:shape id="Cuadro de texto 7" o:spid="_x0000_s1026" type="#_x0000_t202" style="position:absolute;left:0;text-align:left;margin-left:-9.45pt;margin-top:15.8pt;width:209.4pt;height:1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">
                <v:textbox>
                  <w:txbxContent>
                    <w:p w14:paraId="5F9B9C93" w14:textId="77777777" w:rsidR="007E5EFE" w:rsidRDefault="007E5EFE" w:rsidP="007E5EFE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3A73A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De carga: en virtud de este contrato el porteador se obliga a trasladar bienes muebles al punto de destino y </w:t>
                      </w:r>
                      <w:proofErr w:type="spellStart"/>
                      <w:r w:rsidRPr="003A73A3">
                        <w:rPr>
                          <w:rFonts w:ascii="Arial" w:hAnsi="Arial" w:cs="Arial"/>
                          <w:sz w:val="24"/>
                          <w:szCs w:val="24"/>
                        </w:rPr>
                        <w:t>e</w:t>
                      </w:r>
                      <w:proofErr w:type="spellEnd"/>
                      <w:r w:rsidRPr="003A73A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usuario a pagar la tarifa (art 435).</w:t>
                      </w:r>
                    </w:p>
                    <w:p w14:paraId="6FD29854" w14:textId="77777777" w:rsidR="007E5EFE" w:rsidRPr="003A73A3" w:rsidRDefault="007E5EFE" w:rsidP="007E5EFE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Elementos personales: porteado</w:t>
                      </w:r>
                      <w:r w:rsidRPr="003A73A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r y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usuario o cargador</w:t>
                      </w:r>
                      <w:r w:rsidRPr="003A73A3">
                        <w:rPr>
                          <w:rFonts w:ascii="Arial" w:hAnsi="Arial" w:cs="Arial"/>
                          <w:sz w:val="24"/>
                          <w:szCs w:val="24"/>
                        </w:rPr>
                        <w:t>, a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ctivo y pasivo indistintamente.</w:t>
                      </w:r>
                    </w:p>
                  </w:txbxContent>
                </v:textbox>
              </v:shape>
            </w:pict>
          </mc:Fallback>
        </mc:AlternateContent>
      </w:r>
      <w:r w:rsidRPr="003A73A3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CBFA7F7" wp14:editId="4F8D00BA">
                <wp:simplePos x="0" y="0"/>
                <wp:positionH relativeFrom="column">
                  <wp:posOffset>2742565</wp:posOffset>
                </wp:positionH>
                <wp:positionV relativeFrom="paragraph">
                  <wp:posOffset>200660</wp:posOffset>
                </wp:positionV>
                <wp:extent cx="2641600" cy="1967230"/>
                <wp:effectExtent l="8890" t="10160" r="6985" b="13335"/>
                <wp:wrapNone/>
                <wp:docPr id="6" name="Cuadro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1600" cy="1967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2AC20D" w14:textId="77777777" w:rsidR="007E5EFE" w:rsidRPr="003A73A3" w:rsidRDefault="007E5EFE" w:rsidP="007E5EFE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3A73A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De pasajeros: en virtud de este contrato el porteador se obliga a trasladar al pasajero y su equipaje hasta un destino a cambio de una tarifa.</w:t>
                            </w:r>
                          </w:p>
                          <w:p w14:paraId="6C637085" w14:textId="77777777" w:rsidR="007E5EFE" w:rsidRPr="003A73A3" w:rsidRDefault="007E5EFE" w:rsidP="007E5EFE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3A73A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Elementos personales: porteador y pasajero, activo y pasivo indistintamente (art 429).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CBFA7F7" id="Cuadro de texto 6" o:spid="_x0000_s1027" type="#_x0000_t202" style="position:absolute;left:0;text-align:left;margin-left:215.95pt;margin-top:15.8pt;width:208pt;height:154.9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">
                <v:textbox style="mso-fit-shape-to-text:t">
                  <w:txbxContent>
                    <w:p w14:paraId="7D2AC20D" w14:textId="77777777" w:rsidR="007E5EFE" w:rsidRPr="003A73A3" w:rsidRDefault="007E5EFE" w:rsidP="007E5EFE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3A73A3">
                        <w:rPr>
                          <w:rFonts w:ascii="Arial" w:hAnsi="Arial" w:cs="Arial"/>
                          <w:sz w:val="24"/>
                          <w:szCs w:val="24"/>
                        </w:rPr>
                        <w:t>De pasajeros: en virtud de este contrato el porteador se obliga a trasladar al pasajero y su equipaje hasta un destino a cambio de una tarifa.</w:t>
                      </w:r>
                    </w:p>
                    <w:p w14:paraId="6C637085" w14:textId="77777777" w:rsidR="007E5EFE" w:rsidRPr="003A73A3" w:rsidRDefault="007E5EFE" w:rsidP="007E5EFE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3A73A3">
                        <w:rPr>
                          <w:rFonts w:ascii="Arial" w:hAnsi="Arial" w:cs="Arial"/>
                          <w:sz w:val="24"/>
                          <w:szCs w:val="24"/>
                        </w:rPr>
                        <w:t>Elementos personales: porteador y pasajero, activo y pasivo indistintamente (art 429).</w:t>
                      </w:r>
                    </w:p>
                  </w:txbxContent>
                </v:textbox>
              </v:shape>
            </w:pict>
          </mc:Fallback>
        </mc:AlternateContent>
      </w:r>
    </w:p>
    <w:p w14:paraId="0C958B80" w14:textId="77777777" w:rsidR="007E5EFE" w:rsidRDefault="007E5EFE" w:rsidP="007E5EFE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60155D14" w14:textId="77777777" w:rsidR="007E5EFE" w:rsidRDefault="007E5EFE" w:rsidP="007E5EFE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2EA0AF38" w14:textId="77777777" w:rsidR="007E5EFE" w:rsidRDefault="007E5EFE" w:rsidP="007E5EFE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656EC0D9" w14:textId="77777777" w:rsidR="007E5EFE" w:rsidRDefault="007E5EFE" w:rsidP="007E5EFE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64E925F0" w14:textId="77777777" w:rsidR="007E5EFE" w:rsidRDefault="007E5EFE" w:rsidP="007E5EFE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02F56C6F" w14:textId="21F86ABD" w:rsidR="007E5EFE" w:rsidRDefault="007E5EFE" w:rsidP="007E5EF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s-ES"/>
        </w:rPr>
        <w:t xml:space="preserve">1.6 </w:t>
      </w:r>
      <w:r>
        <w:rPr>
          <w:rFonts w:ascii="Arial" w:hAnsi="Arial" w:cs="Arial"/>
          <w:sz w:val="24"/>
          <w:szCs w:val="24"/>
        </w:rPr>
        <w:t>Contratos de servicios bancarios: son aquellos contratos concertados por entidades bancarias que persiguen promover el ahorro, los créditos y facilitar los pagos.</w:t>
      </w:r>
    </w:p>
    <w:p w14:paraId="2418C78C" w14:textId="467DE117" w:rsidR="00CD1630" w:rsidRDefault="00CD1630" w:rsidP="00CD163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Elementos personales: entidad bancaria y cliente.</w:t>
      </w:r>
    </w:p>
    <w:p w14:paraId="228D176F" w14:textId="77777777" w:rsidR="00CD1630" w:rsidRPr="009F63B5" w:rsidRDefault="00CD1630" w:rsidP="00CD163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354CEDF" w14:textId="77777777" w:rsidR="00CD1630" w:rsidRDefault="00CD1630" w:rsidP="00CD163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62B367F" w14:textId="766F4104" w:rsidR="00A52F93" w:rsidRPr="00CD1630" w:rsidRDefault="00A52F93" w:rsidP="00CD163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A52F93" w:rsidRPr="00CD163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D139E9"/>
    <w:multiLevelType w:val="hybridMultilevel"/>
    <w:tmpl w:val="D6284752"/>
    <w:lvl w:ilvl="0" w:tplc="661226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C0A0019" w:tentative="1">
      <w:start w:val="1"/>
      <w:numFmt w:val="lowerLetter"/>
      <w:lvlText w:val="%2."/>
      <w:lvlJc w:val="left"/>
      <w:pPr>
        <w:ind w:left="1440" w:hanging="360"/>
      </w:pPr>
    </w:lvl>
    <w:lvl w:ilvl="2" w:tplc="5C0A001B" w:tentative="1">
      <w:start w:val="1"/>
      <w:numFmt w:val="lowerRoman"/>
      <w:lvlText w:val="%3."/>
      <w:lvlJc w:val="right"/>
      <w:pPr>
        <w:ind w:left="2160" w:hanging="180"/>
      </w:pPr>
    </w:lvl>
    <w:lvl w:ilvl="3" w:tplc="5C0A000F" w:tentative="1">
      <w:start w:val="1"/>
      <w:numFmt w:val="decimal"/>
      <w:lvlText w:val="%4."/>
      <w:lvlJc w:val="left"/>
      <w:pPr>
        <w:ind w:left="2880" w:hanging="360"/>
      </w:pPr>
    </w:lvl>
    <w:lvl w:ilvl="4" w:tplc="5C0A0019" w:tentative="1">
      <w:start w:val="1"/>
      <w:numFmt w:val="lowerLetter"/>
      <w:lvlText w:val="%5."/>
      <w:lvlJc w:val="left"/>
      <w:pPr>
        <w:ind w:left="3600" w:hanging="360"/>
      </w:pPr>
    </w:lvl>
    <w:lvl w:ilvl="5" w:tplc="5C0A001B" w:tentative="1">
      <w:start w:val="1"/>
      <w:numFmt w:val="lowerRoman"/>
      <w:lvlText w:val="%6."/>
      <w:lvlJc w:val="right"/>
      <w:pPr>
        <w:ind w:left="4320" w:hanging="180"/>
      </w:pPr>
    </w:lvl>
    <w:lvl w:ilvl="6" w:tplc="5C0A000F" w:tentative="1">
      <w:start w:val="1"/>
      <w:numFmt w:val="decimal"/>
      <w:lvlText w:val="%7."/>
      <w:lvlJc w:val="left"/>
      <w:pPr>
        <w:ind w:left="5040" w:hanging="360"/>
      </w:pPr>
    </w:lvl>
    <w:lvl w:ilvl="7" w:tplc="5C0A0019" w:tentative="1">
      <w:start w:val="1"/>
      <w:numFmt w:val="lowerLetter"/>
      <w:lvlText w:val="%8."/>
      <w:lvlJc w:val="left"/>
      <w:pPr>
        <w:ind w:left="5760" w:hanging="360"/>
      </w:pPr>
    </w:lvl>
    <w:lvl w:ilvl="8" w:tplc="5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124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6FB"/>
    <w:rsid w:val="000A3ABB"/>
    <w:rsid w:val="007E5EFE"/>
    <w:rsid w:val="00A52F93"/>
    <w:rsid w:val="00B728B3"/>
    <w:rsid w:val="00CD1630"/>
    <w:rsid w:val="00D66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91AFA2F"/>
  <w15:chartTrackingRefBased/>
  <w15:docId w15:val="{A0C9C85D-50AA-4E26-8CA1-CFBEFBE14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1630"/>
    <w:rPr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E5E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548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</dc:creator>
  <cp:keywords/>
  <dc:description/>
  <cp:lastModifiedBy>Fabio</cp:lastModifiedBy>
  <cp:revision>3</cp:revision>
  <dcterms:created xsi:type="dcterms:W3CDTF">2024-06-22T15:35:00Z</dcterms:created>
  <dcterms:modified xsi:type="dcterms:W3CDTF">2024-06-22T16:23:00Z</dcterms:modified>
</cp:coreProperties>
</file>