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E17FD" w14:textId="77777777" w:rsidR="00A60186" w:rsidRPr="00A60186" w:rsidRDefault="00A60186" w:rsidP="00A60186">
      <w:pPr>
        <w:shd w:val="clear" w:color="auto" w:fill="FFFFFF"/>
        <w:spacing w:before="100" w:beforeAutospacing="1" w:after="240" w:line="510" w:lineRule="atLeast"/>
        <w:outlineLvl w:val="0"/>
        <w:rPr>
          <w:rFonts w:ascii="Segoe UI" w:eastAsia="Times New Roman" w:hAnsi="Segoe UI" w:cs="Segoe UI"/>
          <w:b/>
          <w:bCs/>
          <w:color w:val="0F1115"/>
          <w:kern w:val="36"/>
          <w:sz w:val="36"/>
          <w:szCs w:val="36"/>
          <w:lang w:eastAsia="es-MX"/>
        </w:rPr>
      </w:pPr>
      <w:r w:rsidRPr="00A60186">
        <w:rPr>
          <w:rFonts w:ascii="Segoe UI" w:eastAsia="Times New Roman" w:hAnsi="Segoe UI" w:cs="Segoe UI"/>
          <w:b/>
          <w:bCs/>
          <w:color w:val="0F1115"/>
          <w:kern w:val="36"/>
          <w:sz w:val="36"/>
          <w:szCs w:val="36"/>
          <w:lang w:eastAsia="es-MX"/>
        </w:rPr>
        <w:t>CONFERENCIA: EL ENFOQUE HISTÓRICO-CULTURAL. SUS POSTULADOS</w:t>
      </w:r>
    </w:p>
    <w:p w14:paraId="01AB4B1C"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Asignatura:</w:t>
      </w:r>
      <w:r w:rsidRPr="00A60186">
        <w:rPr>
          <w:rFonts w:ascii="Segoe UI" w:eastAsia="Times New Roman" w:hAnsi="Segoe UI" w:cs="Segoe UI"/>
          <w:color w:val="0F1115"/>
          <w:sz w:val="24"/>
          <w:szCs w:val="24"/>
          <w:lang w:eastAsia="es-MX"/>
        </w:rPr>
        <w:t> Psicología de la Personalidad</w:t>
      </w:r>
      <w:r w:rsidRPr="00A60186">
        <w:rPr>
          <w:rFonts w:ascii="Segoe UI" w:eastAsia="Times New Roman" w:hAnsi="Segoe UI" w:cs="Segoe UI"/>
          <w:color w:val="0F1115"/>
          <w:sz w:val="24"/>
          <w:szCs w:val="24"/>
          <w:lang w:eastAsia="es-MX"/>
        </w:rPr>
        <w:br/>
      </w:r>
      <w:r w:rsidRPr="00A60186">
        <w:rPr>
          <w:rFonts w:ascii="Segoe UI" w:eastAsia="Times New Roman" w:hAnsi="Segoe UI" w:cs="Segoe UI"/>
          <w:b/>
          <w:bCs/>
          <w:color w:val="0F1115"/>
          <w:sz w:val="24"/>
          <w:szCs w:val="24"/>
          <w:lang w:eastAsia="es-MX"/>
        </w:rPr>
        <w:t>Carrera:</w:t>
      </w:r>
      <w:r w:rsidRPr="00A60186">
        <w:rPr>
          <w:rFonts w:ascii="Segoe UI" w:eastAsia="Times New Roman" w:hAnsi="Segoe UI" w:cs="Segoe UI"/>
          <w:color w:val="0F1115"/>
          <w:sz w:val="24"/>
          <w:szCs w:val="24"/>
          <w:lang w:eastAsia="es-MX"/>
        </w:rPr>
        <w:t> Licenciatura en Educación, especialidad Pedagogía-Psicología</w:t>
      </w:r>
      <w:r w:rsidRPr="00A60186">
        <w:rPr>
          <w:rFonts w:ascii="Segoe UI" w:eastAsia="Times New Roman" w:hAnsi="Segoe UI" w:cs="Segoe UI"/>
          <w:color w:val="0F1115"/>
          <w:sz w:val="24"/>
          <w:szCs w:val="24"/>
          <w:lang w:eastAsia="es-MX"/>
        </w:rPr>
        <w:br/>
      </w:r>
      <w:r w:rsidRPr="00A60186">
        <w:rPr>
          <w:rFonts w:ascii="Segoe UI" w:eastAsia="Times New Roman" w:hAnsi="Segoe UI" w:cs="Segoe UI"/>
          <w:b/>
          <w:bCs/>
          <w:color w:val="0F1115"/>
          <w:sz w:val="24"/>
          <w:szCs w:val="24"/>
          <w:lang w:eastAsia="es-MX"/>
        </w:rPr>
        <w:t>Año:</w:t>
      </w:r>
      <w:r w:rsidRPr="00A60186">
        <w:rPr>
          <w:rFonts w:ascii="Segoe UI" w:eastAsia="Times New Roman" w:hAnsi="Segoe UI" w:cs="Segoe UI"/>
          <w:color w:val="0F1115"/>
          <w:sz w:val="24"/>
          <w:szCs w:val="24"/>
          <w:lang w:eastAsia="es-MX"/>
        </w:rPr>
        <w:t> 2do</w:t>
      </w:r>
      <w:r w:rsidRPr="00A60186">
        <w:rPr>
          <w:rFonts w:ascii="Segoe UI" w:eastAsia="Times New Roman" w:hAnsi="Segoe UI" w:cs="Segoe UI"/>
          <w:color w:val="0F1115"/>
          <w:sz w:val="24"/>
          <w:szCs w:val="24"/>
          <w:lang w:eastAsia="es-MX"/>
        </w:rPr>
        <w:br/>
      </w:r>
      <w:r w:rsidRPr="00A60186">
        <w:rPr>
          <w:rFonts w:ascii="Segoe UI" w:eastAsia="Times New Roman" w:hAnsi="Segoe UI" w:cs="Segoe UI"/>
          <w:b/>
          <w:bCs/>
          <w:color w:val="0F1115"/>
          <w:sz w:val="24"/>
          <w:szCs w:val="24"/>
          <w:lang w:eastAsia="es-MX"/>
        </w:rPr>
        <w:t>Tema:</w:t>
      </w:r>
      <w:r w:rsidRPr="00A60186">
        <w:rPr>
          <w:rFonts w:ascii="Segoe UI" w:eastAsia="Times New Roman" w:hAnsi="Segoe UI" w:cs="Segoe UI"/>
          <w:color w:val="0F1115"/>
          <w:sz w:val="24"/>
          <w:szCs w:val="24"/>
          <w:lang w:eastAsia="es-MX"/>
        </w:rPr>
        <w:t> 1 (Panorámica general de las teorías psicológicas de la Personalidad)</w:t>
      </w:r>
      <w:r w:rsidRPr="00A60186">
        <w:rPr>
          <w:rFonts w:ascii="Segoe UI" w:eastAsia="Times New Roman" w:hAnsi="Segoe UI" w:cs="Segoe UI"/>
          <w:color w:val="0F1115"/>
          <w:sz w:val="24"/>
          <w:szCs w:val="24"/>
          <w:lang w:eastAsia="es-MX"/>
        </w:rPr>
        <w:br/>
      </w:r>
      <w:r w:rsidRPr="00A60186">
        <w:rPr>
          <w:rFonts w:ascii="Segoe UI" w:eastAsia="Times New Roman" w:hAnsi="Segoe UI" w:cs="Segoe UI"/>
          <w:b/>
          <w:bCs/>
          <w:color w:val="0F1115"/>
          <w:sz w:val="24"/>
          <w:szCs w:val="24"/>
          <w:lang w:eastAsia="es-MX"/>
        </w:rPr>
        <w:t>Tipo de clase:</w:t>
      </w:r>
      <w:r w:rsidRPr="00A60186">
        <w:rPr>
          <w:rFonts w:ascii="Segoe UI" w:eastAsia="Times New Roman" w:hAnsi="Segoe UI" w:cs="Segoe UI"/>
          <w:color w:val="0F1115"/>
          <w:sz w:val="24"/>
          <w:szCs w:val="24"/>
          <w:lang w:eastAsia="es-MX"/>
        </w:rPr>
        <w:t> Conferencia orientadora con elementos de exposición problémica</w:t>
      </w:r>
      <w:r w:rsidRPr="00A60186">
        <w:rPr>
          <w:rFonts w:ascii="Segoe UI" w:eastAsia="Times New Roman" w:hAnsi="Segoe UI" w:cs="Segoe UI"/>
          <w:color w:val="0F1115"/>
          <w:sz w:val="24"/>
          <w:szCs w:val="24"/>
          <w:lang w:eastAsia="es-MX"/>
        </w:rPr>
        <w:br/>
      </w:r>
      <w:r w:rsidRPr="00A60186">
        <w:rPr>
          <w:rFonts w:ascii="Segoe UI" w:eastAsia="Times New Roman" w:hAnsi="Segoe UI" w:cs="Segoe UI"/>
          <w:b/>
          <w:bCs/>
          <w:color w:val="0F1115"/>
          <w:sz w:val="24"/>
          <w:szCs w:val="24"/>
          <w:lang w:eastAsia="es-MX"/>
        </w:rPr>
        <w:t>Duración:</w:t>
      </w:r>
      <w:r w:rsidRPr="00A60186">
        <w:rPr>
          <w:rFonts w:ascii="Segoe UI" w:eastAsia="Times New Roman" w:hAnsi="Segoe UI" w:cs="Segoe UI"/>
          <w:color w:val="0F1115"/>
          <w:sz w:val="24"/>
          <w:szCs w:val="24"/>
          <w:lang w:eastAsia="es-MX"/>
        </w:rPr>
        <w:t> 90 minutos</w:t>
      </w:r>
      <w:r w:rsidRPr="00A60186">
        <w:rPr>
          <w:rFonts w:ascii="Segoe UI" w:eastAsia="Times New Roman" w:hAnsi="Segoe UI" w:cs="Segoe UI"/>
          <w:color w:val="0F1115"/>
          <w:sz w:val="24"/>
          <w:szCs w:val="24"/>
          <w:lang w:eastAsia="es-MX"/>
        </w:rPr>
        <w:br/>
      </w:r>
      <w:r w:rsidRPr="00A60186">
        <w:rPr>
          <w:rFonts w:ascii="Segoe UI" w:eastAsia="Times New Roman" w:hAnsi="Segoe UI" w:cs="Segoe UI"/>
          <w:b/>
          <w:bCs/>
          <w:color w:val="0F1115"/>
          <w:sz w:val="24"/>
          <w:szCs w:val="24"/>
          <w:lang w:eastAsia="es-MX"/>
        </w:rPr>
        <w:t>Elaborado por:</w:t>
      </w:r>
      <w:r w:rsidRPr="00A60186">
        <w:rPr>
          <w:rFonts w:ascii="Segoe UI" w:eastAsia="Times New Roman" w:hAnsi="Segoe UI" w:cs="Segoe UI"/>
          <w:color w:val="0F1115"/>
          <w:sz w:val="24"/>
          <w:szCs w:val="24"/>
          <w:lang w:eastAsia="es-MX"/>
        </w:rPr>
        <w:t> Lic. Arian Fernández Páez, Profesor Asistente</w:t>
      </w:r>
    </w:p>
    <w:p w14:paraId="236D30F0" w14:textId="77777777" w:rsidR="00A60186" w:rsidRPr="00A60186" w:rsidRDefault="00A60186" w:rsidP="00A60186">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A60186">
        <w:rPr>
          <w:rFonts w:ascii="Segoe UI" w:eastAsia="Times New Roman" w:hAnsi="Segoe UI" w:cs="Segoe UI"/>
          <w:b/>
          <w:bCs/>
          <w:color w:val="0F1115"/>
          <w:sz w:val="33"/>
          <w:szCs w:val="33"/>
          <w:lang w:eastAsia="es-MX"/>
        </w:rPr>
        <w:t>DATOS GENERALES DE LA CONFERENCIA</w:t>
      </w:r>
    </w:p>
    <w:p w14:paraId="2EFB30C5"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Objetivo general:</w:t>
      </w:r>
      <w:r w:rsidRPr="00A60186">
        <w:rPr>
          <w:rFonts w:ascii="Segoe UI" w:eastAsia="Times New Roman" w:hAnsi="Segoe UI" w:cs="Segoe UI"/>
          <w:color w:val="0F1115"/>
          <w:sz w:val="24"/>
          <w:szCs w:val="24"/>
          <w:lang w:eastAsia="es-MX"/>
        </w:rPr>
        <w:t> Valorar la panorámica general de las teorías psicológicas de la personalidad, enfatizando en los postulados del Enfoque Histórico-Cultural, en función de su futuro desempeño profesional psicopedagógico.</w:t>
      </w:r>
    </w:p>
    <w:p w14:paraId="758ACE47"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Objetivo específico:</w:t>
      </w:r>
      <w:r w:rsidRPr="00A60186">
        <w:rPr>
          <w:rFonts w:ascii="Segoe UI" w:eastAsia="Times New Roman" w:hAnsi="Segoe UI" w:cs="Segoe UI"/>
          <w:color w:val="0F1115"/>
          <w:sz w:val="24"/>
          <w:szCs w:val="24"/>
          <w:lang w:eastAsia="es-MX"/>
        </w:rPr>
        <w:t> Explicar los postulados fundamentales del Enfoque Histórico-Cultural (EHC), identificando sus principios, categorías y aportes al estudio de la personalidad, así como su vigencia para la labor del pedagogo-psicólogo.</w:t>
      </w:r>
    </w:p>
    <w:p w14:paraId="69187C64"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Método:</w:t>
      </w:r>
      <w:r w:rsidRPr="00A60186">
        <w:rPr>
          <w:rFonts w:ascii="Segoe UI" w:eastAsia="Times New Roman" w:hAnsi="Segoe UI" w:cs="Segoe UI"/>
          <w:color w:val="0F1115"/>
          <w:sz w:val="24"/>
          <w:szCs w:val="24"/>
          <w:lang w:eastAsia="es-MX"/>
        </w:rPr>
        <w:t> Exposición problémica con conversación heurística y búsqueda parcial</w:t>
      </w:r>
      <w:r w:rsidRPr="00A60186">
        <w:rPr>
          <w:rFonts w:ascii="Segoe UI" w:eastAsia="Times New Roman" w:hAnsi="Segoe UI" w:cs="Segoe UI"/>
          <w:color w:val="0F1115"/>
          <w:sz w:val="24"/>
          <w:szCs w:val="24"/>
          <w:lang w:eastAsia="es-MX"/>
        </w:rPr>
        <w:br/>
      </w:r>
      <w:r w:rsidRPr="00A60186">
        <w:rPr>
          <w:rFonts w:ascii="Segoe UI" w:eastAsia="Times New Roman" w:hAnsi="Segoe UI" w:cs="Segoe UI"/>
          <w:b/>
          <w:bCs/>
          <w:color w:val="0F1115"/>
          <w:sz w:val="24"/>
          <w:szCs w:val="24"/>
          <w:lang w:eastAsia="es-MX"/>
        </w:rPr>
        <w:t>Medios:</w:t>
      </w:r>
      <w:r w:rsidRPr="00A60186">
        <w:rPr>
          <w:rFonts w:ascii="Segoe UI" w:eastAsia="Times New Roman" w:hAnsi="Segoe UI" w:cs="Segoe UI"/>
          <w:color w:val="0F1115"/>
          <w:sz w:val="24"/>
          <w:szCs w:val="24"/>
          <w:lang w:eastAsia="es-MX"/>
        </w:rPr>
        <w:t xml:space="preserve"> Pizarra, presentación digital, mapas conceptuales, textos de </w:t>
      </w:r>
      <w:proofErr w:type="spellStart"/>
      <w:r w:rsidRPr="00A60186">
        <w:rPr>
          <w:rFonts w:ascii="Segoe UI" w:eastAsia="Times New Roman" w:hAnsi="Segoe UI" w:cs="Segoe UI"/>
          <w:color w:val="0F1115"/>
          <w:sz w:val="24"/>
          <w:szCs w:val="24"/>
          <w:lang w:eastAsia="es-MX"/>
        </w:rPr>
        <w:t>Vigotsky</w:t>
      </w:r>
      <w:proofErr w:type="spellEnd"/>
      <w:r w:rsidRPr="00A60186">
        <w:rPr>
          <w:rFonts w:ascii="Segoe UI" w:eastAsia="Times New Roman" w:hAnsi="Segoe UI" w:cs="Segoe UI"/>
          <w:color w:val="0F1115"/>
          <w:sz w:val="24"/>
          <w:szCs w:val="24"/>
          <w:lang w:eastAsia="es-MX"/>
        </w:rPr>
        <w:t xml:space="preserve">, </w:t>
      </w:r>
      <w:proofErr w:type="spellStart"/>
      <w:r w:rsidRPr="00A60186">
        <w:rPr>
          <w:rFonts w:ascii="Segoe UI" w:eastAsia="Times New Roman" w:hAnsi="Segoe UI" w:cs="Segoe UI"/>
          <w:color w:val="0F1115"/>
          <w:sz w:val="24"/>
          <w:szCs w:val="24"/>
          <w:lang w:eastAsia="es-MX"/>
        </w:rPr>
        <w:t>Leontiev</w:t>
      </w:r>
      <w:proofErr w:type="spellEnd"/>
      <w:r w:rsidRPr="00A60186">
        <w:rPr>
          <w:rFonts w:ascii="Segoe UI" w:eastAsia="Times New Roman" w:hAnsi="Segoe UI" w:cs="Segoe UI"/>
          <w:color w:val="0F1115"/>
          <w:sz w:val="24"/>
          <w:szCs w:val="24"/>
          <w:lang w:eastAsia="es-MX"/>
        </w:rPr>
        <w:t xml:space="preserve"> y González Rey</w:t>
      </w:r>
    </w:p>
    <w:p w14:paraId="6B68F93E"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Distribución del tiempo:</w:t>
      </w:r>
    </w:p>
    <w:p w14:paraId="352EB576" w14:textId="77777777" w:rsidR="00A60186" w:rsidRPr="00A60186" w:rsidRDefault="00A60186" w:rsidP="00A60186">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Introducción y motivación: 10 minutos</w:t>
      </w:r>
    </w:p>
    <w:p w14:paraId="5BF4461C" w14:textId="77777777" w:rsidR="00A60186" w:rsidRPr="00A60186" w:rsidRDefault="00A60186" w:rsidP="00A60186">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Desarrollo del contenido: 60 minutos</w:t>
      </w:r>
    </w:p>
    <w:p w14:paraId="45327CA2" w14:textId="77777777" w:rsidR="00A60186" w:rsidRPr="00A60186" w:rsidRDefault="00A60186" w:rsidP="00A60186">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Conclusiones y síntesis: 10 minutos</w:t>
      </w:r>
    </w:p>
    <w:p w14:paraId="3CE4323C" w14:textId="77777777" w:rsidR="00A60186" w:rsidRPr="00A60186" w:rsidRDefault="00A60186" w:rsidP="00A60186">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Orientación al trabajo independiente: 5 minutos</w:t>
      </w:r>
    </w:p>
    <w:p w14:paraId="19680A68" w14:textId="77777777" w:rsidR="00A60186" w:rsidRPr="00A60186" w:rsidRDefault="00A60186" w:rsidP="00A60186">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Evaluación frecuente: 5 minutos</w:t>
      </w:r>
    </w:p>
    <w:p w14:paraId="4763ECC1" w14:textId="77777777" w:rsidR="00A60186" w:rsidRPr="00A60186" w:rsidRDefault="00A60186" w:rsidP="00A60186">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A60186">
        <w:rPr>
          <w:rFonts w:ascii="Segoe UI" w:eastAsia="Times New Roman" w:hAnsi="Segoe UI" w:cs="Segoe UI"/>
          <w:b/>
          <w:bCs/>
          <w:color w:val="0F1115"/>
          <w:sz w:val="33"/>
          <w:szCs w:val="33"/>
          <w:lang w:eastAsia="es-MX"/>
        </w:rPr>
        <w:t>INTRODUCCIÓN Y MOTIVACIÓN (10 minutos)</w:t>
      </w:r>
    </w:p>
    <w:p w14:paraId="5F7E920F"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 xml:space="preserve">Buenos días, estudiantes. En la conferencia anterior estudiamos las teorías no marxistas de la personalidad: el Psicoanálisis, el Conductismo y el Humanismo. Vimos sus aportes y también sus limitaciones. Hoy vamos a adentrarnos en la </w:t>
      </w:r>
      <w:r w:rsidRPr="00A60186">
        <w:rPr>
          <w:rFonts w:ascii="Segoe UI" w:eastAsia="Times New Roman" w:hAnsi="Segoe UI" w:cs="Segoe UI"/>
          <w:color w:val="0F1115"/>
          <w:sz w:val="24"/>
          <w:szCs w:val="24"/>
          <w:lang w:eastAsia="es-MX"/>
        </w:rPr>
        <w:lastRenderedPageBreak/>
        <w:t>teoría que constituye el referente de la psicología cubana y de esta asignatura: el </w:t>
      </w:r>
      <w:r w:rsidRPr="00A60186">
        <w:rPr>
          <w:rFonts w:ascii="Segoe UI" w:eastAsia="Times New Roman" w:hAnsi="Segoe UI" w:cs="Segoe UI"/>
          <w:b/>
          <w:bCs/>
          <w:color w:val="0F1115"/>
          <w:sz w:val="24"/>
          <w:szCs w:val="24"/>
          <w:lang w:eastAsia="es-MX"/>
        </w:rPr>
        <w:t>Enfoque Histórico-Cultural</w:t>
      </w:r>
      <w:r w:rsidRPr="00A60186">
        <w:rPr>
          <w:rFonts w:ascii="Segoe UI" w:eastAsia="Times New Roman" w:hAnsi="Segoe UI" w:cs="Segoe UI"/>
          <w:color w:val="0F1115"/>
          <w:sz w:val="24"/>
          <w:szCs w:val="24"/>
          <w:lang w:eastAsia="es-MX"/>
        </w:rPr>
        <w:t>.</w:t>
      </w:r>
    </w:p>
    <w:p w14:paraId="15B64383"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Quiero comenzar con una pregunta que nos acompañará durante toda la conferencia: </w:t>
      </w:r>
      <w:r w:rsidRPr="00A60186">
        <w:rPr>
          <w:rFonts w:ascii="Segoe UI" w:eastAsia="Times New Roman" w:hAnsi="Segoe UI" w:cs="Segoe UI"/>
          <w:b/>
          <w:bCs/>
          <w:color w:val="0F1115"/>
          <w:sz w:val="24"/>
          <w:szCs w:val="24"/>
          <w:lang w:eastAsia="es-MX"/>
        </w:rPr>
        <w:t>¿Qué tienen en común un niño que aprende a hablar, un adolescente que construye su identidad y un adulto que se enfrenta a un dilema moral?</w:t>
      </w:r>
      <w:r w:rsidRPr="00A60186">
        <w:rPr>
          <w:rFonts w:ascii="Segoe UI" w:eastAsia="Times New Roman" w:hAnsi="Segoe UI" w:cs="Segoe UI"/>
          <w:color w:val="0F1115"/>
          <w:sz w:val="24"/>
          <w:szCs w:val="24"/>
          <w:lang w:eastAsia="es-MX"/>
        </w:rPr>
        <w:t> La respuesta que nos ofrece el Enfoque Histórico-Cultural es profunda: en todos los casos, la psiquis humana se forma y se transforma en la </w:t>
      </w:r>
      <w:r w:rsidRPr="00A60186">
        <w:rPr>
          <w:rFonts w:ascii="Segoe UI" w:eastAsia="Times New Roman" w:hAnsi="Segoe UI" w:cs="Segoe UI"/>
          <w:b/>
          <w:bCs/>
          <w:color w:val="0F1115"/>
          <w:sz w:val="24"/>
          <w:szCs w:val="24"/>
          <w:lang w:eastAsia="es-MX"/>
        </w:rPr>
        <w:t>actividad</w:t>
      </w:r>
      <w:r w:rsidRPr="00A60186">
        <w:rPr>
          <w:rFonts w:ascii="Segoe UI" w:eastAsia="Times New Roman" w:hAnsi="Segoe UI" w:cs="Segoe UI"/>
          <w:color w:val="0F1115"/>
          <w:sz w:val="24"/>
          <w:szCs w:val="24"/>
          <w:lang w:eastAsia="es-MX"/>
        </w:rPr>
        <w:t> y en la </w:t>
      </w:r>
      <w:r w:rsidRPr="00A60186">
        <w:rPr>
          <w:rFonts w:ascii="Segoe UI" w:eastAsia="Times New Roman" w:hAnsi="Segoe UI" w:cs="Segoe UI"/>
          <w:b/>
          <w:bCs/>
          <w:color w:val="0F1115"/>
          <w:sz w:val="24"/>
          <w:szCs w:val="24"/>
          <w:lang w:eastAsia="es-MX"/>
        </w:rPr>
        <w:t>comunicación</w:t>
      </w:r>
      <w:r w:rsidRPr="00A60186">
        <w:rPr>
          <w:rFonts w:ascii="Segoe UI" w:eastAsia="Times New Roman" w:hAnsi="Segoe UI" w:cs="Segoe UI"/>
          <w:color w:val="0F1115"/>
          <w:sz w:val="24"/>
          <w:szCs w:val="24"/>
          <w:lang w:eastAsia="es-MX"/>
        </w:rPr>
        <w:t>, en un contexto </w:t>
      </w:r>
      <w:r w:rsidRPr="00A60186">
        <w:rPr>
          <w:rFonts w:ascii="Segoe UI" w:eastAsia="Times New Roman" w:hAnsi="Segoe UI" w:cs="Segoe UI"/>
          <w:b/>
          <w:bCs/>
          <w:color w:val="0F1115"/>
          <w:sz w:val="24"/>
          <w:szCs w:val="24"/>
          <w:lang w:eastAsia="es-MX"/>
        </w:rPr>
        <w:t>histórico y social</w:t>
      </w:r>
      <w:r w:rsidRPr="00A60186">
        <w:rPr>
          <w:rFonts w:ascii="Segoe UI" w:eastAsia="Times New Roman" w:hAnsi="Segoe UI" w:cs="Segoe UI"/>
          <w:color w:val="0F1115"/>
          <w:sz w:val="24"/>
          <w:szCs w:val="24"/>
          <w:lang w:eastAsia="es-MX"/>
        </w:rPr>
        <w:t> determinado.</w:t>
      </w:r>
    </w:p>
    <w:p w14:paraId="0C48A7F3"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 xml:space="preserve">Piensen por un momento en sus propias vidas. ¿Cómo aprendieron a pensar </w:t>
      </w:r>
      <w:proofErr w:type="spellStart"/>
      <w:r w:rsidRPr="00A60186">
        <w:rPr>
          <w:rFonts w:ascii="Segoe UI" w:eastAsia="Times New Roman" w:hAnsi="Segoe UI" w:cs="Segoe UI"/>
          <w:color w:val="0F1115"/>
          <w:sz w:val="24"/>
          <w:szCs w:val="24"/>
          <w:lang w:eastAsia="es-MX"/>
        </w:rPr>
        <w:t>como</w:t>
      </w:r>
      <w:proofErr w:type="spellEnd"/>
      <w:r w:rsidRPr="00A60186">
        <w:rPr>
          <w:rFonts w:ascii="Segoe UI" w:eastAsia="Times New Roman" w:hAnsi="Segoe UI" w:cs="Segoe UI"/>
          <w:color w:val="0F1115"/>
          <w:sz w:val="24"/>
          <w:szCs w:val="24"/>
          <w:lang w:eastAsia="es-MX"/>
        </w:rPr>
        <w:t xml:space="preserve"> piensan? ¿Cómo adquirieron sus valores, sus motivos, su forma de relacionarse con los demás? No nacieron con todo eso. Lo adquirieron en la interacción con otras personas, en la escuela, en la familia, en la comunidad. Esa es, precisamente, la idea central del Enfoque Histórico-Cultural: </w:t>
      </w:r>
      <w:r w:rsidRPr="00A60186">
        <w:rPr>
          <w:rFonts w:ascii="Segoe UI" w:eastAsia="Times New Roman" w:hAnsi="Segoe UI" w:cs="Segoe UI"/>
          <w:b/>
          <w:bCs/>
          <w:color w:val="0F1115"/>
          <w:sz w:val="24"/>
          <w:szCs w:val="24"/>
          <w:lang w:eastAsia="es-MX"/>
        </w:rPr>
        <w:t>la personalidad no es algo preexistente ni innato; se construye socialmente, se configura históricamente y se expresa en la actividad y la comunicación.</w:t>
      </w:r>
    </w:p>
    <w:p w14:paraId="5A5FC0F6"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Anoten esta idea que orientará toda la conferencia: </w:t>
      </w:r>
      <w:r w:rsidRPr="00A60186">
        <w:rPr>
          <w:rFonts w:ascii="Segoe UI" w:eastAsia="Times New Roman" w:hAnsi="Segoe UI" w:cs="Segoe UI"/>
          <w:b/>
          <w:bCs/>
          <w:color w:val="0F1115"/>
          <w:sz w:val="24"/>
          <w:szCs w:val="24"/>
          <w:lang w:eastAsia="es-MX"/>
        </w:rPr>
        <w:t>El Enfoque Histórico-Cultural nos ofrece una concepción integral del ser humano, que supera tanto el biologicismo del Psicoanálisis como el ambientalismo extremo del Conductismo.</w:t>
      </w:r>
    </w:p>
    <w:p w14:paraId="267A733D"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¿Alguna pregunta antes de comenzar? Muy bien, comencemos.</w:t>
      </w:r>
    </w:p>
    <w:p w14:paraId="42A3A4C8" w14:textId="77777777" w:rsidR="00A60186" w:rsidRPr="00A60186" w:rsidRDefault="00A60186" w:rsidP="00A60186">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A60186">
        <w:rPr>
          <w:rFonts w:ascii="Segoe UI" w:eastAsia="Times New Roman" w:hAnsi="Segoe UI" w:cs="Segoe UI"/>
          <w:b/>
          <w:bCs/>
          <w:color w:val="0F1115"/>
          <w:sz w:val="33"/>
          <w:szCs w:val="33"/>
          <w:lang w:eastAsia="es-MX"/>
        </w:rPr>
        <w:t>DESARROLLO DEL CONTENIDO (60 minutos)</w:t>
      </w:r>
    </w:p>
    <w:p w14:paraId="1AF55A49" w14:textId="77777777" w:rsidR="00A60186" w:rsidRPr="00A60186" w:rsidRDefault="00A60186" w:rsidP="00A60186">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60186">
        <w:rPr>
          <w:rFonts w:ascii="Segoe UI" w:eastAsia="Times New Roman" w:hAnsi="Segoe UI" w:cs="Segoe UI"/>
          <w:b/>
          <w:bCs/>
          <w:color w:val="0F1115"/>
          <w:sz w:val="30"/>
          <w:szCs w:val="30"/>
          <w:lang w:eastAsia="es-MX"/>
        </w:rPr>
        <w:t>1. Orígenes y fundamentos del Enfoque Histórico-Cultural (10 minutos)</w:t>
      </w:r>
    </w:p>
    <w:p w14:paraId="51955CE3"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El Enfoque Histórico-Cultural surge en la Unión Soviética en las décadas de 1920 y 1930, a partir de la obra de </w:t>
      </w:r>
      <w:r w:rsidRPr="00A60186">
        <w:rPr>
          <w:rFonts w:ascii="Segoe UI" w:eastAsia="Times New Roman" w:hAnsi="Segoe UI" w:cs="Segoe UI"/>
          <w:b/>
          <w:bCs/>
          <w:color w:val="0F1115"/>
          <w:sz w:val="24"/>
          <w:szCs w:val="24"/>
          <w:lang w:eastAsia="es-MX"/>
        </w:rPr>
        <w:t xml:space="preserve">Lev S. </w:t>
      </w:r>
      <w:proofErr w:type="spellStart"/>
      <w:r w:rsidRPr="00A60186">
        <w:rPr>
          <w:rFonts w:ascii="Segoe UI" w:eastAsia="Times New Roman" w:hAnsi="Segoe UI" w:cs="Segoe UI"/>
          <w:b/>
          <w:bCs/>
          <w:color w:val="0F1115"/>
          <w:sz w:val="24"/>
          <w:szCs w:val="24"/>
          <w:lang w:eastAsia="es-MX"/>
        </w:rPr>
        <w:t>Vigotsky</w:t>
      </w:r>
      <w:proofErr w:type="spellEnd"/>
      <w:r w:rsidRPr="00A60186">
        <w:rPr>
          <w:rFonts w:ascii="Segoe UI" w:eastAsia="Times New Roman" w:hAnsi="Segoe UI" w:cs="Segoe UI"/>
          <w:color w:val="0F1115"/>
          <w:sz w:val="24"/>
          <w:szCs w:val="24"/>
          <w:lang w:eastAsia="es-MX"/>
        </w:rPr>
        <w:t> (1896-1934) y sus seguidores, entre los que se destacan </w:t>
      </w:r>
      <w:r w:rsidRPr="00A60186">
        <w:rPr>
          <w:rFonts w:ascii="Segoe UI" w:eastAsia="Times New Roman" w:hAnsi="Segoe UI" w:cs="Segoe UI"/>
          <w:b/>
          <w:bCs/>
          <w:color w:val="0F1115"/>
          <w:sz w:val="24"/>
          <w:szCs w:val="24"/>
          <w:lang w:eastAsia="es-MX"/>
        </w:rPr>
        <w:t xml:space="preserve">A. N. </w:t>
      </w:r>
      <w:proofErr w:type="spellStart"/>
      <w:r w:rsidRPr="00A60186">
        <w:rPr>
          <w:rFonts w:ascii="Segoe UI" w:eastAsia="Times New Roman" w:hAnsi="Segoe UI" w:cs="Segoe UI"/>
          <w:b/>
          <w:bCs/>
          <w:color w:val="0F1115"/>
          <w:sz w:val="24"/>
          <w:szCs w:val="24"/>
          <w:lang w:eastAsia="es-MX"/>
        </w:rPr>
        <w:t>Leontiev</w:t>
      </w:r>
      <w:proofErr w:type="spellEnd"/>
      <w:r w:rsidRPr="00A60186">
        <w:rPr>
          <w:rFonts w:ascii="Segoe UI" w:eastAsia="Times New Roman" w:hAnsi="Segoe UI" w:cs="Segoe UI"/>
          <w:color w:val="0F1115"/>
          <w:sz w:val="24"/>
          <w:szCs w:val="24"/>
          <w:lang w:eastAsia="es-MX"/>
        </w:rPr>
        <w:t>, </w:t>
      </w:r>
      <w:r w:rsidRPr="00A60186">
        <w:rPr>
          <w:rFonts w:ascii="Segoe UI" w:eastAsia="Times New Roman" w:hAnsi="Segoe UI" w:cs="Segoe UI"/>
          <w:b/>
          <w:bCs/>
          <w:color w:val="0F1115"/>
          <w:sz w:val="24"/>
          <w:szCs w:val="24"/>
          <w:lang w:eastAsia="es-MX"/>
        </w:rPr>
        <w:t>A. R. Luria</w:t>
      </w:r>
      <w:r w:rsidRPr="00A60186">
        <w:rPr>
          <w:rFonts w:ascii="Segoe UI" w:eastAsia="Times New Roman" w:hAnsi="Segoe UI" w:cs="Segoe UI"/>
          <w:color w:val="0F1115"/>
          <w:sz w:val="24"/>
          <w:szCs w:val="24"/>
          <w:lang w:eastAsia="es-MX"/>
        </w:rPr>
        <w:t>, </w:t>
      </w:r>
      <w:r w:rsidRPr="00A60186">
        <w:rPr>
          <w:rFonts w:ascii="Segoe UI" w:eastAsia="Times New Roman" w:hAnsi="Segoe UI" w:cs="Segoe UI"/>
          <w:b/>
          <w:bCs/>
          <w:color w:val="0F1115"/>
          <w:sz w:val="24"/>
          <w:szCs w:val="24"/>
          <w:lang w:eastAsia="es-MX"/>
        </w:rPr>
        <w:t xml:space="preserve">L. I. </w:t>
      </w:r>
      <w:proofErr w:type="spellStart"/>
      <w:r w:rsidRPr="00A60186">
        <w:rPr>
          <w:rFonts w:ascii="Segoe UI" w:eastAsia="Times New Roman" w:hAnsi="Segoe UI" w:cs="Segoe UI"/>
          <w:b/>
          <w:bCs/>
          <w:color w:val="0F1115"/>
          <w:sz w:val="24"/>
          <w:szCs w:val="24"/>
          <w:lang w:eastAsia="es-MX"/>
        </w:rPr>
        <w:t>Bozhovich</w:t>
      </w:r>
      <w:proofErr w:type="spellEnd"/>
      <w:r w:rsidRPr="00A60186">
        <w:rPr>
          <w:rFonts w:ascii="Segoe UI" w:eastAsia="Times New Roman" w:hAnsi="Segoe UI" w:cs="Segoe UI"/>
          <w:color w:val="0F1115"/>
          <w:sz w:val="24"/>
          <w:szCs w:val="24"/>
          <w:lang w:eastAsia="es-MX"/>
        </w:rPr>
        <w:t> y </w:t>
      </w:r>
      <w:r w:rsidRPr="00A60186">
        <w:rPr>
          <w:rFonts w:ascii="Segoe UI" w:eastAsia="Times New Roman" w:hAnsi="Segoe UI" w:cs="Segoe UI"/>
          <w:b/>
          <w:bCs/>
          <w:color w:val="0F1115"/>
          <w:sz w:val="24"/>
          <w:szCs w:val="24"/>
          <w:lang w:eastAsia="es-MX"/>
        </w:rPr>
        <w:t>S. L. Rubinstein</w:t>
      </w:r>
      <w:r w:rsidRPr="00A60186">
        <w:rPr>
          <w:rFonts w:ascii="Segoe UI" w:eastAsia="Times New Roman" w:hAnsi="Segoe UI" w:cs="Segoe UI"/>
          <w:color w:val="0F1115"/>
          <w:sz w:val="24"/>
          <w:szCs w:val="24"/>
          <w:lang w:eastAsia="es-MX"/>
        </w:rPr>
        <w:t>. Su fundamento filosófico es el </w:t>
      </w:r>
      <w:r w:rsidRPr="00A60186">
        <w:rPr>
          <w:rFonts w:ascii="Segoe UI" w:eastAsia="Times New Roman" w:hAnsi="Segoe UI" w:cs="Segoe UI"/>
          <w:b/>
          <w:bCs/>
          <w:color w:val="0F1115"/>
          <w:sz w:val="24"/>
          <w:szCs w:val="24"/>
          <w:lang w:eastAsia="es-MX"/>
        </w:rPr>
        <w:t>materialismo dialéctico e histórico</w:t>
      </w:r>
      <w:r w:rsidRPr="00A60186">
        <w:rPr>
          <w:rFonts w:ascii="Segoe UI" w:eastAsia="Times New Roman" w:hAnsi="Segoe UI" w:cs="Segoe UI"/>
          <w:color w:val="0F1115"/>
          <w:sz w:val="24"/>
          <w:szCs w:val="24"/>
          <w:lang w:eastAsia="es-MX"/>
        </w:rPr>
        <w:t>, y su propósito fue construir una psicología científica que explicara la génesis social de las funciones psíquicas superiores.</w:t>
      </w:r>
    </w:p>
    <w:p w14:paraId="6A195D69"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proofErr w:type="spellStart"/>
      <w:r w:rsidRPr="00A60186">
        <w:rPr>
          <w:rFonts w:ascii="Segoe UI" w:eastAsia="Times New Roman" w:hAnsi="Segoe UI" w:cs="Segoe UI"/>
          <w:color w:val="0F1115"/>
          <w:sz w:val="24"/>
          <w:szCs w:val="24"/>
          <w:lang w:eastAsia="es-MX"/>
        </w:rPr>
        <w:t>Vigotsky</w:t>
      </w:r>
      <w:proofErr w:type="spellEnd"/>
      <w:r w:rsidRPr="00A60186">
        <w:rPr>
          <w:rFonts w:ascii="Segoe UI" w:eastAsia="Times New Roman" w:hAnsi="Segoe UI" w:cs="Segoe UI"/>
          <w:color w:val="0F1115"/>
          <w:sz w:val="24"/>
          <w:szCs w:val="24"/>
          <w:lang w:eastAsia="es-MX"/>
        </w:rPr>
        <w:t xml:space="preserve"> planteó que </w:t>
      </w:r>
      <w:r w:rsidRPr="00A60186">
        <w:rPr>
          <w:rFonts w:ascii="Segoe UI" w:eastAsia="Times New Roman" w:hAnsi="Segoe UI" w:cs="Segoe UI"/>
          <w:b/>
          <w:bCs/>
          <w:color w:val="0F1115"/>
          <w:sz w:val="24"/>
          <w:szCs w:val="24"/>
          <w:lang w:eastAsia="es-MX"/>
        </w:rPr>
        <w:t xml:space="preserve">la naturaleza psíquica del hombre es el producto de la interiorización de un conjunto de relaciones sociales que se convierten en </w:t>
      </w:r>
      <w:r w:rsidRPr="00A60186">
        <w:rPr>
          <w:rFonts w:ascii="Segoe UI" w:eastAsia="Times New Roman" w:hAnsi="Segoe UI" w:cs="Segoe UI"/>
          <w:b/>
          <w:bCs/>
          <w:color w:val="0F1115"/>
          <w:sz w:val="24"/>
          <w:szCs w:val="24"/>
          <w:lang w:eastAsia="es-MX"/>
        </w:rPr>
        <w:lastRenderedPageBreak/>
        <w:t>funciones de la personalidad, en partes dinámicas de su estructura</w:t>
      </w:r>
      <w:r w:rsidRPr="00A60186">
        <w:rPr>
          <w:rFonts w:ascii="Segoe UI" w:eastAsia="Times New Roman" w:hAnsi="Segoe UI" w:cs="Segoe UI"/>
          <w:color w:val="0F1115"/>
          <w:sz w:val="24"/>
          <w:szCs w:val="24"/>
          <w:lang w:eastAsia="es-MX"/>
        </w:rPr>
        <w:t>. Es decir, lo que inicialmente existe en el plano de las relaciones sociales (interpsicológico) se transforma, mediante la interiorización, en un proceso interno del sujeto (intrapsicológico).</w:t>
      </w:r>
    </w:p>
    <w:p w14:paraId="6A216307"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El EHC se estructura desde principios fundamentales como la </w:t>
      </w:r>
      <w:r w:rsidRPr="00A60186">
        <w:rPr>
          <w:rFonts w:ascii="Segoe UI" w:eastAsia="Times New Roman" w:hAnsi="Segoe UI" w:cs="Segoe UI"/>
          <w:b/>
          <w:bCs/>
          <w:color w:val="0F1115"/>
          <w:sz w:val="24"/>
          <w:szCs w:val="24"/>
          <w:lang w:eastAsia="es-MX"/>
        </w:rPr>
        <w:t>determinación histórico-social de lo psíquico y de la personalidad</w:t>
      </w:r>
      <w:r w:rsidRPr="00A60186">
        <w:rPr>
          <w:rFonts w:ascii="Segoe UI" w:eastAsia="Times New Roman" w:hAnsi="Segoe UI" w:cs="Segoe UI"/>
          <w:color w:val="0F1115"/>
          <w:sz w:val="24"/>
          <w:szCs w:val="24"/>
          <w:lang w:eastAsia="es-MX"/>
        </w:rPr>
        <w:t>, considerando al individuo como resultado de un proceso histórico y social. Esto significa que no podemos estudiar la personalidad al margen de las condiciones sociales e históricas en que se forma.</w:t>
      </w:r>
    </w:p>
    <w:p w14:paraId="1DE0F43D"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Pregunta para debatir:</w:t>
      </w:r>
      <w:r w:rsidRPr="00A60186">
        <w:rPr>
          <w:rFonts w:ascii="Segoe UI" w:eastAsia="Times New Roman" w:hAnsi="Segoe UI" w:cs="Segoe UI"/>
          <w:color w:val="0F1115"/>
          <w:sz w:val="24"/>
          <w:szCs w:val="24"/>
          <w:lang w:eastAsia="es-MX"/>
        </w:rPr>
        <w:br/>
        <w:t xml:space="preserve">¿Por qué creen que </w:t>
      </w:r>
      <w:proofErr w:type="spellStart"/>
      <w:r w:rsidRPr="00A60186">
        <w:rPr>
          <w:rFonts w:ascii="Segoe UI" w:eastAsia="Times New Roman" w:hAnsi="Segoe UI" w:cs="Segoe UI"/>
          <w:color w:val="0F1115"/>
          <w:sz w:val="24"/>
          <w:szCs w:val="24"/>
          <w:lang w:eastAsia="es-MX"/>
        </w:rPr>
        <w:t>Vigotsky</w:t>
      </w:r>
      <w:proofErr w:type="spellEnd"/>
      <w:r w:rsidRPr="00A60186">
        <w:rPr>
          <w:rFonts w:ascii="Segoe UI" w:eastAsia="Times New Roman" w:hAnsi="Segoe UI" w:cs="Segoe UI"/>
          <w:color w:val="0F1115"/>
          <w:sz w:val="24"/>
          <w:szCs w:val="24"/>
          <w:lang w:eastAsia="es-MX"/>
        </w:rPr>
        <w:t xml:space="preserve"> insistía en que la psiquis humana tiene un origen social y no biológico?</w:t>
      </w:r>
    </w:p>
    <w:p w14:paraId="5A0682D4"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i/>
          <w:iCs/>
          <w:color w:val="0F1115"/>
          <w:sz w:val="24"/>
          <w:szCs w:val="24"/>
          <w:lang w:eastAsia="es-MX"/>
        </w:rPr>
        <w:t>(Se escuchan respuestas. Se orienta el debate hacia la comprensión de que lo psíquico no es un despliegue de potencialidades innatas, sino el resultado de la apropiación de la experiencia social acumulada).</w:t>
      </w:r>
    </w:p>
    <w:p w14:paraId="46D5E179" w14:textId="77777777" w:rsidR="00A60186" w:rsidRPr="00A60186" w:rsidRDefault="00A60186" w:rsidP="00A60186">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60186">
        <w:rPr>
          <w:rFonts w:ascii="Segoe UI" w:eastAsia="Times New Roman" w:hAnsi="Segoe UI" w:cs="Segoe UI"/>
          <w:b/>
          <w:bCs/>
          <w:color w:val="0F1115"/>
          <w:sz w:val="30"/>
          <w:szCs w:val="30"/>
          <w:lang w:eastAsia="es-MX"/>
        </w:rPr>
        <w:t>2. La ley de la doble formación (10 minutos)</w:t>
      </w:r>
    </w:p>
    <w:p w14:paraId="1637AC5C"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Uno de los postulados centrales del EHC es la </w:t>
      </w:r>
      <w:r w:rsidRPr="00A60186">
        <w:rPr>
          <w:rFonts w:ascii="Segoe UI" w:eastAsia="Times New Roman" w:hAnsi="Segoe UI" w:cs="Segoe UI"/>
          <w:b/>
          <w:bCs/>
          <w:color w:val="0F1115"/>
          <w:sz w:val="24"/>
          <w:szCs w:val="24"/>
          <w:lang w:eastAsia="es-MX"/>
        </w:rPr>
        <w:t>ley de la doble formación</w:t>
      </w:r>
      <w:r w:rsidRPr="00A60186">
        <w:rPr>
          <w:rFonts w:ascii="Segoe UI" w:eastAsia="Times New Roman" w:hAnsi="Segoe UI" w:cs="Segoe UI"/>
          <w:color w:val="0F1115"/>
          <w:sz w:val="24"/>
          <w:szCs w:val="24"/>
          <w:lang w:eastAsia="es-MX"/>
        </w:rPr>
        <w:t> o </w:t>
      </w:r>
      <w:r w:rsidRPr="00A60186">
        <w:rPr>
          <w:rFonts w:ascii="Segoe UI" w:eastAsia="Times New Roman" w:hAnsi="Segoe UI" w:cs="Segoe UI"/>
          <w:b/>
          <w:bCs/>
          <w:color w:val="0F1115"/>
          <w:sz w:val="24"/>
          <w:szCs w:val="24"/>
          <w:lang w:eastAsia="es-MX"/>
        </w:rPr>
        <w:t>ley genética general del desarrollo cultural</w:t>
      </w:r>
      <w:r w:rsidRPr="00A60186">
        <w:rPr>
          <w:rFonts w:ascii="Segoe UI" w:eastAsia="Times New Roman" w:hAnsi="Segoe UI" w:cs="Segoe UI"/>
          <w:color w:val="0F1115"/>
          <w:sz w:val="24"/>
          <w:szCs w:val="24"/>
          <w:lang w:eastAsia="es-MX"/>
        </w:rPr>
        <w:t xml:space="preserve">. </w:t>
      </w:r>
      <w:proofErr w:type="spellStart"/>
      <w:r w:rsidRPr="00A60186">
        <w:rPr>
          <w:rFonts w:ascii="Segoe UI" w:eastAsia="Times New Roman" w:hAnsi="Segoe UI" w:cs="Segoe UI"/>
          <w:color w:val="0F1115"/>
          <w:sz w:val="24"/>
          <w:szCs w:val="24"/>
          <w:lang w:eastAsia="es-MX"/>
        </w:rPr>
        <w:t>Vigotsky</w:t>
      </w:r>
      <w:proofErr w:type="spellEnd"/>
      <w:r w:rsidRPr="00A60186">
        <w:rPr>
          <w:rFonts w:ascii="Segoe UI" w:eastAsia="Times New Roman" w:hAnsi="Segoe UI" w:cs="Segoe UI"/>
          <w:color w:val="0F1115"/>
          <w:sz w:val="24"/>
          <w:szCs w:val="24"/>
          <w:lang w:eastAsia="es-MX"/>
        </w:rPr>
        <w:t xml:space="preserve"> la formuló en los siguientes términos:</w:t>
      </w:r>
    </w:p>
    <w:p w14:paraId="70DC113F" w14:textId="77777777" w:rsidR="00A60186" w:rsidRPr="00A60186" w:rsidRDefault="00A60186" w:rsidP="00A60186">
      <w:pPr>
        <w:shd w:val="clear" w:color="auto" w:fill="FFFFFF"/>
        <w:spacing w:before="100" w:beforeAutospacing="1" w:after="100" w:afterAutospacing="1"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"En el desarrollo cultural del niño, toda función aparece dos veces: primero a nivel social, y más tarde a nivel individual; primero entre personas (interpsicológico) y después en el interior del propio niño (intrapsicológico)".</w:t>
      </w:r>
    </w:p>
    <w:p w14:paraId="458E9732"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Esta ley explica cómo las funciones psicológicas superiores —como el pensamiento, la atención voluntaria, la memoria lógica, la conciencia— se originan en las relaciones sociales y luego se internalizan. Por ejemplo, un niño aprende a regular su conducta porque primero un adulto lo regula externamente (le dice "cálmate", "espera tu turno"); posteriormente, el niño internaliza esa regulación y se autorregula.</w:t>
      </w:r>
    </w:p>
    <w:p w14:paraId="0A4B3601"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El mecanismo que hace posible esta transformación es la </w:t>
      </w:r>
      <w:r w:rsidRPr="00A60186">
        <w:rPr>
          <w:rFonts w:ascii="Segoe UI" w:eastAsia="Times New Roman" w:hAnsi="Segoe UI" w:cs="Segoe UI"/>
          <w:b/>
          <w:bCs/>
          <w:color w:val="0F1115"/>
          <w:sz w:val="24"/>
          <w:szCs w:val="24"/>
          <w:lang w:eastAsia="es-MX"/>
        </w:rPr>
        <w:t>interiorización</w:t>
      </w:r>
      <w:r w:rsidRPr="00A60186">
        <w:rPr>
          <w:rFonts w:ascii="Segoe UI" w:eastAsia="Times New Roman" w:hAnsi="Segoe UI" w:cs="Segoe UI"/>
          <w:color w:val="0F1115"/>
          <w:sz w:val="24"/>
          <w:szCs w:val="24"/>
          <w:lang w:eastAsia="es-MX"/>
        </w:rPr>
        <w:t>, que consiste en el paso de lo externo (social) a lo interno (individual). No se trata de una simple copia, sino de una </w:t>
      </w:r>
      <w:r w:rsidRPr="00A60186">
        <w:rPr>
          <w:rFonts w:ascii="Segoe UI" w:eastAsia="Times New Roman" w:hAnsi="Segoe UI" w:cs="Segoe UI"/>
          <w:b/>
          <w:bCs/>
          <w:color w:val="0F1115"/>
          <w:sz w:val="24"/>
          <w:szCs w:val="24"/>
          <w:lang w:eastAsia="es-MX"/>
        </w:rPr>
        <w:t>reconstrucción activa</w:t>
      </w:r>
      <w:r w:rsidRPr="00A60186">
        <w:rPr>
          <w:rFonts w:ascii="Segoe UI" w:eastAsia="Times New Roman" w:hAnsi="Segoe UI" w:cs="Segoe UI"/>
          <w:color w:val="0F1115"/>
          <w:sz w:val="24"/>
          <w:szCs w:val="24"/>
          <w:lang w:eastAsia="es-MX"/>
        </w:rPr>
        <w:t> de la experiencia social por parte del sujeto.</w:t>
      </w:r>
    </w:p>
    <w:p w14:paraId="026379DE"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lastRenderedPageBreak/>
        <w:t>Pregunta para debatir:</w:t>
      </w:r>
      <w:r w:rsidRPr="00A60186">
        <w:rPr>
          <w:rFonts w:ascii="Segoe UI" w:eastAsia="Times New Roman" w:hAnsi="Segoe UI" w:cs="Segoe UI"/>
          <w:color w:val="0F1115"/>
          <w:sz w:val="24"/>
          <w:szCs w:val="24"/>
          <w:lang w:eastAsia="es-MX"/>
        </w:rPr>
        <w:br/>
        <w:t>Piensen en una habilidad que hayan aprendido. ¿Cómo pasaron de necesitar ayuda externa a realizarla de forma independiente? ¿Qué papel jugaron otras personas en ese proceso?</w:t>
      </w:r>
    </w:p>
    <w:p w14:paraId="3D46E149"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i/>
          <w:iCs/>
          <w:color w:val="0F1115"/>
          <w:sz w:val="24"/>
          <w:szCs w:val="24"/>
          <w:lang w:eastAsia="es-MX"/>
        </w:rPr>
        <w:t>(Se orienta el debate hacia la identificación de que toda función psicológica superior tiene su origen en la interacción social y se interioriza mediante la actividad del sujeto).</w:t>
      </w:r>
    </w:p>
    <w:p w14:paraId="633D8ABB" w14:textId="77777777" w:rsidR="00A60186" w:rsidRPr="00A60186" w:rsidRDefault="00A60186" w:rsidP="00A60186">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60186">
        <w:rPr>
          <w:rFonts w:ascii="Segoe UI" w:eastAsia="Times New Roman" w:hAnsi="Segoe UI" w:cs="Segoe UI"/>
          <w:b/>
          <w:bCs/>
          <w:color w:val="0F1115"/>
          <w:sz w:val="30"/>
          <w:szCs w:val="30"/>
          <w:lang w:eastAsia="es-MX"/>
        </w:rPr>
        <w:t>3. La mediación cultural: herramientas y signos (10 minutos)</w:t>
      </w:r>
    </w:p>
    <w:p w14:paraId="4B001747"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proofErr w:type="spellStart"/>
      <w:r w:rsidRPr="00A60186">
        <w:rPr>
          <w:rFonts w:ascii="Segoe UI" w:eastAsia="Times New Roman" w:hAnsi="Segoe UI" w:cs="Segoe UI"/>
          <w:color w:val="0F1115"/>
          <w:sz w:val="24"/>
          <w:szCs w:val="24"/>
          <w:lang w:eastAsia="es-MX"/>
        </w:rPr>
        <w:t>Vigotsky</w:t>
      </w:r>
      <w:proofErr w:type="spellEnd"/>
      <w:r w:rsidRPr="00A60186">
        <w:rPr>
          <w:rFonts w:ascii="Segoe UI" w:eastAsia="Times New Roman" w:hAnsi="Segoe UI" w:cs="Segoe UI"/>
          <w:color w:val="0F1115"/>
          <w:sz w:val="24"/>
          <w:szCs w:val="24"/>
          <w:lang w:eastAsia="es-MX"/>
        </w:rPr>
        <w:t xml:space="preserve"> distingue dos tipos de mediadores que transforman la relación del sujeto con el mundo y consigo mismo:</w:t>
      </w:r>
    </w:p>
    <w:p w14:paraId="5D89D57C" w14:textId="77777777" w:rsidR="00A60186" w:rsidRPr="00A60186" w:rsidRDefault="00A60186" w:rsidP="00A60186">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Herramientas materiales:</w:t>
      </w:r>
      <w:r w:rsidRPr="00A60186">
        <w:rPr>
          <w:rFonts w:ascii="Segoe UI" w:eastAsia="Times New Roman" w:hAnsi="Segoe UI" w:cs="Segoe UI"/>
          <w:color w:val="0F1115"/>
          <w:sz w:val="24"/>
          <w:szCs w:val="24"/>
          <w:lang w:eastAsia="es-MX"/>
        </w:rPr>
        <w:t> Proporcionan al hombre los medios para actuar sobre el ambiente y modificarlo. Están orientadas hacia fuera.</w:t>
      </w:r>
    </w:p>
    <w:p w14:paraId="0BCFD5F5" w14:textId="77777777" w:rsidR="00A60186" w:rsidRPr="00A60186" w:rsidRDefault="00A60186" w:rsidP="00A60186">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Signos o herramientas psicológicas:</w:t>
      </w:r>
      <w:r w:rsidRPr="00A60186">
        <w:rPr>
          <w:rFonts w:ascii="Segoe UI" w:eastAsia="Times New Roman" w:hAnsi="Segoe UI" w:cs="Segoe UI"/>
          <w:color w:val="0F1115"/>
          <w:sz w:val="24"/>
          <w:szCs w:val="24"/>
          <w:lang w:eastAsia="es-MX"/>
        </w:rPr>
        <w:t> Son mediadores simbólicos de la conducta humana; se orientan hacia el interior de la persona para permitir la autorregulación.</w:t>
      </w:r>
    </w:p>
    <w:p w14:paraId="3F4FDEA9"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proofErr w:type="spellStart"/>
      <w:r w:rsidRPr="00A60186">
        <w:rPr>
          <w:rFonts w:ascii="Segoe UI" w:eastAsia="Times New Roman" w:hAnsi="Segoe UI" w:cs="Segoe UI"/>
          <w:color w:val="0F1115"/>
          <w:sz w:val="24"/>
          <w:szCs w:val="24"/>
          <w:lang w:eastAsia="es-MX"/>
        </w:rPr>
        <w:t>Vigotsky</w:t>
      </w:r>
      <w:proofErr w:type="spellEnd"/>
      <w:r w:rsidRPr="00A60186">
        <w:rPr>
          <w:rFonts w:ascii="Segoe UI" w:eastAsia="Times New Roman" w:hAnsi="Segoe UI" w:cs="Segoe UI"/>
          <w:color w:val="0F1115"/>
          <w:sz w:val="24"/>
          <w:szCs w:val="24"/>
          <w:lang w:eastAsia="es-MX"/>
        </w:rPr>
        <w:t xml:space="preserve"> afirmó: "La diferencia entre el signo y la herramienta es su distinta orientación. Por medio de la herramienta, el hombre influye sobre el objeto de la actividad. El signo no modifica nada en el objeto de la operación psicológica: es el medio del que se vale el hombre para influir psicológicamente, bien en su propia conducta, bien en la de los demás".</w:t>
      </w:r>
    </w:p>
    <w:p w14:paraId="761DDE3F"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El </w:t>
      </w:r>
      <w:r w:rsidRPr="00A60186">
        <w:rPr>
          <w:rFonts w:ascii="Segoe UI" w:eastAsia="Times New Roman" w:hAnsi="Segoe UI" w:cs="Segoe UI"/>
          <w:b/>
          <w:bCs/>
          <w:color w:val="0F1115"/>
          <w:sz w:val="24"/>
          <w:szCs w:val="24"/>
          <w:lang w:eastAsia="es-MX"/>
        </w:rPr>
        <w:t>lenguaje</w:t>
      </w:r>
      <w:r w:rsidRPr="00A60186">
        <w:rPr>
          <w:rFonts w:ascii="Segoe UI" w:eastAsia="Times New Roman" w:hAnsi="Segoe UI" w:cs="Segoe UI"/>
          <w:color w:val="0F1115"/>
          <w:sz w:val="24"/>
          <w:szCs w:val="24"/>
          <w:lang w:eastAsia="es-MX"/>
        </w:rPr>
        <w:t> es el sistema de signos más importante. Cumple una función reguladora que primero es externa (el adulto regula al niño mediante el habla) y luego se internaliza (el niño se regula a sí mismo mediante el habla interna). Esta internalización del lenguaje es lo que permite el desarrollo del pensamiento verbal y la conciencia.</w:t>
      </w:r>
    </w:p>
    <w:p w14:paraId="72E40374"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Pregunta para debatir:</w:t>
      </w:r>
      <w:r w:rsidRPr="00A60186">
        <w:rPr>
          <w:rFonts w:ascii="Segoe UI" w:eastAsia="Times New Roman" w:hAnsi="Segoe UI" w:cs="Segoe UI"/>
          <w:color w:val="0F1115"/>
          <w:sz w:val="24"/>
          <w:szCs w:val="24"/>
          <w:lang w:eastAsia="es-MX"/>
        </w:rPr>
        <w:br/>
        <w:t>¿Cómo utilizan ustedes el lenguaje para regular su propia conducta? ¿Se hablan a sí mismos cuando enfrentan una tarea difícil?</w:t>
      </w:r>
    </w:p>
    <w:p w14:paraId="306580FD"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i/>
          <w:iCs/>
          <w:color w:val="0F1115"/>
          <w:sz w:val="24"/>
          <w:szCs w:val="24"/>
          <w:lang w:eastAsia="es-MX"/>
        </w:rPr>
        <w:t>(Se orienta el debate hacia la comprensión de que el habla interna es un instrumento de autorregulación que tiene su origen en el habla externa social).</w:t>
      </w:r>
    </w:p>
    <w:p w14:paraId="41122986" w14:textId="77777777" w:rsidR="00A60186" w:rsidRPr="00A60186" w:rsidRDefault="00A60186" w:rsidP="00A60186">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60186">
        <w:rPr>
          <w:rFonts w:ascii="Segoe UI" w:eastAsia="Times New Roman" w:hAnsi="Segoe UI" w:cs="Segoe UI"/>
          <w:b/>
          <w:bCs/>
          <w:color w:val="0F1115"/>
          <w:sz w:val="30"/>
          <w:szCs w:val="30"/>
          <w:lang w:eastAsia="es-MX"/>
        </w:rPr>
        <w:t>4. La unidad de lo cognitivo y lo afectivo (10 minutos)</w:t>
      </w:r>
    </w:p>
    <w:p w14:paraId="70CFDBAF"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lastRenderedPageBreak/>
        <w:t xml:space="preserve">Uno de los aportes más importantes de </w:t>
      </w:r>
      <w:proofErr w:type="spellStart"/>
      <w:r w:rsidRPr="00A60186">
        <w:rPr>
          <w:rFonts w:ascii="Segoe UI" w:eastAsia="Times New Roman" w:hAnsi="Segoe UI" w:cs="Segoe UI"/>
          <w:color w:val="0F1115"/>
          <w:sz w:val="24"/>
          <w:szCs w:val="24"/>
          <w:lang w:eastAsia="es-MX"/>
        </w:rPr>
        <w:t>Vigotsky</w:t>
      </w:r>
      <w:proofErr w:type="spellEnd"/>
      <w:r w:rsidRPr="00A60186">
        <w:rPr>
          <w:rFonts w:ascii="Segoe UI" w:eastAsia="Times New Roman" w:hAnsi="Segoe UI" w:cs="Segoe UI"/>
          <w:color w:val="0F1115"/>
          <w:sz w:val="24"/>
          <w:szCs w:val="24"/>
          <w:lang w:eastAsia="es-MX"/>
        </w:rPr>
        <w:t xml:space="preserve"> es su concepción de la </w:t>
      </w:r>
      <w:r w:rsidRPr="00A60186">
        <w:rPr>
          <w:rFonts w:ascii="Segoe UI" w:eastAsia="Times New Roman" w:hAnsi="Segoe UI" w:cs="Segoe UI"/>
          <w:b/>
          <w:bCs/>
          <w:color w:val="0F1115"/>
          <w:sz w:val="24"/>
          <w:szCs w:val="24"/>
          <w:lang w:eastAsia="es-MX"/>
        </w:rPr>
        <w:t>unidad de lo cognitivo y lo afectivo</w:t>
      </w:r>
      <w:r w:rsidRPr="00A60186">
        <w:rPr>
          <w:rFonts w:ascii="Segoe UI" w:eastAsia="Times New Roman" w:hAnsi="Segoe UI" w:cs="Segoe UI"/>
          <w:color w:val="0F1115"/>
          <w:sz w:val="24"/>
          <w:szCs w:val="24"/>
          <w:lang w:eastAsia="es-MX"/>
        </w:rPr>
        <w:t xml:space="preserve">. Para </w:t>
      </w:r>
      <w:proofErr w:type="spellStart"/>
      <w:r w:rsidRPr="00A60186">
        <w:rPr>
          <w:rFonts w:ascii="Segoe UI" w:eastAsia="Times New Roman" w:hAnsi="Segoe UI" w:cs="Segoe UI"/>
          <w:color w:val="0F1115"/>
          <w:sz w:val="24"/>
          <w:szCs w:val="24"/>
          <w:lang w:eastAsia="es-MX"/>
        </w:rPr>
        <w:t>Vigotsky</w:t>
      </w:r>
      <w:proofErr w:type="spellEnd"/>
      <w:r w:rsidRPr="00A60186">
        <w:rPr>
          <w:rFonts w:ascii="Segoe UI" w:eastAsia="Times New Roman" w:hAnsi="Segoe UI" w:cs="Segoe UI"/>
          <w:color w:val="0F1115"/>
          <w:sz w:val="24"/>
          <w:szCs w:val="24"/>
          <w:lang w:eastAsia="es-MX"/>
        </w:rPr>
        <w:t>, no podemos escindir los procesos cognitivos (pensamiento, memoria, atención) de los procesos afectivos (emociones, sentimientos, motivaciones). Constituyen una </w:t>
      </w:r>
      <w:r w:rsidRPr="00A60186">
        <w:rPr>
          <w:rFonts w:ascii="Segoe UI" w:eastAsia="Times New Roman" w:hAnsi="Segoe UI" w:cs="Segoe UI"/>
          <w:b/>
          <w:bCs/>
          <w:color w:val="0F1115"/>
          <w:sz w:val="24"/>
          <w:szCs w:val="24"/>
          <w:lang w:eastAsia="es-MX"/>
        </w:rPr>
        <w:t>unidad indisoluble</w:t>
      </w:r>
      <w:r w:rsidRPr="00A60186">
        <w:rPr>
          <w:rFonts w:ascii="Segoe UI" w:eastAsia="Times New Roman" w:hAnsi="Segoe UI" w:cs="Segoe UI"/>
          <w:color w:val="0F1115"/>
          <w:sz w:val="24"/>
          <w:szCs w:val="24"/>
          <w:lang w:eastAsia="es-MX"/>
        </w:rPr>
        <w:t> en el funcionamiento de la personalidad.</w:t>
      </w:r>
    </w:p>
    <w:p w14:paraId="712BB8E4"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 xml:space="preserve">González Rey, retomando las ideas de </w:t>
      </w:r>
      <w:proofErr w:type="spellStart"/>
      <w:r w:rsidRPr="00A60186">
        <w:rPr>
          <w:rFonts w:ascii="Segoe UI" w:eastAsia="Times New Roman" w:hAnsi="Segoe UI" w:cs="Segoe UI"/>
          <w:color w:val="0F1115"/>
          <w:sz w:val="24"/>
          <w:szCs w:val="24"/>
          <w:lang w:eastAsia="es-MX"/>
        </w:rPr>
        <w:t>Vigotsky</w:t>
      </w:r>
      <w:proofErr w:type="spellEnd"/>
      <w:r w:rsidRPr="00A60186">
        <w:rPr>
          <w:rFonts w:ascii="Segoe UI" w:eastAsia="Times New Roman" w:hAnsi="Segoe UI" w:cs="Segoe UI"/>
          <w:color w:val="0F1115"/>
          <w:sz w:val="24"/>
          <w:szCs w:val="24"/>
          <w:lang w:eastAsia="es-MX"/>
        </w:rPr>
        <w:t>, señala que en su obra se destaca "la unidad entre lo cognitivo y lo afectivo, así como el carácter activo e intencional del hombre". Esta unidad se concreta a través de categorías como </w:t>
      </w:r>
      <w:r w:rsidRPr="00A60186">
        <w:rPr>
          <w:rFonts w:ascii="Segoe UI" w:eastAsia="Times New Roman" w:hAnsi="Segoe UI" w:cs="Segoe UI"/>
          <w:b/>
          <w:bCs/>
          <w:color w:val="0F1115"/>
          <w:sz w:val="24"/>
          <w:szCs w:val="24"/>
          <w:lang w:eastAsia="es-MX"/>
        </w:rPr>
        <w:t>sentido</w:t>
      </w:r>
      <w:r w:rsidRPr="00A60186">
        <w:rPr>
          <w:rFonts w:ascii="Segoe UI" w:eastAsia="Times New Roman" w:hAnsi="Segoe UI" w:cs="Segoe UI"/>
          <w:color w:val="0F1115"/>
          <w:sz w:val="24"/>
          <w:szCs w:val="24"/>
          <w:lang w:eastAsia="es-MX"/>
        </w:rPr>
        <w:t>, </w:t>
      </w:r>
      <w:r w:rsidRPr="00A60186">
        <w:rPr>
          <w:rFonts w:ascii="Segoe UI" w:eastAsia="Times New Roman" w:hAnsi="Segoe UI" w:cs="Segoe UI"/>
          <w:b/>
          <w:bCs/>
          <w:color w:val="0F1115"/>
          <w:sz w:val="24"/>
          <w:szCs w:val="24"/>
          <w:lang w:eastAsia="es-MX"/>
        </w:rPr>
        <w:t>vivencia</w:t>
      </w:r>
      <w:r w:rsidRPr="00A60186">
        <w:rPr>
          <w:rFonts w:ascii="Segoe UI" w:eastAsia="Times New Roman" w:hAnsi="Segoe UI" w:cs="Segoe UI"/>
          <w:color w:val="0F1115"/>
          <w:sz w:val="24"/>
          <w:szCs w:val="24"/>
          <w:lang w:eastAsia="es-MX"/>
        </w:rPr>
        <w:t> y </w:t>
      </w:r>
      <w:r w:rsidRPr="00A60186">
        <w:rPr>
          <w:rFonts w:ascii="Segoe UI" w:eastAsia="Times New Roman" w:hAnsi="Segoe UI" w:cs="Segoe UI"/>
          <w:b/>
          <w:bCs/>
          <w:color w:val="0F1115"/>
          <w:sz w:val="24"/>
          <w:szCs w:val="24"/>
          <w:lang w:eastAsia="es-MX"/>
        </w:rPr>
        <w:t>situación social del desarrollo</w:t>
      </w:r>
      <w:r w:rsidRPr="00A60186">
        <w:rPr>
          <w:rFonts w:ascii="Segoe UI" w:eastAsia="Times New Roman" w:hAnsi="Segoe UI" w:cs="Segoe UI"/>
          <w:color w:val="0F1115"/>
          <w:sz w:val="24"/>
          <w:szCs w:val="24"/>
          <w:lang w:eastAsia="es-MX"/>
        </w:rPr>
        <w:t>.</w:t>
      </w:r>
    </w:p>
    <w:p w14:paraId="3560E775"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La </w:t>
      </w:r>
      <w:r w:rsidRPr="00A60186">
        <w:rPr>
          <w:rFonts w:ascii="Segoe UI" w:eastAsia="Times New Roman" w:hAnsi="Segoe UI" w:cs="Segoe UI"/>
          <w:b/>
          <w:bCs/>
          <w:color w:val="0F1115"/>
          <w:sz w:val="24"/>
          <w:szCs w:val="24"/>
          <w:lang w:eastAsia="es-MX"/>
        </w:rPr>
        <w:t>vivencia</w:t>
      </w:r>
      <w:r w:rsidRPr="00A60186">
        <w:rPr>
          <w:rFonts w:ascii="Segoe UI" w:eastAsia="Times New Roman" w:hAnsi="Segoe UI" w:cs="Segoe UI"/>
          <w:color w:val="0F1115"/>
          <w:sz w:val="24"/>
          <w:szCs w:val="24"/>
          <w:lang w:eastAsia="es-MX"/>
        </w:rPr>
        <w:t> es la unidad de análisis de la conciencia; expresa la relación afectiva del sujeto con el medio. La </w:t>
      </w:r>
      <w:r w:rsidRPr="00A60186">
        <w:rPr>
          <w:rFonts w:ascii="Segoe UI" w:eastAsia="Times New Roman" w:hAnsi="Segoe UI" w:cs="Segoe UI"/>
          <w:b/>
          <w:bCs/>
          <w:color w:val="0F1115"/>
          <w:sz w:val="24"/>
          <w:szCs w:val="24"/>
          <w:lang w:eastAsia="es-MX"/>
        </w:rPr>
        <w:t>situación social del desarrollo</w:t>
      </w:r>
      <w:r w:rsidRPr="00A60186">
        <w:rPr>
          <w:rFonts w:ascii="Segoe UI" w:eastAsia="Times New Roman" w:hAnsi="Segoe UI" w:cs="Segoe UI"/>
          <w:color w:val="0F1115"/>
          <w:sz w:val="24"/>
          <w:szCs w:val="24"/>
          <w:lang w:eastAsia="es-MX"/>
        </w:rPr>
        <w:t> es la combinación peculiar de condiciones internas y externas que determina la dinámica del desarrollo en cada etapa.</w:t>
      </w:r>
    </w:p>
    <w:p w14:paraId="619C4B3E"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Esta concepción tiene implicaciones profundas para la educación: el aprendizaje no es solo cognitivo; involucra emociones, motivaciones y valores. Un estudiante no aprende solo porque el contenido sea lógicamente correcto, sino porque tiene sentido para él, porque moviliza sus afectos.</w:t>
      </w:r>
    </w:p>
    <w:p w14:paraId="43FF7E43"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Pregunta para debatir:</w:t>
      </w:r>
      <w:r w:rsidRPr="00A60186">
        <w:rPr>
          <w:rFonts w:ascii="Segoe UI" w:eastAsia="Times New Roman" w:hAnsi="Segoe UI" w:cs="Segoe UI"/>
          <w:color w:val="0F1115"/>
          <w:sz w:val="24"/>
          <w:szCs w:val="24"/>
          <w:lang w:eastAsia="es-MX"/>
        </w:rPr>
        <w:br/>
        <w:t>¿Han tenido alguna experiencia en la que un contenido que les parecía difícil se volvió comprensible cuando le encontraron sentido? ¿Qué papel jugaron las emociones en ese proceso?</w:t>
      </w:r>
    </w:p>
    <w:p w14:paraId="3B9BAA08"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i/>
          <w:iCs/>
          <w:color w:val="0F1115"/>
          <w:sz w:val="24"/>
          <w:szCs w:val="24"/>
          <w:lang w:eastAsia="es-MX"/>
        </w:rPr>
        <w:t>(Se orienta el debate hacia la identificación de que el sentido y la implicación afectiva son condiciones del aprendizaje significativo).</w:t>
      </w:r>
    </w:p>
    <w:p w14:paraId="5DD6B8A4" w14:textId="77777777" w:rsidR="00A60186" w:rsidRPr="00A60186" w:rsidRDefault="00A60186" w:rsidP="00A60186">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60186">
        <w:rPr>
          <w:rFonts w:ascii="Segoe UI" w:eastAsia="Times New Roman" w:hAnsi="Segoe UI" w:cs="Segoe UI"/>
          <w:b/>
          <w:bCs/>
          <w:color w:val="0F1115"/>
          <w:sz w:val="30"/>
          <w:szCs w:val="30"/>
          <w:lang w:eastAsia="es-MX"/>
        </w:rPr>
        <w:t xml:space="preserve">5. La teoría de la actividad de </w:t>
      </w:r>
      <w:proofErr w:type="spellStart"/>
      <w:r w:rsidRPr="00A60186">
        <w:rPr>
          <w:rFonts w:ascii="Segoe UI" w:eastAsia="Times New Roman" w:hAnsi="Segoe UI" w:cs="Segoe UI"/>
          <w:b/>
          <w:bCs/>
          <w:color w:val="0F1115"/>
          <w:sz w:val="30"/>
          <w:szCs w:val="30"/>
          <w:lang w:eastAsia="es-MX"/>
        </w:rPr>
        <w:t>Leontiev</w:t>
      </w:r>
      <w:proofErr w:type="spellEnd"/>
      <w:r w:rsidRPr="00A60186">
        <w:rPr>
          <w:rFonts w:ascii="Segoe UI" w:eastAsia="Times New Roman" w:hAnsi="Segoe UI" w:cs="Segoe UI"/>
          <w:b/>
          <w:bCs/>
          <w:color w:val="0F1115"/>
          <w:sz w:val="30"/>
          <w:szCs w:val="30"/>
          <w:lang w:eastAsia="es-MX"/>
        </w:rPr>
        <w:t xml:space="preserve"> (10 minutos)</w:t>
      </w:r>
    </w:p>
    <w:p w14:paraId="11764D36"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 xml:space="preserve">A. N. </w:t>
      </w:r>
      <w:proofErr w:type="spellStart"/>
      <w:r w:rsidRPr="00A60186">
        <w:rPr>
          <w:rFonts w:ascii="Segoe UI" w:eastAsia="Times New Roman" w:hAnsi="Segoe UI" w:cs="Segoe UI"/>
          <w:color w:val="0F1115"/>
          <w:sz w:val="24"/>
          <w:szCs w:val="24"/>
          <w:lang w:eastAsia="es-MX"/>
        </w:rPr>
        <w:t>Leontiev</w:t>
      </w:r>
      <w:proofErr w:type="spellEnd"/>
      <w:r w:rsidRPr="00A60186">
        <w:rPr>
          <w:rFonts w:ascii="Segoe UI" w:eastAsia="Times New Roman" w:hAnsi="Segoe UI" w:cs="Segoe UI"/>
          <w:color w:val="0F1115"/>
          <w:sz w:val="24"/>
          <w:szCs w:val="24"/>
          <w:lang w:eastAsia="es-MX"/>
        </w:rPr>
        <w:t xml:space="preserve"> desarrolló la </w:t>
      </w:r>
      <w:r w:rsidRPr="00A60186">
        <w:rPr>
          <w:rFonts w:ascii="Segoe UI" w:eastAsia="Times New Roman" w:hAnsi="Segoe UI" w:cs="Segoe UI"/>
          <w:b/>
          <w:bCs/>
          <w:color w:val="0F1115"/>
          <w:sz w:val="24"/>
          <w:szCs w:val="24"/>
          <w:lang w:eastAsia="es-MX"/>
        </w:rPr>
        <w:t>Teoría de la Actividad</w:t>
      </w:r>
      <w:r w:rsidRPr="00A60186">
        <w:rPr>
          <w:rFonts w:ascii="Segoe UI" w:eastAsia="Times New Roman" w:hAnsi="Segoe UI" w:cs="Segoe UI"/>
          <w:color w:val="0F1115"/>
          <w:sz w:val="24"/>
          <w:szCs w:val="24"/>
          <w:lang w:eastAsia="es-MX"/>
        </w:rPr>
        <w:t>, que constituye uno de los pilares del EHC. Su tesis central es que </w:t>
      </w:r>
      <w:r w:rsidRPr="00A60186">
        <w:rPr>
          <w:rFonts w:ascii="Segoe UI" w:eastAsia="Times New Roman" w:hAnsi="Segoe UI" w:cs="Segoe UI"/>
          <w:b/>
          <w:bCs/>
          <w:color w:val="0F1115"/>
          <w:sz w:val="24"/>
          <w:szCs w:val="24"/>
          <w:lang w:eastAsia="es-MX"/>
        </w:rPr>
        <w:t>la conciencia humana, el desarrollo psicológico y la formación de la personalidad no pueden entenderse aislados, sino que son productos de la actividad práctica, mediada y orientada a un objeto dentro de un contexto sociocultural específico</w:t>
      </w:r>
      <w:r w:rsidRPr="00A60186">
        <w:rPr>
          <w:rFonts w:ascii="Segoe UI" w:eastAsia="Times New Roman" w:hAnsi="Segoe UI" w:cs="Segoe UI"/>
          <w:color w:val="0F1115"/>
          <w:sz w:val="24"/>
          <w:szCs w:val="24"/>
          <w:lang w:eastAsia="es-MX"/>
        </w:rPr>
        <w:t>.</w:t>
      </w:r>
    </w:p>
    <w:p w14:paraId="027CDE19"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proofErr w:type="spellStart"/>
      <w:r w:rsidRPr="00A60186">
        <w:rPr>
          <w:rFonts w:ascii="Segoe UI" w:eastAsia="Times New Roman" w:hAnsi="Segoe UI" w:cs="Segoe UI"/>
          <w:color w:val="0F1115"/>
          <w:sz w:val="24"/>
          <w:szCs w:val="24"/>
          <w:lang w:eastAsia="es-MX"/>
        </w:rPr>
        <w:t>Leontiev</w:t>
      </w:r>
      <w:proofErr w:type="spellEnd"/>
      <w:r w:rsidRPr="00A60186">
        <w:rPr>
          <w:rFonts w:ascii="Segoe UI" w:eastAsia="Times New Roman" w:hAnsi="Segoe UI" w:cs="Segoe UI"/>
          <w:color w:val="0F1115"/>
          <w:sz w:val="24"/>
          <w:szCs w:val="24"/>
          <w:lang w:eastAsia="es-MX"/>
        </w:rPr>
        <w:t xml:space="preserve"> distingue tres niveles en la actividad:</w:t>
      </w:r>
    </w:p>
    <w:p w14:paraId="0B611185" w14:textId="77777777" w:rsidR="00A60186" w:rsidRPr="00A60186" w:rsidRDefault="00A60186" w:rsidP="00A60186">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Actividad:</w:t>
      </w:r>
      <w:r w:rsidRPr="00A60186">
        <w:rPr>
          <w:rFonts w:ascii="Segoe UI" w:eastAsia="Times New Roman" w:hAnsi="Segoe UI" w:cs="Segoe UI"/>
          <w:color w:val="0F1115"/>
          <w:sz w:val="24"/>
          <w:szCs w:val="24"/>
          <w:lang w:eastAsia="es-MX"/>
        </w:rPr>
        <w:t> Es la unidad más amplia, definida por el </w:t>
      </w:r>
      <w:r w:rsidRPr="00A60186">
        <w:rPr>
          <w:rFonts w:ascii="Segoe UI" w:eastAsia="Times New Roman" w:hAnsi="Segoe UI" w:cs="Segoe UI"/>
          <w:b/>
          <w:bCs/>
          <w:color w:val="0F1115"/>
          <w:sz w:val="24"/>
          <w:szCs w:val="24"/>
          <w:lang w:eastAsia="es-MX"/>
        </w:rPr>
        <w:t>motivo</w:t>
      </w:r>
      <w:r w:rsidRPr="00A60186">
        <w:rPr>
          <w:rFonts w:ascii="Segoe UI" w:eastAsia="Times New Roman" w:hAnsi="Segoe UI" w:cs="Segoe UI"/>
          <w:color w:val="0F1115"/>
          <w:sz w:val="24"/>
          <w:szCs w:val="24"/>
          <w:lang w:eastAsia="es-MX"/>
        </w:rPr>
        <w:t> que la impulsa (por ejemplo, estudiar para obtener un título universitario).</w:t>
      </w:r>
    </w:p>
    <w:p w14:paraId="25E9C3C8" w14:textId="77777777" w:rsidR="00A60186" w:rsidRPr="00A60186" w:rsidRDefault="00A60186" w:rsidP="00A60186">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lastRenderedPageBreak/>
        <w:t>Acciones:</w:t>
      </w:r>
      <w:r w:rsidRPr="00A60186">
        <w:rPr>
          <w:rFonts w:ascii="Segoe UI" w:eastAsia="Times New Roman" w:hAnsi="Segoe UI" w:cs="Segoe UI"/>
          <w:color w:val="0F1115"/>
          <w:sz w:val="24"/>
          <w:szCs w:val="24"/>
          <w:lang w:eastAsia="es-MX"/>
        </w:rPr>
        <w:t> Son los procesos conscientes dirigidos a </w:t>
      </w:r>
      <w:r w:rsidRPr="00A60186">
        <w:rPr>
          <w:rFonts w:ascii="Segoe UI" w:eastAsia="Times New Roman" w:hAnsi="Segoe UI" w:cs="Segoe UI"/>
          <w:b/>
          <w:bCs/>
          <w:color w:val="0F1115"/>
          <w:sz w:val="24"/>
          <w:szCs w:val="24"/>
          <w:lang w:eastAsia="es-MX"/>
        </w:rPr>
        <w:t>metas</w:t>
      </w:r>
      <w:r w:rsidRPr="00A60186">
        <w:rPr>
          <w:rFonts w:ascii="Segoe UI" w:eastAsia="Times New Roman" w:hAnsi="Segoe UI" w:cs="Segoe UI"/>
          <w:color w:val="0F1115"/>
          <w:sz w:val="24"/>
          <w:szCs w:val="24"/>
          <w:lang w:eastAsia="es-MX"/>
        </w:rPr>
        <w:t> específicas (por ejemplo, escribir un ensayo, estudiar para un examen).</w:t>
      </w:r>
    </w:p>
    <w:p w14:paraId="14089D6D" w14:textId="77777777" w:rsidR="00A60186" w:rsidRPr="00A60186" w:rsidRDefault="00A60186" w:rsidP="00A60186">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Operaciones:</w:t>
      </w:r>
      <w:r w:rsidRPr="00A60186">
        <w:rPr>
          <w:rFonts w:ascii="Segoe UI" w:eastAsia="Times New Roman" w:hAnsi="Segoe UI" w:cs="Segoe UI"/>
          <w:color w:val="0F1115"/>
          <w:sz w:val="24"/>
          <w:szCs w:val="24"/>
          <w:lang w:eastAsia="es-MX"/>
        </w:rPr>
        <w:t> Son los medios automatizados e inconscientes utilizados para llevar a cabo la acción, dependiendo de las condiciones dadas (por ejemplo, la habilidad de teclear rápidamente).</w:t>
      </w:r>
    </w:p>
    <w:p w14:paraId="298C17A8"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 xml:space="preserve">La personalidad, para </w:t>
      </w:r>
      <w:proofErr w:type="spellStart"/>
      <w:r w:rsidRPr="00A60186">
        <w:rPr>
          <w:rFonts w:ascii="Segoe UI" w:eastAsia="Times New Roman" w:hAnsi="Segoe UI" w:cs="Segoe UI"/>
          <w:color w:val="0F1115"/>
          <w:sz w:val="24"/>
          <w:szCs w:val="24"/>
          <w:lang w:eastAsia="es-MX"/>
        </w:rPr>
        <w:t>Leontiev</w:t>
      </w:r>
      <w:proofErr w:type="spellEnd"/>
      <w:r w:rsidRPr="00A60186">
        <w:rPr>
          <w:rFonts w:ascii="Segoe UI" w:eastAsia="Times New Roman" w:hAnsi="Segoe UI" w:cs="Segoe UI"/>
          <w:color w:val="0F1115"/>
          <w:sz w:val="24"/>
          <w:szCs w:val="24"/>
          <w:lang w:eastAsia="es-MX"/>
        </w:rPr>
        <w:t>, se forma en la actividad y se expresa en la </w:t>
      </w:r>
      <w:r w:rsidRPr="00A60186">
        <w:rPr>
          <w:rFonts w:ascii="Segoe UI" w:eastAsia="Times New Roman" w:hAnsi="Segoe UI" w:cs="Segoe UI"/>
          <w:b/>
          <w:bCs/>
          <w:color w:val="0F1115"/>
          <w:sz w:val="24"/>
          <w:szCs w:val="24"/>
          <w:lang w:eastAsia="es-MX"/>
        </w:rPr>
        <w:t>jerarquía de motivos</w:t>
      </w:r>
      <w:r w:rsidRPr="00A60186">
        <w:rPr>
          <w:rFonts w:ascii="Segoe UI" w:eastAsia="Times New Roman" w:hAnsi="Segoe UI" w:cs="Segoe UI"/>
          <w:color w:val="0F1115"/>
          <w:sz w:val="24"/>
          <w:szCs w:val="24"/>
          <w:lang w:eastAsia="es-MX"/>
        </w:rPr>
        <w:t>. El desarrollo de la personalidad tiene que ver con la creciente complejidad cuantitativa y cualitativa de los motivos. Los motivos que confieren sentido a la actividad son los que verdaderamente orientan la personalidad.</w:t>
      </w:r>
    </w:p>
    <w:p w14:paraId="7E745AF0"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Pregunta para debatir:</w:t>
      </w:r>
      <w:r w:rsidRPr="00A60186">
        <w:rPr>
          <w:rFonts w:ascii="Segoe UI" w:eastAsia="Times New Roman" w:hAnsi="Segoe UI" w:cs="Segoe UI"/>
          <w:color w:val="0F1115"/>
          <w:sz w:val="24"/>
          <w:szCs w:val="24"/>
          <w:lang w:eastAsia="es-MX"/>
        </w:rPr>
        <w:br/>
        <w:t>Piensen en una actividad que realizan cotidianamente. ¿Cuál es el motivo que la impulsa? ¿Qué acciones concretas realizan para llevarla a cabo? ¿Cómo se relaciona esa actividad con su formación como pedagogos-psicólogos?</w:t>
      </w:r>
    </w:p>
    <w:p w14:paraId="50D195A5"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i/>
          <w:iCs/>
          <w:color w:val="0F1115"/>
          <w:sz w:val="24"/>
          <w:szCs w:val="24"/>
          <w:lang w:eastAsia="es-MX"/>
        </w:rPr>
        <w:t>(Se orienta el debate hacia la identificación de la estructura jerárquica de la actividad y su relación con la personalidad).</w:t>
      </w:r>
    </w:p>
    <w:p w14:paraId="1366C51E" w14:textId="77777777" w:rsidR="00A60186" w:rsidRPr="00A60186" w:rsidRDefault="00A60186" w:rsidP="00A60186">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60186">
        <w:rPr>
          <w:rFonts w:ascii="Segoe UI" w:eastAsia="Times New Roman" w:hAnsi="Segoe UI" w:cs="Segoe UI"/>
          <w:b/>
          <w:bCs/>
          <w:color w:val="0F1115"/>
          <w:sz w:val="30"/>
          <w:szCs w:val="30"/>
          <w:lang w:eastAsia="es-MX"/>
        </w:rPr>
        <w:t>6. La zona de desarrollo próximo (5 minutos)</w:t>
      </w:r>
    </w:p>
    <w:p w14:paraId="68A4D222"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proofErr w:type="spellStart"/>
      <w:r w:rsidRPr="00A60186">
        <w:rPr>
          <w:rFonts w:ascii="Segoe UI" w:eastAsia="Times New Roman" w:hAnsi="Segoe UI" w:cs="Segoe UI"/>
          <w:color w:val="0F1115"/>
          <w:sz w:val="24"/>
          <w:szCs w:val="24"/>
          <w:lang w:eastAsia="es-MX"/>
        </w:rPr>
        <w:t>Vigotsky</w:t>
      </w:r>
      <w:proofErr w:type="spellEnd"/>
      <w:r w:rsidRPr="00A60186">
        <w:rPr>
          <w:rFonts w:ascii="Segoe UI" w:eastAsia="Times New Roman" w:hAnsi="Segoe UI" w:cs="Segoe UI"/>
          <w:color w:val="0F1115"/>
          <w:sz w:val="24"/>
          <w:szCs w:val="24"/>
          <w:lang w:eastAsia="es-MX"/>
        </w:rPr>
        <w:t xml:space="preserve"> definió la </w:t>
      </w:r>
      <w:r w:rsidRPr="00A60186">
        <w:rPr>
          <w:rFonts w:ascii="Segoe UI" w:eastAsia="Times New Roman" w:hAnsi="Segoe UI" w:cs="Segoe UI"/>
          <w:b/>
          <w:bCs/>
          <w:color w:val="0F1115"/>
          <w:sz w:val="24"/>
          <w:szCs w:val="24"/>
          <w:lang w:eastAsia="es-MX"/>
        </w:rPr>
        <w:t>zona de desarrollo próximo (ZDP)</w:t>
      </w:r>
      <w:r w:rsidRPr="00A60186">
        <w:rPr>
          <w:rFonts w:ascii="Segoe UI" w:eastAsia="Times New Roman" w:hAnsi="Segoe UI" w:cs="Segoe UI"/>
          <w:color w:val="0F1115"/>
          <w:sz w:val="24"/>
          <w:szCs w:val="24"/>
          <w:lang w:eastAsia="es-MX"/>
        </w:rPr>
        <w:t> como "la distancia entre el nivel de desarrollo real del niño, tal y como puede ser determinado a partir de la resolución independiente de problemas, y el nivel más elevado de desarrollo potencial, tal y como es determinado por la resolución de problemas bajo la guía del adulto o en colaboración con sus iguales más capacitados".</w:t>
      </w:r>
    </w:p>
    <w:p w14:paraId="161E5213"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La ZDP caracteriza el desarrollo </w:t>
      </w:r>
      <w:r w:rsidRPr="00A60186">
        <w:rPr>
          <w:rFonts w:ascii="Segoe UI" w:eastAsia="Times New Roman" w:hAnsi="Segoe UI" w:cs="Segoe UI"/>
          <w:b/>
          <w:bCs/>
          <w:color w:val="0F1115"/>
          <w:sz w:val="24"/>
          <w:szCs w:val="24"/>
          <w:lang w:eastAsia="es-MX"/>
        </w:rPr>
        <w:t>prospectivamente</w:t>
      </w:r>
      <w:r w:rsidRPr="00A60186">
        <w:rPr>
          <w:rFonts w:ascii="Segoe UI" w:eastAsia="Times New Roman" w:hAnsi="Segoe UI" w:cs="Segoe UI"/>
          <w:color w:val="0F1115"/>
          <w:sz w:val="24"/>
          <w:szCs w:val="24"/>
          <w:lang w:eastAsia="es-MX"/>
        </w:rPr>
        <w:t>, es decir, define aquellas funciones que todavía no han madurado pero que se hallan en proceso de maduración. No se limita a lo que el estudiante ya sabe hacer solo, sino a lo que puede llegar a hacer con ayuda.</w:t>
      </w:r>
    </w:p>
    <w:p w14:paraId="243F4FB6"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Este concepto tiene una importancia enorme para la educación. El maestro no es un simple transmisor de conocimientos, sino un </w:t>
      </w:r>
      <w:r w:rsidRPr="00A60186">
        <w:rPr>
          <w:rFonts w:ascii="Segoe UI" w:eastAsia="Times New Roman" w:hAnsi="Segoe UI" w:cs="Segoe UI"/>
          <w:b/>
          <w:bCs/>
          <w:color w:val="0F1115"/>
          <w:sz w:val="24"/>
          <w:szCs w:val="24"/>
          <w:lang w:eastAsia="es-MX"/>
        </w:rPr>
        <w:t>mediador</w:t>
      </w:r>
      <w:r w:rsidRPr="00A60186">
        <w:rPr>
          <w:rFonts w:ascii="Segoe UI" w:eastAsia="Times New Roman" w:hAnsi="Segoe UI" w:cs="Segoe UI"/>
          <w:color w:val="0F1115"/>
          <w:sz w:val="24"/>
          <w:szCs w:val="24"/>
          <w:lang w:eastAsia="es-MX"/>
        </w:rPr>
        <w:t> que crea las condiciones para que el estudiante avance desde lo que ya sabe hacia lo que puede aprender. La enseñanza debe orientarse no hacia el desarrollo ya alcanzado, sino hacia el desarrollo potencial.</w:t>
      </w:r>
    </w:p>
    <w:p w14:paraId="2BE1C46C"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Pregunta para debatir:</w:t>
      </w:r>
      <w:r w:rsidRPr="00A60186">
        <w:rPr>
          <w:rFonts w:ascii="Segoe UI" w:eastAsia="Times New Roman" w:hAnsi="Segoe UI" w:cs="Segoe UI"/>
          <w:color w:val="0F1115"/>
          <w:sz w:val="24"/>
          <w:szCs w:val="24"/>
          <w:lang w:eastAsia="es-MX"/>
        </w:rPr>
        <w:br/>
        <w:t xml:space="preserve">¿Cómo puede un docente identificar la zona de desarrollo próximo de sus </w:t>
      </w:r>
      <w:r w:rsidRPr="00A60186">
        <w:rPr>
          <w:rFonts w:ascii="Segoe UI" w:eastAsia="Times New Roman" w:hAnsi="Segoe UI" w:cs="Segoe UI"/>
          <w:color w:val="0F1115"/>
          <w:sz w:val="24"/>
          <w:szCs w:val="24"/>
          <w:lang w:eastAsia="es-MX"/>
        </w:rPr>
        <w:lastRenderedPageBreak/>
        <w:t>estudiantes? ¿Qué implicaciones tiene esto para el diseño de las actividades de aprendizaje?</w:t>
      </w:r>
    </w:p>
    <w:p w14:paraId="0F392BC5"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i/>
          <w:iCs/>
          <w:color w:val="0F1115"/>
          <w:sz w:val="24"/>
          <w:szCs w:val="24"/>
          <w:lang w:eastAsia="es-MX"/>
        </w:rPr>
        <w:t>(Se orienta el debate hacia la identificación de que la ZDP exige diagnosticar no solo lo que el estudiante sabe, sino lo que puede llegar a saber con mediación).</w:t>
      </w:r>
    </w:p>
    <w:p w14:paraId="1F50D173" w14:textId="77777777" w:rsidR="00A60186" w:rsidRPr="00A60186" w:rsidRDefault="00A60186" w:rsidP="00A60186">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60186">
        <w:rPr>
          <w:rFonts w:ascii="Segoe UI" w:eastAsia="Times New Roman" w:hAnsi="Segoe UI" w:cs="Segoe UI"/>
          <w:b/>
          <w:bCs/>
          <w:color w:val="0F1115"/>
          <w:sz w:val="30"/>
          <w:szCs w:val="30"/>
          <w:lang w:eastAsia="es-MX"/>
        </w:rPr>
        <w:t>7. La subjetividad y la personalidad en el EHC (5 minutos)</w:t>
      </w:r>
    </w:p>
    <w:p w14:paraId="7A7FFB0C"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En el contexto cubano, </w:t>
      </w:r>
      <w:r w:rsidRPr="00A60186">
        <w:rPr>
          <w:rFonts w:ascii="Segoe UI" w:eastAsia="Times New Roman" w:hAnsi="Segoe UI" w:cs="Segoe UI"/>
          <w:b/>
          <w:bCs/>
          <w:color w:val="0F1115"/>
          <w:sz w:val="24"/>
          <w:szCs w:val="24"/>
          <w:lang w:eastAsia="es-MX"/>
        </w:rPr>
        <w:t>Fernando González Rey</w:t>
      </w:r>
      <w:r w:rsidRPr="00A60186">
        <w:rPr>
          <w:rFonts w:ascii="Segoe UI" w:eastAsia="Times New Roman" w:hAnsi="Segoe UI" w:cs="Segoe UI"/>
          <w:color w:val="0F1115"/>
          <w:sz w:val="24"/>
          <w:szCs w:val="24"/>
          <w:lang w:eastAsia="es-MX"/>
        </w:rPr>
        <w:t> desarrolló la </w:t>
      </w:r>
      <w:r w:rsidRPr="00A60186">
        <w:rPr>
          <w:rFonts w:ascii="Segoe UI" w:eastAsia="Times New Roman" w:hAnsi="Segoe UI" w:cs="Segoe UI"/>
          <w:b/>
          <w:bCs/>
          <w:color w:val="0F1115"/>
          <w:sz w:val="24"/>
          <w:szCs w:val="24"/>
          <w:lang w:eastAsia="es-MX"/>
        </w:rPr>
        <w:t>Teoría de la Subjetividad</w:t>
      </w:r>
      <w:r w:rsidRPr="00A60186">
        <w:rPr>
          <w:rFonts w:ascii="Segoe UI" w:eastAsia="Times New Roman" w:hAnsi="Segoe UI" w:cs="Segoe UI"/>
          <w:color w:val="0F1115"/>
          <w:sz w:val="24"/>
          <w:szCs w:val="24"/>
          <w:lang w:eastAsia="es-MX"/>
        </w:rPr>
        <w:t xml:space="preserve"> a partir del legado de </w:t>
      </w:r>
      <w:proofErr w:type="spellStart"/>
      <w:r w:rsidRPr="00A60186">
        <w:rPr>
          <w:rFonts w:ascii="Segoe UI" w:eastAsia="Times New Roman" w:hAnsi="Segoe UI" w:cs="Segoe UI"/>
          <w:color w:val="0F1115"/>
          <w:sz w:val="24"/>
          <w:szCs w:val="24"/>
          <w:lang w:eastAsia="es-MX"/>
        </w:rPr>
        <w:t>Vigotsky</w:t>
      </w:r>
      <w:proofErr w:type="spellEnd"/>
      <w:r w:rsidRPr="00A60186">
        <w:rPr>
          <w:rFonts w:ascii="Segoe UI" w:eastAsia="Times New Roman" w:hAnsi="Segoe UI" w:cs="Segoe UI"/>
          <w:color w:val="0F1115"/>
          <w:sz w:val="24"/>
          <w:szCs w:val="24"/>
          <w:lang w:eastAsia="es-MX"/>
        </w:rPr>
        <w:t>. Según este autor, la personalidad es una </w:t>
      </w:r>
      <w:r w:rsidRPr="00A60186">
        <w:rPr>
          <w:rFonts w:ascii="Segoe UI" w:eastAsia="Times New Roman" w:hAnsi="Segoe UI" w:cs="Segoe UI"/>
          <w:b/>
          <w:bCs/>
          <w:color w:val="0F1115"/>
          <w:sz w:val="24"/>
          <w:szCs w:val="24"/>
          <w:lang w:eastAsia="es-MX"/>
        </w:rPr>
        <w:t>organización de la subjetividad individual</w:t>
      </w:r>
      <w:r w:rsidRPr="00A60186">
        <w:rPr>
          <w:rFonts w:ascii="Segoe UI" w:eastAsia="Times New Roman" w:hAnsi="Segoe UI" w:cs="Segoe UI"/>
          <w:color w:val="0F1115"/>
          <w:sz w:val="24"/>
          <w:szCs w:val="24"/>
          <w:lang w:eastAsia="es-MX"/>
        </w:rPr>
        <w:t>, como organización del sujeto que está procesual, histórica y socialmente configurado.</w:t>
      </w:r>
    </w:p>
    <w:p w14:paraId="1ACEE623"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González Rey introdujo los conceptos de </w:t>
      </w:r>
      <w:r w:rsidRPr="00A60186">
        <w:rPr>
          <w:rFonts w:ascii="Segoe UI" w:eastAsia="Times New Roman" w:hAnsi="Segoe UI" w:cs="Segoe UI"/>
          <w:b/>
          <w:bCs/>
          <w:color w:val="0F1115"/>
          <w:sz w:val="24"/>
          <w:szCs w:val="24"/>
          <w:lang w:eastAsia="es-MX"/>
        </w:rPr>
        <w:t>sentido subjetivo</w:t>
      </w:r>
      <w:r w:rsidRPr="00A60186">
        <w:rPr>
          <w:rFonts w:ascii="Segoe UI" w:eastAsia="Times New Roman" w:hAnsi="Segoe UI" w:cs="Segoe UI"/>
          <w:color w:val="0F1115"/>
          <w:sz w:val="24"/>
          <w:szCs w:val="24"/>
          <w:lang w:eastAsia="es-MX"/>
        </w:rPr>
        <w:t> y </w:t>
      </w:r>
      <w:r w:rsidRPr="00A60186">
        <w:rPr>
          <w:rFonts w:ascii="Segoe UI" w:eastAsia="Times New Roman" w:hAnsi="Segoe UI" w:cs="Segoe UI"/>
          <w:b/>
          <w:bCs/>
          <w:color w:val="0F1115"/>
          <w:sz w:val="24"/>
          <w:szCs w:val="24"/>
          <w:lang w:eastAsia="es-MX"/>
        </w:rPr>
        <w:t>configuración subjetiva</w:t>
      </w:r>
      <w:r w:rsidRPr="00A60186">
        <w:rPr>
          <w:rFonts w:ascii="Segoe UI" w:eastAsia="Times New Roman" w:hAnsi="Segoe UI" w:cs="Segoe UI"/>
          <w:color w:val="0F1115"/>
          <w:sz w:val="24"/>
          <w:szCs w:val="24"/>
          <w:lang w:eastAsia="es-MX"/>
        </w:rPr>
        <w:t>:</w:t>
      </w:r>
    </w:p>
    <w:p w14:paraId="0E5F7A0D" w14:textId="77777777" w:rsidR="00A60186" w:rsidRPr="00A60186" w:rsidRDefault="00A60186" w:rsidP="00A60186">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Sentido subjetivo:</w:t>
      </w:r>
      <w:r w:rsidRPr="00A60186">
        <w:rPr>
          <w:rFonts w:ascii="Segoe UI" w:eastAsia="Times New Roman" w:hAnsi="Segoe UI" w:cs="Segoe UI"/>
          <w:color w:val="0F1115"/>
          <w:sz w:val="24"/>
          <w:szCs w:val="24"/>
          <w:lang w:eastAsia="es-MX"/>
        </w:rPr>
        <w:t> Es la unidad de lo simbólico y lo emocional en la experiencia del sujeto.</w:t>
      </w:r>
    </w:p>
    <w:p w14:paraId="7FD9F413" w14:textId="77777777" w:rsidR="00A60186" w:rsidRPr="00A60186" w:rsidRDefault="00A60186" w:rsidP="00A60186">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Configuración subjetiva:</w:t>
      </w:r>
      <w:r w:rsidRPr="00A60186">
        <w:rPr>
          <w:rFonts w:ascii="Segoe UI" w:eastAsia="Times New Roman" w:hAnsi="Segoe UI" w:cs="Segoe UI"/>
          <w:color w:val="0F1115"/>
          <w:sz w:val="24"/>
          <w:szCs w:val="24"/>
          <w:lang w:eastAsia="es-MX"/>
        </w:rPr>
        <w:t> Es "una organización relativamente estable de sentidos subjetivos que definen procesos simbólicos relacionados a las experiencias del sujeto con un evento, actividad o producción social determinada".</w:t>
      </w:r>
    </w:p>
    <w:p w14:paraId="6775754F"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Las configuraciones subjetivas se organizan a partir de la historia individual del sujeto y definen las maneras concretas de experiencia dentro de los espacios simbólicos de la cultura. La personalidad, entonces, no es un conjunto de rasgos fijos, sino un </w:t>
      </w:r>
      <w:r w:rsidRPr="00A60186">
        <w:rPr>
          <w:rFonts w:ascii="Segoe UI" w:eastAsia="Times New Roman" w:hAnsi="Segoe UI" w:cs="Segoe UI"/>
          <w:b/>
          <w:bCs/>
          <w:color w:val="0F1115"/>
          <w:sz w:val="24"/>
          <w:szCs w:val="24"/>
          <w:lang w:eastAsia="es-MX"/>
        </w:rPr>
        <w:t>sistema en permanente configuración</w:t>
      </w:r>
      <w:r w:rsidRPr="00A60186">
        <w:rPr>
          <w:rFonts w:ascii="Segoe UI" w:eastAsia="Times New Roman" w:hAnsi="Segoe UI" w:cs="Segoe UI"/>
          <w:color w:val="0F1115"/>
          <w:sz w:val="24"/>
          <w:szCs w:val="24"/>
          <w:lang w:eastAsia="es-MX"/>
        </w:rPr>
        <w:t>, que se reconfigura ante las exigencias de la vida social.</w:t>
      </w:r>
    </w:p>
    <w:p w14:paraId="20225402"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Pregunta para debatir:</w:t>
      </w:r>
      <w:r w:rsidRPr="00A60186">
        <w:rPr>
          <w:rFonts w:ascii="Segoe UI" w:eastAsia="Times New Roman" w:hAnsi="Segoe UI" w:cs="Segoe UI"/>
          <w:color w:val="0F1115"/>
          <w:sz w:val="24"/>
          <w:szCs w:val="24"/>
          <w:lang w:eastAsia="es-MX"/>
        </w:rPr>
        <w:br/>
        <w:t>¿Cómo se relaciona la concepción de la personalidad como configuración subjetiva con la idea de que la personalidad se forma en la actividad y la comunicación?</w:t>
      </w:r>
    </w:p>
    <w:p w14:paraId="5FFD9150"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i/>
          <w:iCs/>
          <w:color w:val="0F1115"/>
          <w:sz w:val="24"/>
          <w:szCs w:val="24"/>
          <w:lang w:eastAsia="es-MX"/>
        </w:rPr>
        <w:t>(Se orienta el debate hacia la comprensión de que las configuraciones subjetivas se producen en la acción y las relaciones sociales, y que la personalidad es un sistema abierto y en desarrollo).</w:t>
      </w:r>
    </w:p>
    <w:p w14:paraId="1DBC99EF" w14:textId="77777777" w:rsidR="00A60186" w:rsidRPr="00A60186" w:rsidRDefault="00A60186" w:rsidP="00A60186">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A60186">
        <w:rPr>
          <w:rFonts w:ascii="Segoe UI" w:eastAsia="Times New Roman" w:hAnsi="Segoe UI" w:cs="Segoe UI"/>
          <w:b/>
          <w:bCs/>
          <w:color w:val="0F1115"/>
          <w:sz w:val="33"/>
          <w:szCs w:val="33"/>
          <w:lang w:eastAsia="es-MX"/>
        </w:rPr>
        <w:t>CONCLUSIONES Y SÍNTESIS (10 minutos)</w:t>
      </w:r>
    </w:p>
    <w:p w14:paraId="676A2091"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lastRenderedPageBreak/>
        <w:t>Hemos recorrido los postulados fundamentales del Enfoque Histórico-Cultural. Recapitulemos:</w:t>
      </w:r>
    </w:p>
    <w:p w14:paraId="6D704419" w14:textId="77777777" w:rsidR="00A60186" w:rsidRPr="00A60186" w:rsidRDefault="00A60186" w:rsidP="00A60186">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La naturaleza social de lo psíquico:</w:t>
      </w:r>
      <w:r w:rsidRPr="00A60186">
        <w:rPr>
          <w:rFonts w:ascii="Segoe UI" w:eastAsia="Times New Roman" w:hAnsi="Segoe UI" w:cs="Segoe UI"/>
          <w:color w:val="0F1115"/>
          <w:sz w:val="24"/>
          <w:szCs w:val="24"/>
          <w:lang w:eastAsia="es-MX"/>
        </w:rPr>
        <w:t> La personalidad se forma en la actividad y la comunicación, a través de la interiorización de la experiencia social.</w:t>
      </w:r>
    </w:p>
    <w:p w14:paraId="06F162BB" w14:textId="77777777" w:rsidR="00A60186" w:rsidRPr="00A60186" w:rsidRDefault="00A60186" w:rsidP="00A60186">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La ley de la doble formación:</w:t>
      </w:r>
      <w:r w:rsidRPr="00A60186">
        <w:rPr>
          <w:rFonts w:ascii="Segoe UI" w:eastAsia="Times New Roman" w:hAnsi="Segoe UI" w:cs="Segoe UI"/>
          <w:color w:val="0F1115"/>
          <w:sz w:val="24"/>
          <w:szCs w:val="24"/>
          <w:lang w:eastAsia="es-MX"/>
        </w:rPr>
        <w:t> Toda función psicológica superior aparece primero en el plano interpsicológico (social) y luego en el intrapsicológico (individual).</w:t>
      </w:r>
    </w:p>
    <w:p w14:paraId="756545EB" w14:textId="77777777" w:rsidR="00A60186" w:rsidRPr="00A60186" w:rsidRDefault="00A60186" w:rsidP="00A60186">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La mediación cultural:</w:t>
      </w:r>
      <w:r w:rsidRPr="00A60186">
        <w:rPr>
          <w:rFonts w:ascii="Segoe UI" w:eastAsia="Times New Roman" w:hAnsi="Segoe UI" w:cs="Segoe UI"/>
          <w:color w:val="0F1115"/>
          <w:sz w:val="24"/>
          <w:szCs w:val="24"/>
          <w:lang w:eastAsia="es-MX"/>
        </w:rPr>
        <w:t> Las herramientas y los signos median la relación del sujeto con el mundo y consigo mismo. El lenguaje es el sistema de signos más importante.</w:t>
      </w:r>
    </w:p>
    <w:p w14:paraId="49384C18" w14:textId="77777777" w:rsidR="00A60186" w:rsidRPr="00A60186" w:rsidRDefault="00A60186" w:rsidP="00A60186">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La unidad de lo cognitivo y lo afectivo:</w:t>
      </w:r>
      <w:r w:rsidRPr="00A60186">
        <w:rPr>
          <w:rFonts w:ascii="Segoe UI" w:eastAsia="Times New Roman" w:hAnsi="Segoe UI" w:cs="Segoe UI"/>
          <w:color w:val="0F1115"/>
          <w:sz w:val="24"/>
          <w:szCs w:val="24"/>
          <w:lang w:eastAsia="es-MX"/>
        </w:rPr>
        <w:t> No podemos escindir el pensamiento de las emociones; constituyen una unidad en el funcionamiento de la personalidad.</w:t>
      </w:r>
    </w:p>
    <w:p w14:paraId="0FCC1B26" w14:textId="77777777" w:rsidR="00A60186" w:rsidRPr="00A60186" w:rsidRDefault="00A60186" w:rsidP="00A60186">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La teoría de la actividad:</w:t>
      </w:r>
      <w:r w:rsidRPr="00A60186">
        <w:rPr>
          <w:rFonts w:ascii="Segoe UI" w:eastAsia="Times New Roman" w:hAnsi="Segoe UI" w:cs="Segoe UI"/>
          <w:color w:val="0F1115"/>
          <w:sz w:val="24"/>
          <w:szCs w:val="24"/>
          <w:lang w:eastAsia="es-MX"/>
        </w:rPr>
        <w:t> La personalidad se forma en la actividad, que tiene una estructura jerárquica (actividad, acciones, operaciones) definida por los motivos.</w:t>
      </w:r>
    </w:p>
    <w:p w14:paraId="243A3FE5" w14:textId="77777777" w:rsidR="00A60186" w:rsidRPr="00A60186" w:rsidRDefault="00A60186" w:rsidP="00A60186">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La zona de desarrollo próximo:</w:t>
      </w:r>
      <w:r w:rsidRPr="00A60186">
        <w:rPr>
          <w:rFonts w:ascii="Segoe UI" w:eastAsia="Times New Roman" w:hAnsi="Segoe UI" w:cs="Segoe UI"/>
          <w:color w:val="0F1115"/>
          <w:sz w:val="24"/>
          <w:szCs w:val="24"/>
          <w:lang w:eastAsia="es-MX"/>
        </w:rPr>
        <w:t> La enseñanza debe orientarse hacia lo que el estudiante puede llegar a hacer con ayuda, no solo hacia lo que ya hace solo.</w:t>
      </w:r>
    </w:p>
    <w:p w14:paraId="69B20BC8" w14:textId="77777777" w:rsidR="00A60186" w:rsidRPr="00A60186" w:rsidRDefault="00A60186" w:rsidP="00A60186">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La subjetividad:</w:t>
      </w:r>
      <w:r w:rsidRPr="00A60186">
        <w:rPr>
          <w:rFonts w:ascii="Segoe UI" w:eastAsia="Times New Roman" w:hAnsi="Segoe UI" w:cs="Segoe UI"/>
          <w:color w:val="0F1115"/>
          <w:sz w:val="24"/>
          <w:szCs w:val="24"/>
          <w:lang w:eastAsia="es-MX"/>
        </w:rPr>
        <w:t> La personalidad es una configuración de sentidos subjetivos que se organiza procesual, histórica y socialmente.</w:t>
      </w:r>
    </w:p>
    <w:p w14:paraId="6E7ADE75"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Idea central para recordar:</w:t>
      </w:r>
      <w:r w:rsidRPr="00A60186">
        <w:rPr>
          <w:rFonts w:ascii="Segoe UI" w:eastAsia="Times New Roman" w:hAnsi="Segoe UI" w:cs="Segoe UI"/>
          <w:color w:val="0F1115"/>
          <w:sz w:val="24"/>
          <w:szCs w:val="24"/>
          <w:lang w:eastAsia="es-MX"/>
        </w:rPr>
        <w:br/>
        <w:t>El Enfoque Histórico-Cultural nos ofrece una concepción </w:t>
      </w:r>
      <w:r w:rsidRPr="00A60186">
        <w:rPr>
          <w:rFonts w:ascii="Segoe UI" w:eastAsia="Times New Roman" w:hAnsi="Segoe UI" w:cs="Segoe UI"/>
          <w:b/>
          <w:bCs/>
          <w:color w:val="0F1115"/>
          <w:sz w:val="24"/>
          <w:szCs w:val="24"/>
          <w:lang w:eastAsia="es-MX"/>
        </w:rPr>
        <w:t>integral, activa y social</w:t>
      </w:r>
      <w:r w:rsidRPr="00A60186">
        <w:rPr>
          <w:rFonts w:ascii="Segoe UI" w:eastAsia="Times New Roman" w:hAnsi="Segoe UI" w:cs="Segoe UI"/>
          <w:color w:val="0F1115"/>
          <w:sz w:val="24"/>
          <w:szCs w:val="24"/>
          <w:lang w:eastAsia="es-MX"/>
        </w:rPr>
        <w:t> de la personalidad. Supera el biologicismo del Psicoanálisis y el ambientalismo extremo del Conductismo, y nos proporciona fundamentos teórico-metodológicos sólidos para la labor del pedagogo-psicólogo.</w:t>
      </w:r>
    </w:p>
    <w:p w14:paraId="7AB5106F"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Pregunta final para reflexionar:</w:t>
      </w:r>
      <w:r w:rsidRPr="00A60186">
        <w:rPr>
          <w:rFonts w:ascii="Segoe UI" w:eastAsia="Times New Roman" w:hAnsi="Segoe UI" w:cs="Segoe UI"/>
          <w:color w:val="0F1115"/>
          <w:sz w:val="24"/>
          <w:szCs w:val="24"/>
          <w:lang w:eastAsia="es-MX"/>
        </w:rPr>
        <w:br/>
        <w:t>¿Por qué el Enfoque Histórico-Cultural es el referente teórico más adecuado para la labor del pedagogo-psicólogo en el contexto cubano actual?</w:t>
      </w:r>
    </w:p>
    <w:p w14:paraId="0F445BC0"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i/>
          <w:iCs/>
          <w:color w:val="0F1115"/>
          <w:sz w:val="24"/>
          <w:szCs w:val="24"/>
          <w:lang w:eastAsia="es-MX"/>
        </w:rPr>
        <w:t>(Se orienta la respuesta hacia la capacidad del EHC para comprender la singularidad de cada educando, seleccionar métodos de diagnóstico pertinentes, diseñar estrategias de intervención y asumir una posición crítica ante enfoques reduccionistas).</w:t>
      </w:r>
    </w:p>
    <w:p w14:paraId="4C809E1B" w14:textId="77777777" w:rsidR="00A60186" w:rsidRPr="00A60186" w:rsidRDefault="00A60186" w:rsidP="00A60186">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A60186">
        <w:rPr>
          <w:rFonts w:ascii="Segoe UI" w:eastAsia="Times New Roman" w:hAnsi="Segoe UI" w:cs="Segoe UI"/>
          <w:b/>
          <w:bCs/>
          <w:color w:val="0F1115"/>
          <w:sz w:val="33"/>
          <w:szCs w:val="33"/>
          <w:lang w:eastAsia="es-MX"/>
        </w:rPr>
        <w:lastRenderedPageBreak/>
        <w:t>ORIENTACIÓN AL TRABAJO INDEPENDIENTE (5 minutos)</w:t>
      </w:r>
    </w:p>
    <w:p w14:paraId="7D3E44FA"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Para la próxima conferencia, les orientaré las siguientes tareas:</w:t>
      </w:r>
    </w:p>
    <w:p w14:paraId="58E91C7C"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Tarea 1:</w:t>
      </w:r>
      <w:r w:rsidRPr="00A60186">
        <w:rPr>
          <w:rFonts w:ascii="Segoe UI" w:eastAsia="Times New Roman" w:hAnsi="Segoe UI" w:cs="Segoe UI"/>
          <w:color w:val="0F1115"/>
          <w:sz w:val="24"/>
          <w:szCs w:val="24"/>
          <w:lang w:eastAsia="es-MX"/>
        </w:rPr>
        <w:t> Elaboren un </w:t>
      </w:r>
      <w:r w:rsidRPr="00A60186">
        <w:rPr>
          <w:rFonts w:ascii="Segoe UI" w:eastAsia="Times New Roman" w:hAnsi="Segoe UI" w:cs="Segoe UI"/>
          <w:b/>
          <w:bCs/>
          <w:color w:val="0F1115"/>
          <w:sz w:val="24"/>
          <w:szCs w:val="24"/>
          <w:lang w:eastAsia="es-MX"/>
        </w:rPr>
        <w:t>mapa conceptual</w:t>
      </w:r>
      <w:r w:rsidRPr="00A60186">
        <w:rPr>
          <w:rFonts w:ascii="Segoe UI" w:eastAsia="Times New Roman" w:hAnsi="Segoe UI" w:cs="Segoe UI"/>
          <w:color w:val="0F1115"/>
          <w:sz w:val="24"/>
          <w:szCs w:val="24"/>
          <w:lang w:eastAsia="es-MX"/>
        </w:rPr>
        <w:t xml:space="preserve"> que represente los postulados esenciales del EHC, incluyendo: ley de doble formación, mediación cultural, unidad cognitivo-afectiva, teoría de la actividad, zona de desarrollo próximo y subjetividad. Consulten los textos de </w:t>
      </w:r>
      <w:proofErr w:type="spellStart"/>
      <w:r w:rsidRPr="00A60186">
        <w:rPr>
          <w:rFonts w:ascii="Segoe UI" w:eastAsia="Times New Roman" w:hAnsi="Segoe UI" w:cs="Segoe UI"/>
          <w:color w:val="0F1115"/>
          <w:sz w:val="24"/>
          <w:szCs w:val="24"/>
          <w:lang w:eastAsia="es-MX"/>
        </w:rPr>
        <w:t>Vigotsky</w:t>
      </w:r>
      <w:proofErr w:type="spellEnd"/>
      <w:r w:rsidRPr="00A60186">
        <w:rPr>
          <w:rFonts w:ascii="Segoe UI" w:eastAsia="Times New Roman" w:hAnsi="Segoe UI" w:cs="Segoe UI"/>
          <w:color w:val="0F1115"/>
          <w:sz w:val="24"/>
          <w:szCs w:val="24"/>
          <w:lang w:eastAsia="es-MX"/>
        </w:rPr>
        <w:t xml:space="preserve">, </w:t>
      </w:r>
      <w:proofErr w:type="spellStart"/>
      <w:r w:rsidRPr="00A60186">
        <w:rPr>
          <w:rFonts w:ascii="Segoe UI" w:eastAsia="Times New Roman" w:hAnsi="Segoe UI" w:cs="Segoe UI"/>
          <w:color w:val="0F1115"/>
          <w:sz w:val="24"/>
          <w:szCs w:val="24"/>
          <w:lang w:eastAsia="es-MX"/>
        </w:rPr>
        <w:t>Leontiev</w:t>
      </w:r>
      <w:proofErr w:type="spellEnd"/>
      <w:r w:rsidRPr="00A60186">
        <w:rPr>
          <w:rFonts w:ascii="Segoe UI" w:eastAsia="Times New Roman" w:hAnsi="Segoe UI" w:cs="Segoe UI"/>
          <w:color w:val="0F1115"/>
          <w:sz w:val="24"/>
          <w:szCs w:val="24"/>
          <w:lang w:eastAsia="es-MX"/>
        </w:rPr>
        <w:t xml:space="preserve"> y González Rey.</w:t>
      </w:r>
    </w:p>
    <w:p w14:paraId="01F6B005"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Tarea 2:</w:t>
      </w:r>
      <w:r w:rsidRPr="00A60186">
        <w:rPr>
          <w:rFonts w:ascii="Segoe UI" w:eastAsia="Times New Roman" w:hAnsi="Segoe UI" w:cs="Segoe UI"/>
          <w:color w:val="0F1115"/>
          <w:sz w:val="24"/>
          <w:szCs w:val="24"/>
          <w:lang w:eastAsia="es-MX"/>
        </w:rPr>
        <w:t> Analicen el siguiente caso y respondan las preguntas:</w:t>
      </w:r>
      <w:r w:rsidRPr="00A60186">
        <w:rPr>
          <w:rFonts w:ascii="Segoe UI" w:eastAsia="Times New Roman" w:hAnsi="Segoe UI" w:cs="Segoe UI"/>
          <w:color w:val="0F1115"/>
          <w:sz w:val="24"/>
          <w:szCs w:val="24"/>
          <w:lang w:eastAsia="es-MX"/>
        </w:rPr>
        <w:br/>
      </w:r>
      <w:r w:rsidRPr="00A60186">
        <w:rPr>
          <w:rFonts w:ascii="Segoe UI" w:eastAsia="Times New Roman" w:hAnsi="Segoe UI" w:cs="Segoe UI"/>
          <w:i/>
          <w:iCs/>
          <w:color w:val="0F1115"/>
          <w:sz w:val="24"/>
          <w:szCs w:val="24"/>
          <w:lang w:eastAsia="es-MX"/>
        </w:rPr>
        <w:t>Un estudiante de secundaria básica presenta dificultades para regular su conducta en el aula. Interrumpe constantemente, no respeta turnos y se enoja con facilidad. El docente ha intentado castigarlo, pero la conducta persiste.</w:t>
      </w:r>
    </w:p>
    <w:p w14:paraId="6FCB63AA" w14:textId="77777777" w:rsidR="00A60186" w:rsidRPr="00A60186" w:rsidRDefault="00A60186" w:rsidP="00A60186">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¿Cómo explicaría esta situación desde el EHC?</w:t>
      </w:r>
    </w:p>
    <w:p w14:paraId="68BB6546" w14:textId="77777777" w:rsidR="00A60186" w:rsidRPr="00A60186" w:rsidRDefault="00A60186" w:rsidP="00A60186">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¿Qué papel juega la regulación externa (del adulto) y la autorregulación en este caso?</w:t>
      </w:r>
    </w:p>
    <w:p w14:paraId="78290A37" w14:textId="77777777" w:rsidR="00A60186" w:rsidRPr="00A60186" w:rsidRDefault="00A60186" w:rsidP="00A60186">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¿Qué estrategias de intervención propondría desde los postulados del EHC?</w:t>
      </w:r>
    </w:p>
    <w:p w14:paraId="5979CD60"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Tarea 3:</w:t>
      </w:r>
      <w:r w:rsidRPr="00A60186">
        <w:rPr>
          <w:rFonts w:ascii="Segoe UI" w:eastAsia="Times New Roman" w:hAnsi="Segoe UI" w:cs="Segoe UI"/>
          <w:color w:val="0F1115"/>
          <w:sz w:val="24"/>
          <w:szCs w:val="24"/>
          <w:lang w:eastAsia="es-MX"/>
        </w:rPr>
        <w:t> Preparen una </w:t>
      </w:r>
      <w:r w:rsidRPr="00A60186">
        <w:rPr>
          <w:rFonts w:ascii="Segoe UI" w:eastAsia="Times New Roman" w:hAnsi="Segoe UI" w:cs="Segoe UI"/>
          <w:b/>
          <w:bCs/>
          <w:color w:val="0F1115"/>
          <w:sz w:val="24"/>
          <w:szCs w:val="24"/>
          <w:lang w:eastAsia="es-MX"/>
        </w:rPr>
        <w:t>intervención oral breve</w:t>
      </w:r>
      <w:r w:rsidRPr="00A60186">
        <w:rPr>
          <w:rFonts w:ascii="Segoe UI" w:eastAsia="Times New Roman" w:hAnsi="Segoe UI" w:cs="Segoe UI"/>
          <w:color w:val="0F1115"/>
          <w:sz w:val="24"/>
          <w:szCs w:val="24"/>
          <w:lang w:eastAsia="es-MX"/>
        </w:rPr>
        <w:t> (5 minutos) fundamentando por qué el EHC constituye el referente teórico-metodológico más adecuado para la labor del pedagogo-psicólogo en el contexto cubano actual. Se evaluará la capacidad de argumentación y la coherencia teórica.</w:t>
      </w:r>
    </w:p>
    <w:p w14:paraId="30C8BD35"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Estas tareas serán discutidas en la próxima conferencia y formarán parte de la evaluación frecuente del tema.</w:t>
      </w:r>
    </w:p>
    <w:p w14:paraId="200F7239" w14:textId="77777777" w:rsidR="00A60186" w:rsidRPr="00A60186" w:rsidRDefault="00A60186" w:rsidP="00A60186">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A60186">
        <w:rPr>
          <w:rFonts w:ascii="Segoe UI" w:eastAsia="Times New Roman" w:hAnsi="Segoe UI" w:cs="Segoe UI"/>
          <w:b/>
          <w:bCs/>
          <w:color w:val="0F1115"/>
          <w:sz w:val="33"/>
          <w:szCs w:val="33"/>
          <w:lang w:eastAsia="es-MX"/>
        </w:rPr>
        <w:t>EVALUACIÓN FRECUENTE (5 minutos)</w:t>
      </w:r>
    </w:p>
    <w:p w14:paraId="0B9DB1A1"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Para finalizar, les aplicaré una </w:t>
      </w:r>
      <w:r w:rsidRPr="00A60186">
        <w:rPr>
          <w:rFonts w:ascii="Segoe UI" w:eastAsia="Times New Roman" w:hAnsi="Segoe UI" w:cs="Segoe UI"/>
          <w:b/>
          <w:bCs/>
          <w:color w:val="0F1115"/>
          <w:sz w:val="24"/>
          <w:szCs w:val="24"/>
          <w:lang w:eastAsia="es-MX"/>
        </w:rPr>
        <w:t>evaluación frecuente escrita</w:t>
      </w:r>
      <w:r w:rsidRPr="00A60186">
        <w:rPr>
          <w:rFonts w:ascii="Segoe UI" w:eastAsia="Times New Roman" w:hAnsi="Segoe UI" w:cs="Segoe UI"/>
          <w:color w:val="0F1115"/>
          <w:sz w:val="24"/>
          <w:szCs w:val="24"/>
          <w:lang w:eastAsia="es-MX"/>
        </w:rPr>
        <w:t> con las siguientes preguntas:</w:t>
      </w:r>
    </w:p>
    <w:p w14:paraId="3BB41474" w14:textId="77777777" w:rsidR="00A60186" w:rsidRPr="00A60186" w:rsidRDefault="00A60186" w:rsidP="00A60186">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Explique la ley de la doble formación y ejemplifíquela con una situación educativa. (2 puntos)</w:t>
      </w:r>
    </w:p>
    <w:p w14:paraId="06816B01" w14:textId="77777777" w:rsidR="00A60186" w:rsidRPr="00A60186" w:rsidRDefault="00A60186" w:rsidP="00A60186">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¿Qué relación existe entre la unidad de lo cognitivo y lo afectivo y el proceso de aprendizaje? (1.5 puntos)</w:t>
      </w:r>
    </w:p>
    <w:p w14:paraId="2DF2B611" w14:textId="77777777" w:rsidR="00A60186" w:rsidRPr="00A60186" w:rsidRDefault="00A60186" w:rsidP="00A60186">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Mencione dos aportes del Enfoque Histórico-Cultural al estudio de la personalidad. (1.5 puntos)</w:t>
      </w:r>
    </w:p>
    <w:p w14:paraId="533F8690"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lastRenderedPageBreak/>
        <w:t>Tienen 5 minutos para responder. Pueden consultar sus notas.</w:t>
      </w:r>
    </w:p>
    <w:p w14:paraId="471A1ABA" w14:textId="77777777" w:rsidR="00A60186" w:rsidRPr="00A60186" w:rsidRDefault="00A60186" w:rsidP="00A60186">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A60186">
        <w:rPr>
          <w:rFonts w:ascii="Segoe UI" w:eastAsia="Times New Roman" w:hAnsi="Segoe UI" w:cs="Segoe UI"/>
          <w:b/>
          <w:bCs/>
          <w:color w:val="0F1115"/>
          <w:sz w:val="33"/>
          <w:szCs w:val="33"/>
          <w:lang w:eastAsia="es-MX"/>
        </w:rPr>
        <w:t>BIBLIOGRAFÍA</w:t>
      </w:r>
    </w:p>
    <w:p w14:paraId="4F80384C"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Básica:</w:t>
      </w:r>
    </w:p>
    <w:p w14:paraId="04FC9694" w14:textId="77777777" w:rsidR="00A60186" w:rsidRPr="00A60186" w:rsidRDefault="00A60186" w:rsidP="00A60186">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González Rey, F. (2002). </w:t>
      </w:r>
      <w:r w:rsidRPr="00A60186">
        <w:rPr>
          <w:rFonts w:ascii="Segoe UI" w:eastAsia="Times New Roman" w:hAnsi="Segoe UI" w:cs="Segoe UI"/>
          <w:i/>
          <w:iCs/>
          <w:color w:val="0F1115"/>
          <w:sz w:val="24"/>
          <w:szCs w:val="24"/>
          <w:lang w:eastAsia="es-MX"/>
        </w:rPr>
        <w:t>Sujeto y subjetividad: una aproximación histórico-cultural</w:t>
      </w:r>
      <w:r w:rsidRPr="00A60186">
        <w:rPr>
          <w:rFonts w:ascii="Segoe UI" w:eastAsia="Times New Roman" w:hAnsi="Segoe UI" w:cs="Segoe UI"/>
          <w:color w:val="0F1115"/>
          <w:sz w:val="24"/>
          <w:szCs w:val="24"/>
          <w:lang w:eastAsia="es-MX"/>
        </w:rPr>
        <w:t>. Thomson.</w:t>
      </w:r>
    </w:p>
    <w:p w14:paraId="69294C82" w14:textId="77777777" w:rsidR="00A60186" w:rsidRPr="00A60186" w:rsidRDefault="00A60186" w:rsidP="00A60186">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proofErr w:type="spellStart"/>
      <w:r w:rsidRPr="00A60186">
        <w:rPr>
          <w:rFonts w:ascii="Segoe UI" w:eastAsia="Times New Roman" w:hAnsi="Segoe UI" w:cs="Segoe UI"/>
          <w:color w:val="0F1115"/>
          <w:sz w:val="24"/>
          <w:szCs w:val="24"/>
          <w:lang w:eastAsia="es-MX"/>
        </w:rPr>
        <w:t>Leontiev</w:t>
      </w:r>
      <w:proofErr w:type="spellEnd"/>
      <w:r w:rsidRPr="00A60186">
        <w:rPr>
          <w:rFonts w:ascii="Segoe UI" w:eastAsia="Times New Roman" w:hAnsi="Segoe UI" w:cs="Segoe UI"/>
          <w:color w:val="0F1115"/>
          <w:sz w:val="24"/>
          <w:szCs w:val="24"/>
          <w:lang w:eastAsia="es-MX"/>
        </w:rPr>
        <w:t>, A. N. (1981). </w:t>
      </w:r>
      <w:r w:rsidRPr="00A60186">
        <w:rPr>
          <w:rFonts w:ascii="Segoe UI" w:eastAsia="Times New Roman" w:hAnsi="Segoe UI" w:cs="Segoe UI"/>
          <w:i/>
          <w:iCs/>
          <w:color w:val="0F1115"/>
          <w:sz w:val="24"/>
          <w:szCs w:val="24"/>
          <w:lang w:eastAsia="es-MX"/>
        </w:rPr>
        <w:t>Actividad, conciencia y personalidad</w:t>
      </w:r>
      <w:r w:rsidRPr="00A60186">
        <w:rPr>
          <w:rFonts w:ascii="Segoe UI" w:eastAsia="Times New Roman" w:hAnsi="Segoe UI" w:cs="Segoe UI"/>
          <w:color w:val="0F1115"/>
          <w:sz w:val="24"/>
          <w:szCs w:val="24"/>
          <w:lang w:eastAsia="es-MX"/>
        </w:rPr>
        <w:t>. Editorial Pueblo y Educación.</w:t>
      </w:r>
    </w:p>
    <w:p w14:paraId="7068FF86" w14:textId="77777777" w:rsidR="00A60186" w:rsidRPr="00A60186" w:rsidRDefault="00A60186" w:rsidP="00A60186">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Moreno, M. J. (2003). </w:t>
      </w:r>
      <w:r w:rsidRPr="00A60186">
        <w:rPr>
          <w:rFonts w:ascii="Segoe UI" w:eastAsia="Times New Roman" w:hAnsi="Segoe UI" w:cs="Segoe UI"/>
          <w:i/>
          <w:iCs/>
          <w:color w:val="0F1115"/>
          <w:sz w:val="24"/>
          <w:szCs w:val="24"/>
          <w:lang w:eastAsia="es-MX"/>
        </w:rPr>
        <w:t>Psicología de la Personalidad. Selección de Lecturas</w:t>
      </w:r>
      <w:r w:rsidRPr="00A60186">
        <w:rPr>
          <w:rFonts w:ascii="Segoe UI" w:eastAsia="Times New Roman" w:hAnsi="Segoe UI" w:cs="Segoe UI"/>
          <w:color w:val="0F1115"/>
          <w:sz w:val="24"/>
          <w:szCs w:val="24"/>
          <w:lang w:eastAsia="es-MX"/>
        </w:rPr>
        <w:t>. Editorial Pueblo y Educación.</w:t>
      </w:r>
    </w:p>
    <w:p w14:paraId="071FB1E4" w14:textId="77777777" w:rsidR="00A60186" w:rsidRPr="00A60186" w:rsidRDefault="00A60186" w:rsidP="00A60186">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Segura, M. E. y otras (2005). </w:t>
      </w:r>
      <w:r w:rsidRPr="00A60186">
        <w:rPr>
          <w:rFonts w:ascii="Segoe UI" w:eastAsia="Times New Roman" w:hAnsi="Segoe UI" w:cs="Segoe UI"/>
          <w:i/>
          <w:iCs/>
          <w:color w:val="0F1115"/>
          <w:sz w:val="24"/>
          <w:szCs w:val="24"/>
          <w:lang w:eastAsia="es-MX"/>
        </w:rPr>
        <w:t>Teorías psicológicas y su influencia en la educación</w:t>
      </w:r>
      <w:r w:rsidRPr="00A60186">
        <w:rPr>
          <w:rFonts w:ascii="Segoe UI" w:eastAsia="Times New Roman" w:hAnsi="Segoe UI" w:cs="Segoe UI"/>
          <w:color w:val="0F1115"/>
          <w:sz w:val="24"/>
          <w:szCs w:val="24"/>
          <w:lang w:eastAsia="es-MX"/>
        </w:rPr>
        <w:t>. Editorial Pueblo y Educación.</w:t>
      </w:r>
    </w:p>
    <w:p w14:paraId="65F83531" w14:textId="77777777" w:rsidR="00A60186" w:rsidRPr="00A60186" w:rsidRDefault="00A60186" w:rsidP="00A60186">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proofErr w:type="spellStart"/>
      <w:r w:rsidRPr="00A60186">
        <w:rPr>
          <w:rFonts w:ascii="Segoe UI" w:eastAsia="Times New Roman" w:hAnsi="Segoe UI" w:cs="Segoe UI"/>
          <w:color w:val="0F1115"/>
          <w:sz w:val="24"/>
          <w:szCs w:val="24"/>
          <w:lang w:eastAsia="es-MX"/>
        </w:rPr>
        <w:t>Vigotsky</w:t>
      </w:r>
      <w:proofErr w:type="spellEnd"/>
      <w:r w:rsidRPr="00A60186">
        <w:rPr>
          <w:rFonts w:ascii="Segoe UI" w:eastAsia="Times New Roman" w:hAnsi="Segoe UI" w:cs="Segoe UI"/>
          <w:color w:val="0F1115"/>
          <w:sz w:val="24"/>
          <w:szCs w:val="24"/>
          <w:lang w:eastAsia="es-MX"/>
        </w:rPr>
        <w:t>, L. S. (1987). </w:t>
      </w:r>
      <w:r w:rsidRPr="00A60186">
        <w:rPr>
          <w:rFonts w:ascii="Segoe UI" w:eastAsia="Times New Roman" w:hAnsi="Segoe UI" w:cs="Segoe UI"/>
          <w:i/>
          <w:iCs/>
          <w:color w:val="0F1115"/>
          <w:sz w:val="24"/>
          <w:szCs w:val="24"/>
          <w:lang w:eastAsia="es-MX"/>
        </w:rPr>
        <w:t>Historia del desarrollo de las funciones psíquicas superiores</w:t>
      </w:r>
      <w:r w:rsidRPr="00A60186">
        <w:rPr>
          <w:rFonts w:ascii="Segoe UI" w:eastAsia="Times New Roman" w:hAnsi="Segoe UI" w:cs="Segoe UI"/>
          <w:color w:val="0F1115"/>
          <w:sz w:val="24"/>
          <w:szCs w:val="24"/>
          <w:lang w:eastAsia="es-MX"/>
        </w:rPr>
        <w:t>. Editorial Científico-Técnica.</w:t>
      </w:r>
    </w:p>
    <w:p w14:paraId="7E1D8FEF" w14:textId="77777777" w:rsidR="00A60186" w:rsidRPr="00A60186" w:rsidRDefault="00A60186" w:rsidP="00A60186">
      <w:pPr>
        <w:shd w:val="clear" w:color="auto" w:fill="FFFFFF"/>
        <w:spacing w:before="240" w:after="240"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Complementaria:</w:t>
      </w:r>
    </w:p>
    <w:p w14:paraId="4F27BCAF" w14:textId="77777777" w:rsidR="00A60186" w:rsidRPr="00A60186" w:rsidRDefault="00A60186" w:rsidP="00A60186">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proofErr w:type="spellStart"/>
      <w:r w:rsidRPr="00A60186">
        <w:rPr>
          <w:rFonts w:ascii="Segoe UI" w:eastAsia="Times New Roman" w:hAnsi="Segoe UI" w:cs="Segoe UI"/>
          <w:color w:val="0F1115"/>
          <w:sz w:val="24"/>
          <w:szCs w:val="24"/>
          <w:lang w:eastAsia="es-MX"/>
        </w:rPr>
        <w:t>Bozhovich</w:t>
      </w:r>
      <w:proofErr w:type="spellEnd"/>
      <w:r w:rsidRPr="00A60186">
        <w:rPr>
          <w:rFonts w:ascii="Segoe UI" w:eastAsia="Times New Roman" w:hAnsi="Segoe UI" w:cs="Segoe UI"/>
          <w:color w:val="0F1115"/>
          <w:sz w:val="24"/>
          <w:szCs w:val="24"/>
          <w:lang w:eastAsia="es-MX"/>
        </w:rPr>
        <w:t>, L. I. (1978). </w:t>
      </w:r>
      <w:r w:rsidRPr="00A60186">
        <w:rPr>
          <w:rFonts w:ascii="Segoe UI" w:eastAsia="Times New Roman" w:hAnsi="Segoe UI" w:cs="Segoe UI"/>
          <w:i/>
          <w:iCs/>
          <w:color w:val="0F1115"/>
          <w:sz w:val="24"/>
          <w:szCs w:val="24"/>
          <w:lang w:eastAsia="es-MX"/>
        </w:rPr>
        <w:t>La personalidad y su formación en la edad infantil</w:t>
      </w:r>
      <w:r w:rsidRPr="00A60186">
        <w:rPr>
          <w:rFonts w:ascii="Segoe UI" w:eastAsia="Times New Roman" w:hAnsi="Segoe UI" w:cs="Segoe UI"/>
          <w:color w:val="0F1115"/>
          <w:sz w:val="24"/>
          <w:szCs w:val="24"/>
          <w:lang w:eastAsia="es-MX"/>
        </w:rPr>
        <w:t>. Editorial Pueblo y Educación.</w:t>
      </w:r>
    </w:p>
    <w:p w14:paraId="427E5EF7" w14:textId="77777777" w:rsidR="00A60186" w:rsidRPr="00A60186" w:rsidRDefault="00A60186" w:rsidP="00A60186">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Domínguez, L. </w:t>
      </w:r>
      <w:r w:rsidRPr="00A60186">
        <w:rPr>
          <w:rFonts w:ascii="Segoe UI" w:eastAsia="Times New Roman" w:hAnsi="Segoe UI" w:cs="Segoe UI"/>
          <w:i/>
          <w:iCs/>
          <w:color w:val="0F1115"/>
          <w:sz w:val="24"/>
          <w:szCs w:val="24"/>
          <w:lang w:eastAsia="es-MX"/>
        </w:rPr>
        <w:t>Motivación profesional y personalidad. Aportes de Fernando González Rey</w:t>
      </w:r>
      <w:r w:rsidRPr="00A60186">
        <w:rPr>
          <w:rFonts w:ascii="Segoe UI" w:eastAsia="Times New Roman" w:hAnsi="Segoe UI" w:cs="Segoe UI"/>
          <w:color w:val="0F1115"/>
          <w:sz w:val="24"/>
          <w:szCs w:val="24"/>
          <w:lang w:eastAsia="es-MX"/>
        </w:rPr>
        <w:t>. Soporte digital.</w:t>
      </w:r>
    </w:p>
    <w:p w14:paraId="050DF7F6" w14:textId="77777777" w:rsidR="00A60186" w:rsidRPr="00A60186" w:rsidRDefault="00A60186" w:rsidP="00A60186">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Fernández Rius, L. </w:t>
      </w:r>
      <w:r w:rsidRPr="00A60186">
        <w:rPr>
          <w:rFonts w:ascii="Segoe UI" w:eastAsia="Times New Roman" w:hAnsi="Segoe UI" w:cs="Segoe UI"/>
          <w:i/>
          <w:iCs/>
          <w:color w:val="0F1115"/>
          <w:sz w:val="24"/>
          <w:szCs w:val="24"/>
          <w:lang w:eastAsia="es-MX"/>
        </w:rPr>
        <w:t>Pensando en la personalidad</w:t>
      </w:r>
      <w:r w:rsidRPr="00A60186">
        <w:rPr>
          <w:rFonts w:ascii="Segoe UI" w:eastAsia="Times New Roman" w:hAnsi="Segoe UI" w:cs="Segoe UI"/>
          <w:color w:val="0F1115"/>
          <w:sz w:val="24"/>
          <w:szCs w:val="24"/>
          <w:lang w:eastAsia="es-MX"/>
        </w:rPr>
        <w:t>. Capítulos seleccionados. Soporte digital.</w:t>
      </w:r>
    </w:p>
    <w:p w14:paraId="03EE3DC3" w14:textId="77777777" w:rsidR="00A60186" w:rsidRPr="00A60186" w:rsidRDefault="00A60186" w:rsidP="00A60186">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0186">
        <w:rPr>
          <w:rFonts w:ascii="Segoe UI" w:eastAsia="Times New Roman" w:hAnsi="Segoe UI" w:cs="Segoe UI"/>
          <w:color w:val="0F1115"/>
          <w:sz w:val="24"/>
          <w:szCs w:val="24"/>
          <w:lang w:eastAsia="es-MX"/>
        </w:rPr>
        <w:t>González Rey, F. (2009). "La significación de Vygotski para la consideración de lo afectivo en la educación: las bases para la cuestión de la subjetividad". </w:t>
      </w:r>
      <w:r w:rsidRPr="00A60186">
        <w:rPr>
          <w:rFonts w:ascii="Segoe UI" w:eastAsia="Times New Roman" w:hAnsi="Segoe UI" w:cs="Segoe UI"/>
          <w:i/>
          <w:iCs/>
          <w:color w:val="0F1115"/>
          <w:sz w:val="24"/>
          <w:szCs w:val="24"/>
          <w:lang w:eastAsia="es-MX"/>
        </w:rPr>
        <w:t>Actualidades Investigativas en Educación</w:t>
      </w:r>
      <w:r w:rsidRPr="00A60186">
        <w:rPr>
          <w:rFonts w:ascii="Segoe UI" w:eastAsia="Times New Roman" w:hAnsi="Segoe UI" w:cs="Segoe UI"/>
          <w:color w:val="0F1115"/>
          <w:sz w:val="24"/>
          <w:szCs w:val="24"/>
          <w:lang w:eastAsia="es-MX"/>
        </w:rPr>
        <w:t>, 9(Extra 1), 1-24.</w:t>
      </w:r>
    </w:p>
    <w:p w14:paraId="65C40774" w14:textId="77777777" w:rsidR="00A60186" w:rsidRPr="00A60186" w:rsidRDefault="00A60186" w:rsidP="00A60186">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proofErr w:type="spellStart"/>
      <w:r w:rsidRPr="00A60186">
        <w:rPr>
          <w:rFonts w:ascii="Segoe UI" w:eastAsia="Times New Roman" w:hAnsi="Segoe UI" w:cs="Segoe UI"/>
          <w:color w:val="0F1115"/>
          <w:sz w:val="24"/>
          <w:szCs w:val="24"/>
          <w:lang w:eastAsia="es-MX"/>
        </w:rPr>
        <w:t>Wertsch</w:t>
      </w:r>
      <w:proofErr w:type="spellEnd"/>
      <w:r w:rsidRPr="00A60186">
        <w:rPr>
          <w:rFonts w:ascii="Segoe UI" w:eastAsia="Times New Roman" w:hAnsi="Segoe UI" w:cs="Segoe UI"/>
          <w:color w:val="0F1115"/>
          <w:sz w:val="24"/>
          <w:szCs w:val="24"/>
          <w:lang w:eastAsia="es-MX"/>
        </w:rPr>
        <w:t>, J. V. (1988). </w:t>
      </w:r>
      <w:r w:rsidRPr="00A60186">
        <w:rPr>
          <w:rFonts w:ascii="Segoe UI" w:eastAsia="Times New Roman" w:hAnsi="Segoe UI" w:cs="Segoe UI"/>
          <w:i/>
          <w:iCs/>
          <w:color w:val="0F1115"/>
          <w:sz w:val="24"/>
          <w:szCs w:val="24"/>
          <w:lang w:eastAsia="es-MX"/>
        </w:rPr>
        <w:t>Vygotsky y la formación social de la mente</w:t>
      </w:r>
      <w:r w:rsidRPr="00A60186">
        <w:rPr>
          <w:rFonts w:ascii="Segoe UI" w:eastAsia="Times New Roman" w:hAnsi="Segoe UI" w:cs="Segoe UI"/>
          <w:color w:val="0F1115"/>
          <w:sz w:val="24"/>
          <w:szCs w:val="24"/>
          <w:lang w:eastAsia="es-MX"/>
        </w:rPr>
        <w:t>. Paidós.</w:t>
      </w:r>
    </w:p>
    <w:p w14:paraId="2C5ECE06" w14:textId="77777777" w:rsidR="00A60186" w:rsidRPr="00A60186" w:rsidRDefault="00A60186" w:rsidP="00A60186">
      <w:pPr>
        <w:shd w:val="clear" w:color="auto" w:fill="FFFFFF"/>
        <w:spacing w:before="240" w:after="100" w:afterAutospacing="1" w:line="240" w:lineRule="auto"/>
        <w:rPr>
          <w:rFonts w:ascii="Segoe UI" w:eastAsia="Times New Roman" w:hAnsi="Segoe UI" w:cs="Segoe UI"/>
          <w:color w:val="0F1115"/>
          <w:sz w:val="24"/>
          <w:szCs w:val="24"/>
          <w:lang w:eastAsia="es-MX"/>
        </w:rPr>
      </w:pPr>
      <w:r w:rsidRPr="00A60186">
        <w:rPr>
          <w:rFonts w:ascii="Segoe UI" w:eastAsia="Times New Roman" w:hAnsi="Segoe UI" w:cs="Segoe UI"/>
          <w:b/>
          <w:bCs/>
          <w:color w:val="0F1115"/>
          <w:sz w:val="24"/>
          <w:szCs w:val="24"/>
          <w:lang w:eastAsia="es-MX"/>
        </w:rPr>
        <w:t>Elaborado por: Lic. Arian Fernández Páez, Profesor Asistente</w:t>
      </w:r>
      <w:r w:rsidRPr="00A60186">
        <w:rPr>
          <w:rFonts w:ascii="Segoe UI" w:eastAsia="Times New Roman" w:hAnsi="Segoe UI" w:cs="Segoe UI"/>
          <w:color w:val="0F1115"/>
          <w:sz w:val="24"/>
          <w:szCs w:val="24"/>
          <w:lang w:eastAsia="es-MX"/>
        </w:rPr>
        <w:br/>
      </w:r>
      <w:r w:rsidRPr="00A60186">
        <w:rPr>
          <w:rFonts w:ascii="Segoe UI" w:eastAsia="Times New Roman" w:hAnsi="Segoe UI" w:cs="Segoe UI"/>
          <w:b/>
          <w:bCs/>
          <w:color w:val="0F1115"/>
          <w:sz w:val="24"/>
          <w:szCs w:val="24"/>
          <w:lang w:eastAsia="es-MX"/>
        </w:rPr>
        <w:t>Universidad de Artemisa "Julio Díaz González"</w:t>
      </w:r>
      <w:r w:rsidRPr="00A60186">
        <w:rPr>
          <w:rFonts w:ascii="Segoe UI" w:eastAsia="Times New Roman" w:hAnsi="Segoe UI" w:cs="Segoe UI"/>
          <w:color w:val="0F1115"/>
          <w:sz w:val="24"/>
          <w:szCs w:val="24"/>
          <w:lang w:eastAsia="es-MX"/>
        </w:rPr>
        <w:br/>
      </w:r>
      <w:r w:rsidRPr="00A60186">
        <w:rPr>
          <w:rFonts w:ascii="Segoe UI" w:eastAsia="Times New Roman" w:hAnsi="Segoe UI" w:cs="Segoe UI"/>
          <w:b/>
          <w:bCs/>
          <w:color w:val="0F1115"/>
          <w:sz w:val="24"/>
          <w:szCs w:val="24"/>
          <w:lang w:eastAsia="es-MX"/>
        </w:rPr>
        <w:t>Facultad de Ciencias de la Educación</w:t>
      </w:r>
      <w:r w:rsidRPr="00A60186">
        <w:rPr>
          <w:rFonts w:ascii="Segoe UI" w:eastAsia="Times New Roman" w:hAnsi="Segoe UI" w:cs="Segoe UI"/>
          <w:color w:val="0F1115"/>
          <w:sz w:val="24"/>
          <w:szCs w:val="24"/>
          <w:lang w:eastAsia="es-MX"/>
        </w:rPr>
        <w:br/>
      </w:r>
      <w:r w:rsidRPr="00A60186">
        <w:rPr>
          <w:rFonts w:ascii="Segoe UI" w:eastAsia="Times New Roman" w:hAnsi="Segoe UI" w:cs="Segoe UI"/>
          <w:b/>
          <w:bCs/>
          <w:color w:val="0F1115"/>
          <w:sz w:val="24"/>
          <w:szCs w:val="24"/>
          <w:lang w:eastAsia="es-MX"/>
        </w:rPr>
        <w:t>Departamento de Pedagogía-Psicología</w:t>
      </w:r>
    </w:p>
    <w:p w14:paraId="57C53408" w14:textId="77777777" w:rsidR="00695272" w:rsidRDefault="00695272"/>
    <w:sectPr w:rsidR="0069527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4136E"/>
    <w:multiLevelType w:val="multilevel"/>
    <w:tmpl w:val="4D065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2B2F54"/>
    <w:multiLevelType w:val="multilevel"/>
    <w:tmpl w:val="CB8C5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A63257"/>
    <w:multiLevelType w:val="multilevel"/>
    <w:tmpl w:val="D758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6A7BC2"/>
    <w:multiLevelType w:val="multilevel"/>
    <w:tmpl w:val="369C6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D76781"/>
    <w:multiLevelType w:val="multilevel"/>
    <w:tmpl w:val="3B547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4D3C1F"/>
    <w:multiLevelType w:val="multilevel"/>
    <w:tmpl w:val="5E763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0A34A5"/>
    <w:multiLevelType w:val="multilevel"/>
    <w:tmpl w:val="BB90F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245201"/>
    <w:multiLevelType w:val="multilevel"/>
    <w:tmpl w:val="5574B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A63B81"/>
    <w:multiLevelType w:val="multilevel"/>
    <w:tmpl w:val="0B0C2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3"/>
  </w:num>
  <w:num w:numId="4">
    <w:abstractNumId w:val="7"/>
  </w:num>
  <w:num w:numId="5">
    <w:abstractNumId w:val="6"/>
  </w:num>
  <w:num w:numId="6">
    <w:abstractNumId w:val="2"/>
  </w:num>
  <w:num w:numId="7">
    <w:abstractNumId w:val="1"/>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272"/>
    <w:rsid w:val="00695272"/>
    <w:rsid w:val="00A6018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5709E8-67ED-44FB-B043-351B7B7F2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A6018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A60186"/>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A60186"/>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60186"/>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A60186"/>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A60186"/>
    <w:rPr>
      <w:rFonts w:ascii="Times New Roman" w:eastAsia="Times New Roman" w:hAnsi="Times New Roman" w:cs="Times New Roman"/>
      <w:b/>
      <w:bCs/>
      <w:sz w:val="27"/>
      <w:szCs w:val="27"/>
      <w:lang w:eastAsia="es-MX"/>
    </w:rPr>
  </w:style>
  <w:style w:type="paragraph" w:customStyle="1" w:styleId="ds-markdown-paragraph">
    <w:name w:val="ds-markdown-paragraph"/>
    <w:basedOn w:val="Normal"/>
    <w:rsid w:val="00A60186"/>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A60186"/>
    <w:rPr>
      <w:b/>
      <w:bCs/>
    </w:rPr>
  </w:style>
  <w:style w:type="character" w:styleId="nfasis">
    <w:name w:val="Emphasis"/>
    <w:basedOn w:val="Fuentedeprrafopredeter"/>
    <w:uiPriority w:val="20"/>
    <w:qFormat/>
    <w:rsid w:val="00A6018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7995009">
      <w:bodyDiv w:val="1"/>
      <w:marLeft w:val="0"/>
      <w:marRight w:val="0"/>
      <w:marTop w:val="0"/>
      <w:marBottom w:val="0"/>
      <w:divBdr>
        <w:top w:val="none" w:sz="0" w:space="0" w:color="auto"/>
        <w:left w:val="none" w:sz="0" w:space="0" w:color="auto"/>
        <w:bottom w:val="none" w:sz="0" w:space="0" w:color="auto"/>
        <w:right w:val="none" w:sz="0" w:space="0" w:color="auto"/>
      </w:divBdr>
      <w:divsChild>
        <w:div w:id="995112166">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2867</Words>
  <Characters>15774</Characters>
  <Application>Microsoft Office Word</Application>
  <DocSecurity>0</DocSecurity>
  <Lines>131</Lines>
  <Paragraphs>37</Paragraphs>
  <ScaleCrop>false</ScaleCrop>
  <Company/>
  <LinksUpToDate>false</LinksUpToDate>
  <CharactersWithSpaces>18604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 Fernández Paez</dc:creator>
  <cp:keywords/>
  <dc:description/>
  <cp:lastModifiedBy>Arian Fernández Paez</cp:lastModifiedBy>
  <cp:revision>2</cp:revision>
  <dcterms:created xsi:type="dcterms:W3CDTF">2026-09-16T01:54:00Z</dcterms:created>
  <dcterms:modified xsi:type="dcterms:W3CDTF">2026-09-16T01:55:00Z</dcterms:modified>
</cp:coreProperties>
</file>