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ind w:left="220" w:right="560"/>
        <w:jc w:val="both"/>
        <w:rPr>
          <w:rFonts w:ascii="Arial" w:cs="Arial" w:eastAsia="Arial" w:hAnsi="Arial"/>
          <w:sz w:val="20"/>
          <w:szCs w:val="20"/>
        </w:rPr>
      </w:pPr>
      <w:r>
        <w:rPr>
          <w:rFonts w:ascii="Arial" w:cs="Arial" w:eastAsia="Arial" w:hAnsi="Arial"/>
          <w:sz w:val="20"/>
          <w:szCs w:val="20"/>
        </w:rPr>
        <w:t xml:space="preserve">MINISTERIO DE EDUCACION SUPERIOR CENTRO RECTOR: </w:t>
      </w:r>
    </w:p>
    <w:p>
      <w:pPr>
        <w:pStyle w:val="style0"/>
        <w:ind w:left="220" w:right="560"/>
        <w:jc w:val="both"/>
        <w:rPr>
          <w:rFonts w:ascii="Arial" w:cs="Arial" w:eastAsia="Arial" w:hAnsi="Arial"/>
          <w:sz w:val="20"/>
          <w:szCs w:val="20"/>
        </w:rPr>
      </w:pPr>
      <w:r>
        <w:rPr>
          <w:rFonts w:ascii="Arial" w:cs="Arial" w:eastAsia="Arial" w:hAnsi="Arial"/>
          <w:sz w:val="20"/>
          <w:szCs w:val="20"/>
        </w:rPr>
        <w:t>UNIVERSIDAD DE ARTEMISA</w:t>
      </w:r>
      <w:r>
        <w:rPr>
          <w:rFonts w:ascii="Arial" w:cs="Arial" w:eastAsia="Arial" w:hAnsi="Arial"/>
          <w:sz w:val="20"/>
          <w:szCs w:val="20"/>
        </w:rPr>
        <w:t xml:space="preserve"> </w:t>
      </w:r>
    </w:p>
    <w:p>
      <w:pPr>
        <w:pStyle w:val="style0"/>
        <w:ind w:left="220" w:right="560"/>
        <w:jc w:val="both"/>
        <w:rPr>
          <w:rFonts w:ascii="Arial" w:cs="Arial" w:eastAsia="Arial" w:hAnsi="Arial"/>
          <w:sz w:val="20"/>
          <w:szCs w:val="20"/>
        </w:rPr>
      </w:pPr>
      <w:r>
        <w:rPr>
          <w:rFonts w:ascii="Arial" w:cs="Arial" w:eastAsia="Arial" w:hAnsi="Arial"/>
          <w:sz w:val="20"/>
          <w:szCs w:val="20"/>
        </w:rPr>
        <w:t xml:space="preserve">CARRERA: Contabilidad y Finanzas </w:t>
      </w:r>
    </w:p>
    <w:p>
      <w:pPr>
        <w:pStyle w:val="style0"/>
        <w:ind w:left="220" w:right="560"/>
        <w:jc w:val="both"/>
        <w:rPr>
          <w:rFonts w:ascii="Arial" w:cs="Arial" w:hAnsi="Arial"/>
          <w:sz w:val="20"/>
          <w:szCs w:val="20"/>
        </w:rPr>
      </w:pPr>
      <w:r>
        <w:rPr>
          <w:rFonts w:ascii="Arial" w:cs="Arial" w:eastAsia="Arial" w:hAnsi="Arial"/>
          <w:sz w:val="20"/>
          <w:szCs w:val="20"/>
        </w:rPr>
        <w:t>PLAN DE ESTUDIOS: “E”</w:t>
      </w:r>
    </w:p>
    <w:p>
      <w:pPr>
        <w:pStyle w:val="style0"/>
        <w:ind w:left="220"/>
        <w:jc w:val="both"/>
        <w:rPr>
          <w:rFonts w:ascii="Arial" w:cs="Arial" w:eastAsia="Arial" w:hAnsi="Arial"/>
          <w:sz w:val="20"/>
          <w:szCs w:val="20"/>
        </w:rPr>
      </w:pPr>
      <w:r>
        <w:rPr>
          <w:rFonts w:ascii="Arial" w:cs="Arial" w:eastAsia="Arial" w:hAnsi="Arial"/>
          <w:sz w:val="20"/>
          <w:szCs w:val="20"/>
        </w:rPr>
        <w:t>MODALIDAD: PRESENCIAL</w:t>
      </w:r>
    </w:p>
    <w:p>
      <w:pPr>
        <w:pStyle w:val="style0"/>
        <w:jc w:val="both"/>
        <w:rPr>
          <w:rFonts w:ascii="Arial" w:cs="Arial" w:hAnsi="Arial"/>
          <w:sz w:val="20"/>
          <w:szCs w:val="20"/>
        </w:rPr>
      </w:pPr>
      <w:r>
        <w:rPr>
          <w:rFonts w:ascii="Arial" w:cs="Arial" w:eastAsia="Arial" w:hAnsi="Arial"/>
          <w:sz w:val="20"/>
          <w:szCs w:val="20"/>
        </w:rPr>
        <w:t xml:space="preserve">   </w:t>
      </w:r>
      <w:r>
        <w:rPr>
          <w:rFonts w:ascii="Arial" w:cs="Arial" w:eastAsia="Arial" w:hAnsi="Arial"/>
          <w:sz w:val="20"/>
          <w:szCs w:val="20"/>
        </w:rPr>
        <w:t>ASIGNATURA: CONTABILIDAD SUPERIOR</w:t>
      </w:r>
    </w:p>
    <w:p>
      <w:pPr>
        <w:pStyle w:val="style0"/>
        <w:jc w:val="both"/>
        <w:rPr>
          <w:rFonts w:ascii="Arial" w:cs="Arial" w:hAnsi="Arial"/>
          <w:sz w:val="20"/>
          <w:szCs w:val="20"/>
        </w:rPr>
      </w:pPr>
    </w:p>
    <w:p>
      <w:pPr>
        <w:pStyle w:val="style0"/>
        <w:ind w:left="220"/>
        <w:jc w:val="both"/>
        <w:rPr>
          <w:rFonts w:ascii="Arial" w:cs="Arial" w:hAnsi="Arial"/>
          <w:sz w:val="20"/>
          <w:szCs w:val="20"/>
        </w:rPr>
      </w:pPr>
      <w:r>
        <w:rPr>
          <w:rFonts w:ascii="Arial" w:cs="Arial" w:eastAsia="Arial" w:hAnsi="Arial"/>
          <w:sz w:val="20"/>
          <w:szCs w:val="20"/>
        </w:rPr>
        <w:t>DATOS PRELIMINARES</w:t>
      </w:r>
    </w:p>
    <w:p>
      <w:pPr>
        <w:pStyle w:val="style0"/>
        <w:jc w:val="both"/>
        <w:rPr>
          <w:rFonts w:ascii="Arial" w:cs="Arial" w:hAnsi="Arial"/>
          <w:sz w:val="20"/>
          <w:szCs w:val="20"/>
        </w:rPr>
      </w:pPr>
      <w:r>
        <w:rPr>
          <w:rFonts w:ascii="Arial" w:cs="Arial" w:eastAsia="Arial" w:hAnsi="Arial"/>
          <w:sz w:val="20"/>
          <w:szCs w:val="20"/>
        </w:rPr>
        <w:t xml:space="preserve">   C</w:t>
      </w:r>
      <w:r>
        <w:rPr>
          <w:rFonts w:ascii="Arial" w:cs="Arial" w:eastAsia="Arial" w:hAnsi="Arial"/>
          <w:sz w:val="20"/>
          <w:szCs w:val="20"/>
          <w:u w:val="single"/>
        </w:rPr>
        <w:t>URSO D</w:t>
      </w:r>
      <w:r>
        <w:rPr>
          <w:rFonts w:ascii="Arial" w:cs="Arial" w:eastAsia="Arial" w:hAnsi="Arial"/>
          <w:sz w:val="20"/>
          <w:szCs w:val="20"/>
        </w:rPr>
        <w:t>IURNO</w:t>
      </w:r>
      <w:r>
        <w:rPr>
          <w:rFonts w:ascii="Arial" w:cs="Arial" w:hAnsi="Arial"/>
          <w:noProof/>
          <w:sz w:val="20"/>
          <w:szCs w:val="20"/>
        </w:rPr>
        <w:t xml:space="preserve"> </w:t>
      </w:r>
    </w:p>
    <w:tbl>
      <w:tblPr>
        <w:tblpPr w:leftFromText="141" w:rightFromText="141" w:topFromText="0" w:bottomFromText="0" w:vertAnchor="text" w:horzAnchor="margin" w:tblpXSpec="left" w:tblpY="140"/>
        <w:tblW w:w="0" w:type="auto"/>
        <w:tblLayout w:type="fixed"/>
        <w:tblCellMar>
          <w:left w:w="0" w:type="dxa"/>
          <w:right w:w="0" w:type="dxa"/>
        </w:tblCellMar>
        <w:tblLook w:val="04A0" w:firstRow="1" w:lastRow="0" w:firstColumn="1" w:lastColumn="0" w:noHBand="0" w:noVBand="1"/>
      </w:tblPr>
      <w:tblGrid>
        <w:gridCol w:w="1117"/>
        <w:gridCol w:w="1481"/>
        <w:gridCol w:w="385"/>
        <w:gridCol w:w="904"/>
        <w:gridCol w:w="665"/>
        <w:gridCol w:w="966"/>
        <w:gridCol w:w="880"/>
        <w:gridCol w:w="1697"/>
        <w:gridCol w:w="815"/>
        <w:gridCol w:w="21"/>
      </w:tblGrid>
      <w:tr>
        <w:trPr>
          <w:trHeight w:val="415" w:hRule="atLeast"/>
        </w:trPr>
        <w:tc>
          <w:tcPr>
            <w:tcW w:w="1117" w:type="dxa"/>
            <w:tcBorders/>
            <w:tcFitText w:val="false"/>
            <w:vAlign w:val="bottom"/>
          </w:tcPr>
          <w:p>
            <w:pPr>
              <w:pStyle w:val="style0"/>
              <w:jc w:val="both"/>
              <w:rPr>
                <w:rFonts w:ascii="Arial" w:cs="Arial" w:hAnsi="Arial"/>
                <w:sz w:val="20"/>
                <w:szCs w:val="20"/>
              </w:rPr>
            </w:pPr>
          </w:p>
        </w:tc>
        <w:tc>
          <w:tcPr>
            <w:tcW w:w="1481" w:type="dxa"/>
            <w:tcBorders/>
            <w:tcFitText w:val="false"/>
            <w:vAlign w:val="bottom"/>
          </w:tcPr>
          <w:p>
            <w:pPr>
              <w:pStyle w:val="style0"/>
              <w:jc w:val="both"/>
              <w:rPr>
                <w:rFonts w:ascii="Arial" w:cs="Arial" w:hAnsi="Arial"/>
                <w:sz w:val="20"/>
                <w:szCs w:val="20"/>
              </w:rPr>
            </w:pPr>
          </w:p>
        </w:tc>
        <w:tc>
          <w:tcPr>
            <w:tcW w:w="385" w:type="dxa"/>
            <w:tcBorders/>
            <w:tcFitText w:val="false"/>
            <w:vAlign w:val="bottom"/>
          </w:tcPr>
          <w:p>
            <w:pPr>
              <w:pStyle w:val="style0"/>
              <w:jc w:val="both"/>
              <w:rPr>
                <w:rFonts w:ascii="Arial" w:cs="Arial" w:hAnsi="Arial"/>
                <w:sz w:val="20"/>
                <w:szCs w:val="20"/>
              </w:rPr>
            </w:pPr>
          </w:p>
        </w:tc>
        <w:tc>
          <w:tcPr>
            <w:tcW w:w="2535" w:type="dxa"/>
            <w:gridSpan w:val="3"/>
            <w:tcBorders/>
            <w:tcFitText w:val="false"/>
            <w:vAlign w:val="bottom"/>
          </w:tcPr>
          <w:p>
            <w:pPr>
              <w:pStyle w:val="style0"/>
              <w:ind w:left="293"/>
              <w:jc w:val="both"/>
              <w:rPr>
                <w:rFonts w:ascii="Arial" w:cs="Arial" w:hAnsi="Arial"/>
                <w:sz w:val="20"/>
                <w:szCs w:val="20"/>
              </w:rPr>
            </w:pPr>
          </w:p>
        </w:tc>
        <w:tc>
          <w:tcPr>
            <w:tcW w:w="880" w:type="dxa"/>
            <w:tcBorders/>
            <w:tcFitText w:val="false"/>
            <w:vAlign w:val="bottom"/>
          </w:tcPr>
          <w:p>
            <w:pPr>
              <w:pStyle w:val="style0"/>
              <w:jc w:val="both"/>
              <w:rPr>
                <w:rFonts w:ascii="Arial" w:cs="Arial" w:hAnsi="Arial"/>
                <w:sz w:val="20"/>
                <w:szCs w:val="20"/>
              </w:rPr>
            </w:pP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512" w:hRule="atLeast"/>
        </w:trPr>
        <w:tc>
          <w:tcPr>
            <w:tcW w:w="1117"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TEMAS</w:t>
            </w:r>
          </w:p>
        </w:tc>
        <w:tc>
          <w:tcPr>
            <w:tcW w:w="1481" w:type="dxa"/>
            <w:tcBorders/>
            <w:tcFitText w:val="false"/>
            <w:vAlign w:val="bottom"/>
          </w:tcPr>
          <w:p>
            <w:pPr>
              <w:pStyle w:val="style0"/>
              <w:jc w:val="both"/>
              <w:rPr>
                <w:rFonts w:ascii="Arial" w:cs="Arial" w:hAnsi="Arial"/>
                <w:sz w:val="20"/>
                <w:szCs w:val="20"/>
              </w:rPr>
            </w:pPr>
          </w:p>
        </w:tc>
        <w:tc>
          <w:tcPr>
            <w:tcW w:w="385" w:type="dxa"/>
            <w:tcBorders/>
            <w:tcFitText w:val="false"/>
            <w:vAlign w:val="bottom"/>
          </w:tcPr>
          <w:p>
            <w:pPr>
              <w:pStyle w:val="style0"/>
              <w:jc w:val="both"/>
              <w:rPr>
                <w:rFonts w:ascii="Arial" w:cs="Arial" w:hAnsi="Arial"/>
                <w:sz w:val="20"/>
                <w:szCs w:val="20"/>
              </w:rPr>
            </w:pPr>
          </w:p>
        </w:tc>
        <w:tc>
          <w:tcPr>
            <w:tcW w:w="904" w:type="dxa"/>
            <w:tcBorders/>
            <w:tcFitText w:val="false"/>
            <w:vAlign w:val="bottom"/>
          </w:tcPr>
          <w:p>
            <w:pPr>
              <w:pStyle w:val="style0"/>
              <w:jc w:val="both"/>
              <w:rPr>
                <w:rFonts w:ascii="Arial" w:cs="Arial" w:hAnsi="Arial"/>
                <w:sz w:val="20"/>
                <w:szCs w:val="20"/>
              </w:rPr>
            </w:pPr>
          </w:p>
        </w:tc>
        <w:tc>
          <w:tcPr>
            <w:tcW w:w="665" w:type="dxa"/>
            <w:tcBorders/>
            <w:tcFitText w:val="false"/>
            <w:vAlign w:val="bottom"/>
          </w:tcPr>
          <w:p>
            <w:pPr>
              <w:pStyle w:val="style0"/>
              <w:ind w:left="100"/>
              <w:jc w:val="both"/>
              <w:rPr>
                <w:rFonts w:ascii="Arial" w:cs="Arial" w:hAnsi="Arial"/>
                <w:sz w:val="20"/>
                <w:szCs w:val="20"/>
              </w:rPr>
            </w:pPr>
            <w:r>
              <w:rPr>
                <w:rFonts w:ascii="Arial" w:cs="Arial" w:eastAsia="Arial" w:hAnsi="Arial"/>
                <w:sz w:val="20"/>
                <w:szCs w:val="20"/>
              </w:rPr>
              <w:t>H.</w:t>
            </w:r>
          </w:p>
        </w:tc>
        <w:tc>
          <w:tcPr>
            <w:tcW w:w="966" w:type="dxa"/>
            <w:tcBorders/>
            <w:tcFitText w:val="false"/>
            <w:vAlign w:val="bottom"/>
          </w:tcPr>
          <w:p>
            <w:pPr>
              <w:pStyle w:val="style0"/>
              <w:ind w:left="160"/>
              <w:jc w:val="both"/>
              <w:rPr>
                <w:rFonts w:ascii="Arial" w:cs="Arial" w:hAnsi="Arial"/>
                <w:sz w:val="20"/>
                <w:szCs w:val="20"/>
              </w:rPr>
            </w:pPr>
            <w:r>
              <w:rPr>
                <w:rFonts w:ascii="Arial" w:cs="Arial" w:eastAsia="Arial" w:hAnsi="Arial"/>
                <w:sz w:val="20"/>
                <w:szCs w:val="20"/>
              </w:rPr>
              <w:t>CONF.</w:t>
            </w:r>
          </w:p>
        </w:tc>
        <w:tc>
          <w:tcPr>
            <w:tcW w:w="880" w:type="dxa"/>
            <w:tcBorders/>
            <w:tcFitText w:val="false"/>
            <w:vAlign w:val="bottom"/>
          </w:tcPr>
          <w:p>
            <w:pPr>
              <w:pStyle w:val="style0"/>
              <w:ind w:left="100"/>
              <w:jc w:val="both"/>
              <w:rPr>
                <w:rFonts w:ascii="Arial" w:cs="Arial" w:hAnsi="Arial"/>
                <w:sz w:val="20"/>
                <w:szCs w:val="20"/>
              </w:rPr>
            </w:pPr>
            <w:r>
              <w:rPr>
                <w:rFonts w:ascii="Arial" w:cs="Arial" w:eastAsia="Arial" w:hAnsi="Arial"/>
                <w:sz w:val="20"/>
                <w:szCs w:val="20"/>
              </w:rPr>
              <w:t>C.P.</w:t>
            </w:r>
          </w:p>
        </w:tc>
        <w:tc>
          <w:tcPr>
            <w:tcW w:w="1697" w:type="dxa"/>
            <w:tcBorders/>
            <w:tcFitText w:val="false"/>
            <w:vAlign w:val="bottom"/>
          </w:tcPr>
          <w:p>
            <w:pPr>
              <w:pStyle w:val="style0"/>
              <w:ind w:left="240"/>
              <w:jc w:val="both"/>
              <w:rPr>
                <w:rFonts w:ascii="Arial" w:cs="Arial" w:hAnsi="Arial"/>
                <w:sz w:val="20"/>
                <w:szCs w:val="20"/>
              </w:rPr>
            </w:pPr>
            <w:r>
              <w:rPr>
                <w:rFonts w:ascii="Arial" w:cs="Arial" w:eastAsia="Arial" w:hAnsi="Arial"/>
                <w:sz w:val="20"/>
                <w:szCs w:val="20"/>
              </w:rPr>
              <w:t>SEM.  LAB.</w:t>
            </w:r>
          </w:p>
        </w:tc>
        <w:tc>
          <w:tcPr>
            <w:tcW w:w="815" w:type="dxa"/>
            <w:tcBorders/>
            <w:tcFitText w:val="false"/>
            <w:vAlign w:val="bottom"/>
          </w:tcPr>
          <w:p>
            <w:pPr>
              <w:pStyle w:val="style0"/>
              <w:ind w:left="180"/>
              <w:jc w:val="both"/>
              <w:rPr>
                <w:rFonts w:ascii="Arial" w:cs="Arial" w:hAnsi="Arial"/>
                <w:sz w:val="20"/>
                <w:szCs w:val="20"/>
              </w:rPr>
            </w:pPr>
            <w:r>
              <w:rPr>
                <w:rFonts w:ascii="Arial" w:cs="Arial" w:eastAsia="Arial" w:hAnsi="Arial"/>
                <w:sz w:val="20"/>
                <w:szCs w:val="20"/>
              </w:rPr>
              <w:t>EVAL.</w:t>
            </w:r>
          </w:p>
        </w:tc>
        <w:tc>
          <w:tcPr>
            <w:tcW w:w="21" w:type="dxa"/>
            <w:tcBorders/>
            <w:tcFitText w:val="false"/>
            <w:vAlign w:val="bottom"/>
          </w:tcPr>
          <w:p>
            <w:pPr>
              <w:pStyle w:val="style0"/>
              <w:jc w:val="both"/>
              <w:rPr>
                <w:rFonts w:ascii="Arial" w:cs="Arial" w:hAnsi="Arial"/>
                <w:sz w:val="20"/>
                <w:szCs w:val="20"/>
              </w:rPr>
            </w:pPr>
          </w:p>
        </w:tc>
      </w:tr>
      <w:tr>
        <w:tblPrEx/>
        <w:trPr>
          <w:trHeight w:val="437" w:hRule="atLeast"/>
        </w:trPr>
        <w:tc>
          <w:tcPr>
            <w:tcW w:w="3887" w:type="dxa"/>
            <w:gridSpan w:val="4"/>
            <w:tcBorders/>
            <w:tcFitText w:val="false"/>
            <w:vAlign w:val="bottom"/>
          </w:tcPr>
          <w:p>
            <w:pPr>
              <w:pStyle w:val="style0"/>
              <w:jc w:val="both"/>
              <w:rPr>
                <w:rFonts w:ascii="Arial" w:cs="Arial" w:hAnsi="Arial"/>
                <w:sz w:val="20"/>
                <w:szCs w:val="20"/>
              </w:rPr>
            </w:pPr>
            <w:r>
              <w:rPr>
                <w:rFonts w:ascii="Arial" w:cs="Arial" w:eastAsia="Arial" w:hAnsi="Arial"/>
                <w:sz w:val="20"/>
                <w:szCs w:val="20"/>
              </w:rPr>
              <w:t>Operaciones con moneda extranjera.</w:t>
            </w:r>
          </w:p>
        </w:tc>
        <w:tc>
          <w:tcPr>
            <w:tcW w:w="665"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6</w:t>
            </w:r>
          </w:p>
        </w:tc>
        <w:tc>
          <w:tcPr>
            <w:tcW w:w="966"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2</w:t>
            </w:r>
          </w:p>
        </w:tc>
        <w:tc>
          <w:tcPr>
            <w:tcW w:w="880" w:type="dxa"/>
            <w:tcBorders/>
            <w:tcFitText w:val="false"/>
            <w:vAlign w:val="bottom"/>
          </w:tcPr>
          <w:p>
            <w:pPr>
              <w:pStyle w:val="style0"/>
              <w:ind w:left="16"/>
              <w:jc w:val="both"/>
              <w:rPr>
                <w:rFonts w:ascii="Arial" w:cs="Arial" w:hAnsi="Arial"/>
                <w:sz w:val="20"/>
                <w:szCs w:val="20"/>
              </w:rPr>
            </w:pPr>
            <w:r>
              <w:rPr>
                <w:rFonts w:ascii="Arial" w:cs="Arial" w:eastAsia="Arial" w:hAnsi="Arial"/>
                <w:w w:val="94"/>
                <w:sz w:val="20"/>
                <w:szCs w:val="20"/>
              </w:rPr>
              <w:t>4</w:t>
            </w: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453" w:hRule="atLeast"/>
        </w:trPr>
        <w:tc>
          <w:tcPr>
            <w:tcW w:w="2598" w:type="dxa"/>
            <w:gridSpan w:val="2"/>
            <w:tcBorders/>
            <w:tcFitText w:val="false"/>
            <w:vAlign w:val="bottom"/>
          </w:tcPr>
          <w:p>
            <w:pPr>
              <w:pStyle w:val="style0"/>
              <w:jc w:val="both"/>
              <w:rPr>
                <w:rFonts w:ascii="Arial" w:cs="Arial" w:hAnsi="Arial"/>
                <w:sz w:val="20"/>
                <w:szCs w:val="20"/>
              </w:rPr>
            </w:pPr>
            <w:r>
              <w:rPr>
                <w:rFonts w:ascii="Arial" w:cs="Arial" w:eastAsia="Arial" w:hAnsi="Arial"/>
                <w:sz w:val="20"/>
                <w:szCs w:val="20"/>
              </w:rPr>
              <w:t>Estados combinados.</w:t>
            </w:r>
          </w:p>
        </w:tc>
        <w:tc>
          <w:tcPr>
            <w:tcW w:w="385" w:type="dxa"/>
            <w:tcBorders/>
            <w:tcFitText w:val="false"/>
            <w:vAlign w:val="bottom"/>
          </w:tcPr>
          <w:p>
            <w:pPr>
              <w:pStyle w:val="style0"/>
              <w:jc w:val="both"/>
              <w:rPr>
                <w:rFonts w:ascii="Arial" w:cs="Arial" w:hAnsi="Arial"/>
                <w:sz w:val="20"/>
                <w:szCs w:val="20"/>
              </w:rPr>
            </w:pPr>
          </w:p>
        </w:tc>
        <w:tc>
          <w:tcPr>
            <w:tcW w:w="904" w:type="dxa"/>
            <w:tcBorders/>
            <w:tcFitText w:val="false"/>
            <w:vAlign w:val="bottom"/>
          </w:tcPr>
          <w:p>
            <w:pPr>
              <w:pStyle w:val="style0"/>
              <w:jc w:val="both"/>
              <w:rPr>
                <w:rFonts w:ascii="Arial" w:cs="Arial" w:hAnsi="Arial"/>
                <w:sz w:val="20"/>
                <w:szCs w:val="20"/>
              </w:rPr>
            </w:pPr>
          </w:p>
        </w:tc>
        <w:tc>
          <w:tcPr>
            <w:tcW w:w="665" w:type="dxa"/>
            <w:tcBorders/>
            <w:tcFitText w:val="false"/>
            <w:vAlign w:val="bottom"/>
          </w:tcPr>
          <w:p>
            <w:pPr>
              <w:pStyle w:val="style0"/>
              <w:jc w:val="both"/>
              <w:rPr>
                <w:rFonts w:ascii="Arial" w:cs="Arial" w:hAnsi="Arial"/>
                <w:sz w:val="20"/>
                <w:szCs w:val="20"/>
              </w:rPr>
            </w:pPr>
            <w:r>
              <w:rPr>
                <w:rFonts w:ascii="Arial" w:cs="Arial" w:eastAsia="Arial" w:hAnsi="Arial"/>
                <w:w w:val="94"/>
                <w:sz w:val="20"/>
                <w:szCs w:val="20"/>
              </w:rPr>
              <w:t>12</w:t>
            </w:r>
          </w:p>
        </w:tc>
        <w:tc>
          <w:tcPr>
            <w:tcW w:w="966"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6</w:t>
            </w:r>
          </w:p>
        </w:tc>
        <w:tc>
          <w:tcPr>
            <w:tcW w:w="880" w:type="dxa"/>
            <w:tcBorders/>
            <w:tcFitText w:val="false"/>
            <w:vAlign w:val="bottom"/>
          </w:tcPr>
          <w:p>
            <w:pPr>
              <w:pStyle w:val="style0"/>
              <w:ind w:left="16"/>
              <w:jc w:val="both"/>
              <w:rPr>
                <w:rFonts w:ascii="Arial" w:cs="Arial" w:hAnsi="Arial"/>
                <w:sz w:val="20"/>
                <w:szCs w:val="20"/>
              </w:rPr>
            </w:pPr>
            <w:r>
              <w:rPr>
                <w:rFonts w:ascii="Arial" w:cs="Arial" w:eastAsia="Arial" w:hAnsi="Arial"/>
                <w:w w:val="94"/>
                <w:sz w:val="20"/>
                <w:szCs w:val="20"/>
              </w:rPr>
              <w:t>6</w:t>
            </w: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452" w:hRule="atLeast"/>
        </w:trPr>
        <w:tc>
          <w:tcPr>
            <w:tcW w:w="2598" w:type="dxa"/>
            <w:gridSpan w:val="2"/>
            <w:tcBorders/>
            <w:tcFitText w:val="false"/>
            <w:vAlign w:val="bottom"/>
          </w:tcPr>
          <w:p>
            <w:pPr>
              <w:pStyle w:val="style0"/>
              <w:jc w:val="both"/>
              <w:rPr>
                <w:rFonts w:ascii="Arial" w:cs="Arial" w:hAnsi="Arial"/>
                <w:sz w:val="20"/>
                <w:szCs w:val="20"/>
              </w:rPr>
            </w:pPr>
            <w:r>
              <w:rPr>
                <w:rFonts w:ascii="Arial" w:cs="Arial" w:eastAsia="Arial" w:hAnsi="Arial"/>
                <w:sz w:val="20"/>
                <w:szCs w:val="20"/>
              </w:rPr>
              <w:t>Estados consolidados.</w:t>
            </w:r>
          </w:p>
        </w:tc>
        <w:tc>
          <w:tcPr>
            <w:tcW w:w="385" w:type="dxa"/>
            <w:tcBorders/>
            <w:tcFitText w:val="false"/>
            <w:vAlign w:val="bottom"/>
          </w:tcPr>
          <w:p>
            <w:pPr>
              <w:pStyle w:val="style0"/>
              <w:jc w:val="both"/>
              <w:rPr>
                <w:rFonts w:ascii="Arial" w:cs="Arial" w:hAnsi="Arial"/>
                <w:sz w:val="20"/>
                <w:szCs w:val="20"/>
              </w:rPr>
            </w:pPr>
          </w:p>
        </w:tc>
        <w:tc>
          <w:tcPr>
            <w:tcW w:w="904" w:type="dxa"/>
            <w:tcBorders/>
            <w:tcFitText w:val="false"/>
            <w:vAlign w:val="bottom"/>
          </w:tcPr>
          <w:p>
            <w:pPr>
              <w:pStyle w:val="style0"/>
              <w:jc w:val="both"/>
              <w:rPr>
                <w:rFonts w:ascii="Arial" w:cs="Arial" w:hAnsi="Arial"/>
                <w:sz w:val="20"/>
                <w:szCs w:val="20"/>
              </w:rPr>
            </w:pPr>
          </w:p>
        </w:tc>
        <w:tc>
          <w:tcPr>
            <w:tcW w:w="665" w:type="dxa"/>
            <w:tcBorders/>
            <w:tcFitText w:val="false"/>
            <w:vAlign w:val="bottom"/>
          </w:tcPr>
          <w:p>
            <w:pPr>
              <w:pStyle w:val="style0"/>
              <w:jc w:val="both"/>
              <w:rPr>
                <w:rFonts w:ascii="Arial" w:cs="Arial" w:hAnsi="Arial"/>
                <w:sz w:val="20"/>
                <w:szCs w:val="20"/>
              </w:rPr>
            </w:pPr>
            <w:r>
              <w:rPr>
                <w:rFonts w:ascii="Arial" w:cs="Arial" w:eastAsia="Arial" w:hAnsi="Arial"/>
                <w:w w:val="94"/>
                <w:sz w:val="20"/>
                <w:szCs w:val="20"/>
              </w:rPr>
              <w:t>12</w:t>
            </w:r>
          </w:p>
        </w:tc>
        <w:tc>
          <w:tcPr>
            <w:tcW w:w="966"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6</w:t>
            </w:r>
          </w:p>
        </w:tc>
        <w:tc>
          <w:tcPr>
            <w:tcW w:w="880" w:type="dxa"/>
            <w:tcBorders/>
            <w:tcFitText w:val="false"/>
            <w:vAlign w:val="bottom"/>
          </w:tcPr>
          <w:p>
            <w:pPr>
              <w:pStyle w:val="style0"/>
              <w:ind w:left="16"/>
              <w:jc w:val="both"/>
              <w:rPr>
                <w:rFonts w:ascii="Arial" w:cs="Arial" w:hAnsi="Arial"/>
                <w:sz w:val="20"/>
                <w:szCs w:val="20"/>
              </w:rPr>
            </w:pPr>
            <w:r>
              <w:rPr>
                <w:rFonts w:ascii="Arial" w:cs="Arial" w:eastAsia="Arial" w:hAnsi="Arial"/>
                <w:w w:val="94"/>
                <w:sz w:val="20"/>
                <w:szCs w:val="20"/>
              </w:rPr>
              <w:t>6</w:t>
            </w: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411" w:hRule="atLeast"/>
        </w:trPr>
        <w:tc>
          <w:tcPr>
            <w:tcW w:w="1117"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Efectos de</w:t>
            </w:r>
          </w:p>
        </w:tc>
        <w:tc>
          <w:tcPr>
            <w:tcW w:w="1481" w:type="dxa"/>
            <w:tcBorders/>
            <w:tcFitText w:val="false"/>
            <w:vAlign w:val="bottom"/>
          </w:tcPr>
          <w:p>
            <w:pPr>
              <w:pStyle w:val="style0"/>
              <w:ind w:left="40"/>
              <w:jc w:val="both"/>
              <w:rPr>
                <w:rFonts w:ascii="Arial" w:cs="Arial" w:hAnsi="Arial"/>
                <w:sz w:val="20"/>
                <w:szCs w:val="20"/>
              </w:rPr>
            </w:pPr>
            <w:r>
              <w:rPr>
                <w:rFonts w:ascii="Arial" w:cs="Arial" w:eastAsia="Arial" w:hAnsi="Arial"/>
                <w:sz w:val="20"/>
                <w:szCs w:val="20"/>
              </w:rPr>
              <w:t>la inflación en</w:t>
            </w:r>
          </w:p>
        </w:tc>
        <w:tc>
          <w:tcPr>
            <w:tcW w:w="385" w:type="dxa"/>
            <w:tcBorders/>
            <w:tcFitText w:val="false"/>
            <w:vAlign w:val="bottom"/>
          </w:tcPr>
          <w:p>
            <w:pPr>
              <w:pStyle w:val="style0"/>
              <w:ind w:left="60"/>
              <w:jc w:val="both"/>
              <w:rPr>
                <w:rFonts w:ascii="Arial" w:cs="Arial" w:hAnsi="Arial"/>
                <w:sz w:val="20"/>
                <w:szCs w:val="20"/>
              </w:rPr>
            </w:pPr>
            <w:r>
              <w:rPr>
                <w:rFonts w:ascii="Arial" w:cs="Arial" w:eastAsia="Arial" w:hAnsi="Arial"/>
                <w:sz w:val="20"/>
                <w:szCs w:val="20"/>
              </w:rPr>
              <w:t>los</w:t>
            </w:r>
          </w:p>
        </w:tc>
        <w:tc>
          <w:tcPr>
            <w:tcW w:w="904" w:type="dxa"/>
            <w:tcBorders/>
            <w:tcFitText w:val="false"/>
            <w:vAlign w:val="bottom"/>
          </w:tcPr>
          <w:p>
            <w:pPr>
              <w:pStyle w:val="style0"/>
              <w:ind w:left="60"/>
              <w:jc w:val="both"/>
              <w:rPr>
                <w:rFonts w:ascii="Arial" w:cs="Arial" w:hAnsi="Arial"/>
                <w:sz w:val="20"/>
                <w:szCs w:val="20"/>
              </w:rPr>
            </w:pPr>
            <w:r>
              <w:rPr>
                <w:rFonts w:ascii="Arial" w:cs="Arial" w:eastAsia="Arial" w:hAnsi="Arial"/>
                <w:sz w:val="20"/>
                <w:szCs w:val="20"/>
              </w:rPr>
              <w:t>estados</w:t>
            </w:r>
          </w:p>
        </w:tc>
        <w:tc>
          <w:tcPr>
            <w:tcW w:w="665" w:type="dxa"/>
            <w:vMerge w:val="restart"/>
            <w:tcBorders/>
            <w:tcFitText w:val="false"/>
            <w:vAlign w:val="bottom"/>
          </w:tcPr>
          <w:p>
            <w:pPr>
              <w:pStyle w:val="style0"/>
              <w:jc w:val="both"/>
              <w:rPr>
                <w:rFonts w:ascii="Arial" w:cs="Arial" w:hAnsi="Arial"/>
                <w:sz w:val="20"/>
                <w:szCs w:val="20"/>
              </w:rPr>
            </w:pPr>
            <w:r>
              <w:rPr>
                <w:rFonts w:ascii="Arial" w:cs="Arial" w:eastAsia="Arial" w:hAnsi="Arial"/>
                <w:w w:val="94"/>
                <w:sz w:val="20"/>
                <w:szCs w:val="20"/>
              </w:rPr>
              <w:t>10</w:t>
            </w:r>
          </w:p>
        </w:tc>
        <w:tc>
          <w:tcPr>
            <w:tcW w:w="966" w:type="dxa"/>
            <w:vMerge w:val="restart"/>
            <w:tcBorders/>
            <w:tcFitText w:val="false"/>
            <w:vAlign w:val="bottom"/>
          </w:tcPr>
          <w:p>
            <w:pPr>
              <w:pStyle w:val="style0"/>
              <w:jc w:val="both"/>
              <w:rPr>
                <w:rFonts w:ascii="Arial" w:cs="Arial" w:hAnsi="Arial"/>
                <w:sz w:val="20"/>
                <w:szCs w:val="20"/>
              </w:rPr>
            </w:pPr>
            <w:r>
              <w:rPr>
                <w:rFonts w:ascii="Arial" w:cs="Arial" w:eastAsia="Arial" w:hAnsi="Arial"/>
                <w:sz w:val="20"/>
                <w:szCs w:val="20"/>
              </w:rPr>
              <w:t>6</w:t>
            </w:r>
          </w:p>
        </w:tc>
        <w:tc>
          <w:tcPr>
            <w:tcW w:w="880" w:type="dxa"/>
            <w:vMerge w:val="restart"/>
            <w:tcBorders/>
            <w:tcFitText w:val="false"/>
            <w:vAlign w:val="bottom"/>
          </w:tcPr>
          <w:p>
            <w:pPr>
              <w:pStyle w:val="style0"/>
              <w:ind w:left="16"/>
              <w:jc w:val="both"/>
              <w:rPr>
                <w:rFonts w:ascii="Arial" w:cs="Arial" w:hAnsi="Arial"/>
                <w:sz w:val="20"/>
                <w:szCs w:val="20"/>
              </w:rPr>
            </w:pPr>
            <w:r>
              <w:rPr>
                <w:rFonts w:ascii="Arial" w:cs="Arial" w:eastAsia="Arial" w:hAnsi="Arial"/>
                <w:w w:val="94"/>
                <w:sz w:val="20"/>
                <w:szCs w:val="20"/>
              </w:rPr>
              <w:t>4</w:t>
            </w: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184" w:hRule="atLeast"/>
        </w:trPr>
        <w:tc>
          <w:tcPr>
            <w:tcW w:w="1117" w:type="dxa"/>
            <w:vMerge w:val="restart"/>
            <w:tcBorders/>
            <w:tcFitText w:val="false"/>
            <w:vAlign w:val="bottom"/>
          </w:tcPr>
          <w:p>
            <w:pPr>
              <w:pStyle w:val="style0"/>
              <w:jc w:val="both"/>
              <w:rPr>
                <w:rFonts w:ascii="Arial" w:cs="Arial" w:hAnsi="Arial"/>
                <w:sz w:val="20"/>
                <w:szCs w:val="20"/>
              </w:rPr>
            </w:pPr>
            <w:r>
              <w:rPr>
                <w:rFonts w:ascii="Arial" w:cs="Arial" w:eastAsia="Arial" w:hAnsi="Arial"/>
                <w:sz w:val="20"/>
                <w:szCs w:val="20"/>
              </w:rPr>
              <w:t>financieros.</w:t>
            </w:r>
          </w:p>
        </w:tc>
        <w:tc>
          <w:tcPr>
            <w:tcW w:w="1481" w:type="dxa"/>
            <w:tcBorders/>
            <w:tcFitText w:val="false"/>
            <w:vAlign w:val="bottom"/>
          </w:tcPr>
          <w:p>
            <w:pPr>
              <w:pStyle w:val="style0"/>
              <w:jc w:val="both"/>
              <w:rPr>
                <w:rFonts w:ascii="Arial" w:cs="Arial" w:hAnsi="Arial"/>
                <w:sz w:val="20"/>
                <w:szCs w:val="20"/>
              </w:rPr>
            </w:pPr>
          </w:p>
        </w:tc>
        <w:tc>
          <w:tcPr>
            <w:tcW w:w="385" w:type="dxa"/>
            <w:tcBorders/>
            <w:tcFitText w:val="false"/>
            <w:vAlign w:val="bottom"/>
          </w:tcPr>
          <w:p>
            <w:pPr>
              <w:pStyle w:val="style0"/>
              <w:jc w:val="both"/>
              <w:rPr>
                <w:rFonts w:ascii="Arial" w:cs="Arial" w:hAnsi="Arial"/>
                <w:sz w:val="20"/>
                <w:szCs w:val="20"/>
              </w:rPr>
            </w:pPr>
          </w:p>
        </w:tc>
        <w:tc>
          <w:tcPr>
            <w:tcW w:w="904" w:type="dxa"/>
            <w:tcBorders/>
            <w:tcFitText w:val="false"/>
            <w:vAlign w:val="bottom"/>
          </w:tcPr>
          <w:p>
            <w:pPr>
              <w:pStyle w:val="style0"/>
              <w:jc w:val="both"/>
              <w:rPr>
                <w:rFonts w:ascii="Arial" w:cs="Arial" w:hAnsi="Arial"/>
                <w:sz w:val="20"/>
                <w:szCs w:val="20"/>
              </w:rPr>
            </w:pPr>
          </w:p>
        </w:tc>
        <w:tc>
          <w:tcPr>
            <w:tcW w:w="665" w:type="dxa"/>
            <w:vMerge w:val="continue"/>
            <w:tcBorders/>
            <w:tcFitText w:val="false"/>
            <w:vAlign w:val="bottom"/>
          </w:tcPr>
          <w:p>
            <w:pPr>
              <w:pStyle w:val="style0"/>
              <w:jc w:val="both"/>
              <w:rPr>
                <w:rFonts w:ascii="Arial" w:cs="Arial" w:hAnsi="Arial"/>
                <w:sz w:val="20"/>
                <w:szCs w:val="20"/>
              </w:rPr>
            </w:pPr>
          </w:p>
        </w:tc>
        <w:tc>
          <w:tcPr>
            <w:tcW w:w="966" w:type="dxa"/>
            <w:vMerge w:val="continue"/>
            <w:tcBorders/>
            <w:tcFitText w:val="false"/>
            <w:vAlign w:val="bottom"/>
          </w:tcPr>
          <w:p>
            <w:pPr>
              <w:pStyle w:val="style0"/>
              <w:jc w:val="both"/>
              <w:rPr>
                <w:rFonts w:ascii="Arial" w:cs="Arial" w:hAnsi="Arial"/>
                <w:sz w:val="20"/>
                <w:szCs w:val="20"/>
              </w:rPr>
            </w:pPr>
          </w:p>
        </w:tc>
        <w:tc>
          <w:tcPr>
            <w:tcW w:w="880" w:type="dxa"/>
            <w:vMerge w:val="continue"/>
            <w:tcBorders/>
            <w:tcFitText w:val="false"/>
            <w:vAlign w:val="bottom"/>
          </w:tcPr>
          <w:p>
            <w:pPr>
              <w:pStyle w:val="style0"/>
              <w:jc w:val="both"/>
              <w:rPr>
                <w:rFonts w:ascii="Arial" w:cs="Arial" w:hAnsi="Arial"/>
                <w:sz w:val="20"/>
                <w:szCs w:val="20"/>
              </w:rPr>
            </w:pP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145" w:hRule="atLeast"/>
        </w:trPr>
        <w:tc>
          <w:tcPr>
            <w:tcW w:w="1117" w:type="dxa"/>
            <w:vMerge w:val="continue"/>
            <w:tcBorders/>
            <w:tcFitText w:val="false"/>
            <w:vAlign w:val="bottom"/>
          </w:tcPr>
          <w:p>
            <w:pPr>
              <w:pStyle w:val="style0"/>
              <w:jc w:val="both"/>
              <w:rPr>
                <w:rFonts w:ascii="Arial" w:cs="Arial" w:hAnsi="Arial"/>
                <w:sz w:val="20"/>
                <w:szCs w:val="20"/>
              </w:rPr>
            </w:pPr>
          </w:p>
        </w:tc>
        <w:tc>
          <w:tcPr>
            <w:tcW w:w="1481" w:type="dxa"/>
            <w:tcBorders/>
            <w:tcFitText w:val="false"/>
            <w:vAlign w:val="bottom"/>
          </w:tcPr>
          <w:p>
            <w:pPr>
              <w:pStyle w:val="style0"/>
              <w:jc w:val="both"/>
              <w:rPr>
                <w:rFonts w:ascii="Arial" w:cs="Arial" w:hAnsi="Arial"/>
                <w:sz w:val="20"/>
                <w:szCs w:val="20"/>
              </w:rPr>
            </w:pPr>
          </w:p>
        </w:tc>
        <w:tc>
          <w:tcPr>
            <w:tcW w:w="385" w:type="dxa"/>
            <w:tcBorders/>
            <w:tcFitText w:val="false"/>
            <w:vAlign w:val="bottom"/>
          </w:tcPr>
          <w:p>
            <w:pPr>
              <w:pStyle w:val="style0"/>
              <w:jc w:val="both"/>
              <w:rPr>
                <w:rFonts w:ascii="Arial" w:cs="Arial" w:hAnsi="Arial"/>
                <w:sz w:val="20"/>
                <w:szCs w:val="20"/>
              </w:rPr>
            </w:pPr>
          </w:p>
        </w:tc>
        <w:tc>
          <w:tcPr>
            <w:tcW w:w="904" w:type="dxa"/>
            <w:tcBorders/>
            <w:tcFitText w:val="false"/>
            <w:vAlign w:val="bottom"/>
          </w:tcPr>
          <w:p>
            <w:pPr>
              <w:pStyle w:val="style0"/>
              <w:jc w:val="both"/>
              <w:rPr>
                <w:rFonts w:ascii="Arial" w:cs="Arial" w:hAnsi="Arial"/>
                <w:sz w:val="20"/>
                <w:szCs w:val="20"/>
              </w:rPr>
            </w:pPr>
          </w:p>
        </w:tc>
        <w:tc>
          <w:tcPr>
            <w:tcW w:w="665" w:type="dxa"/>
            <w:tcBorders/>
            <w:tcFitText w:val="false"/>
            <w:vAlign w:val="bottom"/>
          </w:tcPr>
          <w:p>
            <w:pPr>
              <w:pStyle w:val="style0"/>
              <w:jc w:val="both"/>
              <w:rPr>
                <w:rFonts w:ascii="Arial" w:cs="Arial" w:hAnsi="Arial"/>
                <w:sz w:val="20"/>
                <w:szCs w:val="20"/>
              </w:rPr>
            </w:pPr>
          </w:p>
        </w:tc>
        <w:tc>
          <w:tcPr>
            <w:tcW w:w="966" w:type="dxa"/>
            <w:tcBorders/>
            <w:tcFitText w:val="false"/>
            <w:vAlign w:val="bottom"/>
          </w:tcPr>
          <w:p>
            <w:pPr>
              <w:pStyle w:val="style0"/>
              <w:jc w:val="both"/>
              <w:rPr>
                <w:rFonts w:ascii="Arial" w:cs="Arial" w:hAnsi="Arial"/>
                <w:sz w:val="20"/>
                <w:szCs w:val="20"/>
              </w:rPr>
            </w:pPr>
          </w:p>
        </w:tc>
        <w:tc>
          <w:tcPr>
            <w:tcW w:w="880" w:type="dxa"/>
            <w:tcBorders/>
            <w:tcFitText w:val="false"/>
            <w:vAlign w:val="bottom"/>
          </w:tcPr>
          <w:p>
            <w:pPr>
              <w:pStyle w:val="style0"/>
              <w:jc w:val="both"/>
              <w:rPr>
                <w:rFonts w:ascii="Arial" w:cs="Arial" w:hAnsi="Arial"/>
                <w:sz w:val="20"/>
                <w:szCs w:val="20"/>
              </w:rPr>
            </w:pP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412" w:hRule="atLeast"/>
        </w:trPr>
        <w:tc>
          <w:tcPr>
            <w:tcW w:w="1117"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Análisis  e</w:t>
            </w:r>
          </w:p>
        </w:tc>
        <w:tc>
          <w:tcPr>
            <w:tcW w:w="1481" w:type="dxa"/>
            <w:tcBorders/>
            <w:tcFitText w:val="false"/>
            <w:vAlign w:val="bottom"/>
          </w:tcPr>
          <w:p>
            <w:pPr>
              <w:pStyle w:val="style0"/>
              <w:ind w:left="60"/>
              <w:jc w:val="both"/>
              <w:rPr>
                <w:rFonts w:ascii="Arial" w:cs="Arial" w:hAnsi="Arial"/>
                <w:sz w:val="20"/>
                <w:szCs w:val="20"/>
              </w:rPr>
            </w:pPr>
            <w:r>
              <w:rPr>
                <w:rFonts w:ascii="Arial" w:cs="Arial" w:eastAsia="Arial" w:hAnsi="Arial"/>
                <w:sz w:val="20"/>
                <w:szCs w:val="20"/>
              </w:rPr>
              <w:t>interpretación</w:t>
            </w:r>
          </w:p>
        </w:tc>
        <w:tc>
          <w:tcPr>
            <w:tcW w:w="385" w:type="dxa"/>
            <w:tcBorders/>
            <w:tcFitText w:val="false"/>
            <w:vAlign w:val="bottom"/>
          </w:tcPr>
          <w:p>
            <w:pPr>
              <w:pStyle w:val="style0"/>
              <w:ind w:left="40"/>
              <w:jc w:val="both"/>
              <w:rPr>
                <w:rFonts w:ascii="Arial" w:cs="Arial" w:hAnsi="Arial"/>
                <w:sz w:val="20"/>
                <w:szCs w:val="20"/>
              </w:rPr>
            </w:pPr>
            <w:r>
              <w:rPr>
                <w:rFonts w:ascii="Arial" w:cs="Arial" w:eastAsia="Arial" w:hAnsi="Arial"/>
                <w:sz w:val="20"/>
                <w:szCs w:val="20"/>
              </w:rPr>
              <w:t>de</w:t>
            </w:r>
          </w:p>
        </w:tc>
        <w:tc>
          <w:tcPr>
            <w:tcW w:w="904" w:type="dxa"/>
            <w:tcBorders/>
            <w:tcFitText w:val="false"/>
            <w:vAlign w:val="bottom"/>
          </w:tcPr>
          <w:p>
            <w:pPr>
              <w:pStyle w:val="style0"/>
              <w:ind w:left="60"/>
              <w:jc w:val="both"/>
              <w:rPr>
                <w:rFonts w:ascii="Arial" w:cs="Arial" w:hAnsi="Arial"/>
                <w:sz w:val="20"/>
                <w:szCs w:val="20"/>
              </w:rPr>
            </w:pPr>
            <w:r>
              <w:rPr>
                <w:rFonts w:ascii="Arial" w:cs="Arial" w:eastAsia="Arial" w:hAnsi="Arial"/>
                <w:sz w:val="20"/>
                <w:szCs w:val="20"/>
              </w:rPr>
              <w:t>estados</w:t>
            </w:r>
          </w:p>
        </w:tc>
        <w:tc>
          <w:tcPr>
            <w:tcW w:w="665" w:type="dxa"/>
            <w:vMerge w:val="restart"/>
            <w:tcBorders/>
            <w:tcFitText w:val="false"/>
            <w:vAlign w:val="bottom"/>
          </w:tcPr>
          <w:p>
            <w:pPr>
              <w:pStyle w:val="style0"/>
              <w:jc w:val="both"/>
              <w:rPr>
                <w:rFonts w:ascii="Arial" w:cs="Arial" w:hAnsi="Arial"/>
                <w:sz w:val="20"/>
                <w:szCs w:val="20"/>
              </w:rPr>
            </w:pPr>
            <w:r>
              <w:rPr>
                <w:rFonts w:ascii="Arial" w:cs="Arial" w:eastAsia="Arial" w:hAnsi="Arial"/>
                <w:w w:val="94"/>
                <w:sz w:val="20"/>
                <w:szCs w:val="20"/>
              </w:rPr>
              <w:t>20</w:t>
            </w:r>
          </w:p>
        </w:tc>
        <w:tc>
          <w:tcPr>
            <w:tcW w:w="966" w:type="dxa"/>
            <w:vMerge w:val="restart"/>
            <w:tcBorders/>
            <w:tcFitText w:val="false"/>
            <w:vAlign w:val="bottom"/>
          </w:tcPr>
          <w:p>
            <w:pPr>
              <w:pStyle w:val="style0"/>
              <w:jc w:val="both"/>
              <w:rPr>
                <w:rFonts w:ascii="Arial" w:cs="Arial" w:hAnsi="Arial"/>
                <w:sz w:val="20"/>
                <w:szCs w:val="20"/>
              </w:rPr>
            </w:pPr>
            <w:r>
              <w:rPr>
                <w:rFonts w:ascii="Arial" w:cs="Arial" w:eastAsia="Arial" w:hAnsi="Arial"/>
                <w:sz w:val="20"/>
                <w:szCs w:val="20"/>
              </w:rPr>
              <w:t>10</w:t>
            </w:r>
          </w:p>
        </w:tc>
        <w:tc>
          <w:tcPr>
            <w:tcW w:w="880" w:type="dxa"/>
            <w:vMerge w:val="restart"/>
            <w:tcBorders/>
            <w:tcFitText w:val="false"/>
            <w:vAlign w:val="bottom"/>
          </w:tcPr>
          <w:p>
            <w:pPr>
              <w:pStyle w:val="style0"/>
              <w:ind w:left="16"/>
              <w:jc w:val="both"/>
              <w:rPr>
                <w:rFonts w:ascii="Arial" w:cs="Arial" w:hAnsi="Arial"/>
                <w:sz w:val="20"/>
                <w:szCs w:val="20"/>
              </w:rPr>
            </w:pPr>
            <w:r>
              <w:rPr>
                <w:rFonts w:ascii="Arial" w:cs="Arial" w:eastAsia="Arial" w:hAnsi="Arial"/>
                <w:sz w:val="20"/>
                <w:szCs w:val="20"/>
              </w:rPr>
              <w:t>10</w:t>
            </w: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186" w:hRule="atLeast"/>
        </w:trPr>
        <w:tc>
          <w:tcPr>
            <w:tcW w:w="1117" w:type="dxa"/>
            <w:vMerge w:val="restart"/>
            <w:tcBorders/>
            <w:tcFitText w:val="false"/>
            <w:vAlign w:val="bottom"/>
          </w:tcPr>
          <w:p>
            <w:pPr>
              <w:pStyle w:val="style0"/>
              <w:jc w:val="both"/>
              <w:rPr>
                <w:rFonts w:ascii="Arial" w:cs="Arial" w:hAnsi="Arial"/>
                <w:sz w:val="20"/>
                <w:szCs w:val="20"/>
              </w:rPr>
            </w:pPr>
            <w:r>
              <w:rPr>
                <w:rFonts w:ascii="Arial" w:cs="Arial" w:eastAsia="Arial" w:hAnsi="Arial"/>
                <w:sz w:val="20"/>
                <w:szCs w:val="20"/>
              </w:rPr>
              <w:t>financieros.</w:t>
            </w:r>
          </w:p>
        </w:tc>
        <w:tc>
          <w:tcPr>
            <w:tcW w:w="1481" w:type="dxa"/>
            <w:tcBorders/>
            <w:tcFitText w:val="false"/>
            <w:vAlign w:val="bottom"/>
          </w:tcPr>
          <w:p>
            <w:pPr>
              <w:pStyle w:val="style0"/>
              <w:jc w:val="both"/>
              <w:rPr>
                <w:rFonts w:ascii="Arial" w:cs="Arial" w:hAnsi="Arial"/>
                <w:sz w:val="20"/>
                <w:szCs w:val="20"/>
              </w:rPr>
            </w:pPr>
          </w:p>
        </w:tc>
        <w:tc>
          <w:tcPr>
            <w:tcW w:w="385" w:type="dxa"/>
            <w:tcBorders/>
            <w:tcFitText w:val="false"/>
            <w:vAlign w:val="bottom"/>
          </w:tcPr>
          <w:p>
            <w:pPr>
              <w:pStyle w:val="style0"/>
              <w:jc w:val="both"/>
              <w:rPr>
                <w:rFonts w:ascii="Arial" w:cs="Arial" w:hAnsi="Arial"/>
                <w:sz w:val="20"/>
                <w:szCs w:val="20"/>
              </w:rPr>
            </w:pPr>
          </w:p>
        </w:tc>
        <w:tc>
          <w:tcPr>
            <w:tcW w:w="904" w:type="dxa"/>
            <w:tcBorders/>
            <w:tcFitText w:val="false"/>
            <w:vAlign w:val="bottom"/>
          </w:tcPr>
          <w:p>
            <w:pPr>
              <w:pStyle w:val="style0"/>
              <w:jc w:val="both"/>
              <w:rPr>
                <w:rFonts w:ascii="Arial" w:cs="Arial" w:hAnsi="Arial"/>
                <w:sz w:val="20"/>
                <w:szCs w:val="20"/>
              </w:rPr>
            </w:pPr>
          </w:p>
        </w:tc>
        <w:tc>
          <w:tcPr>
            <w:tcW w:w="665" w:type="dxa"/>
            <w:vMerge w:val="continue"/>
            <w:tcBorders/>
            <w:tcFitText w:val="false"/>
            <w:vAlign w:val="bottom"/>
          </w:tcPr>
          <w:p>
            <w:pPr>
              <w:pStyle w:val="style0"/>
              <w:jc w:val="both"/>
              <w:rPr>
                <w:rFonts w:ascii="Arial" w:cs="Arial" w:hAnsi="Arial"/>
                <w:sz w:val="20"/>
                <w:szCs w:val="20"/>
              </w:rPr>
            </w:pPr>
          </w:p>
        </w:tc>
        <w:tc>
          <w:tcPr>
            <w:tcW w:w="966" w:type="dxa"/>
            <w:vMerge w:val="continue"/>
            <w:tcBorders/>
            <w:tcFitText w:val="false"/>
            <w:vAlign w:val="bottom"/>
          </w:tcPr>
          <w:p>
            <w:pPr>
              <w:pStyle w:val="style0"/>
              <w:jc w:val="both"/>
              <w:rPr>
                <w:rFonts w:ascii="Arial" w:cs="Arial" w:hAnsi="Arial"/>
                <w:sz w:val="20"/>
                <w:szCs w:val="20"/>
              </w:rPr>
            </w:pPr>
          </w:p>
        </w:tc>
        <w:tc>
          <w:tcPr>
            <w:tcW w:w="880" w:type="dxa"/>
            <w:vMerge w:val="continue"/>
            <w:tcBorders/>
            <w:tcFitText w:val="false"/>
            <w:vAlign w:val="bottom"/>
          </w:tcPr>
          <w:p>
            <w:pPr>
              <w:pStyle w:val="style0"/>
              <w:jc w:val="both"/>
              <w:rPr>
                <w:rFonts w:ascii="Arial" w:cs="Arial" w:hAnsi="Arial"/>
                <w:sz w:val="20"/>
                <w:szCs w:val="20"/>
              </w:rPr>
            </w:pP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142" w:hRule="atLeast"/>
        </w:trPr>
        <w:tc>
          <w:tcPr>
            <w:tcW w:w="1117" w:type="dxa"/>
            <w:vMerge w:val="continue"/>
            <w:tcBorders/>
            <w:tcFitText w:val="false"/>
            <w:vAlign w:val="bottom"/>
          </w:tcPr>
          <w:p>
            <w:pPr>
              <w:pStyle w:val="style0"/>
              <w:jc w:val="both"/>
              <w:rPr>
                <w:rFonts w:ascii="Arial" w:cs="Arial" w:hAnsi="Arial"/>
                <w:sz w:val="20"/>
                <w:szCs w:val="20"/>
              </w:rPr>
            </w:pPr>
          </w:p>
        </w:tc>
        <w:tc>
          <w:tcPr>
            <w:tcW w:w="1481" w:type="dxa"/>
            <w:tcBorders/>
            <w:tcFitText w:val="false"/>
            <w:vAlign w:val="bottom"/>
          </w:tcPr>
          <w:p>
            <w:pPr>
              <w:pStyle w:val="style0"/>
              <w:jc w:val="both"/>
              <w:rPr>
                <w:rFonts w:ascii="Arial" w:cs="Arial" w:hAnsi="Arial"/>
                <w:sz w:val="20"/>
                <w:szCs w:val="20"/>
              </w:rPr>
            </w:pPr>
          </w:p>
        </w:tc>
        <w:tc>
          <w:tcPr>
            <w:tcW w:w="385" w:type="dxa"/>
            <w:tcBorders/>
            <w:tcFitText w:val="false"/>
            <w:vAlign w:val="bottom"/>
          </w:tcPr>
          <w:p>
            <w:pPr>
              <w:pStyle w:val="style0"/>
              <w:jc w:val="both"/>
              <w:rPr>
                <w:rFonts w:ascii="Arial" w:cs="Arial" w:hAnsi="Arial"/>
                <w:sz w:val="20"/>
                <w:szCs w:val="20"/>
              </w:rPr>
            </w:pPr>
          </w:p>
        </w:tc>
        <w:tc>
          <w:tcPr>
            <w:tcW w:w="904" w:type="dxa"/>
            <w:tcBorders/>
            <w:tcFitText w:val="false"/>
            <w:vAlign w:val="bottom"/>
          </w:tcPr>
          <w:p>
            <w:pPr>
              <w:pStyle w:val="style0"/>
              <w:jc w:val="both"/>
              <w:rPr>
                <w:rFonts w:ascii="Arial" w:cs="Arial" w:hAnsi="Arial"/>
                <w:sz w:val="20"/>
                <w:szCs w:val="20"/>
              </w:rPr>
            </w:pPr>
          </w:p>
        </w:tc>
        <w:tc>
          <w:tcPr>
            <w:tcW w:w="665" w:type="dxa"/>
            <w:tcBorders/>
            <w:tcFitText w:val="false"/>
            <w:vAlign w:val="bottom"/>
          </w:tcPr>
          <w:p>
            <w:pPr>
              <w:pStyle w:val="style0"/>
              <w:jc w:val="both"/>
              <w:rPr>
                <w:rFonts w:ascii="Arial" w:cs="Arial" w:hAnsi="Arial"/>
                <w:sz w:val="20"/>
                <w:szCs w:val="20"/>
              </w:rPr>
            </w:pPr>
          </w:p>
        </w:tc>
        <w:tc>
          <w:tcPr>
            <w:tcW w:w="966" w:type="dxa"/>
            <w:tcBorders/>
            <w:tcFitText w:val="false"/>
            <w:vAlign w:val="bottom"/>
          </w:tcPr>
          <w:p>
            <w:pPr>
              <w:pStyle w:val="style0"/>
              <w:jc w:val="both"/>
              <w:rPr>
                <w:rFonts w:ascii="Arial" w:cs="Arial" w:hAnsi="Arial"/>
                <w:sz w:val="20"/>
                <w:szCs w:val="20"/>
              </w:rPr>
            </w:pPr>
          </w:p>
        </w:tc>
        <w:tc>
          <w:tcPr>
            <w:tcW w:w="880" w:type="dxa"/>
            <w:tcBorders/>
            <w:tcFitText w:val="false"/>
            <w:vAlign w:val="bottom"/>
          </w:tcPr>
          <w:p>
            <w:pPr>
              <w:pStyle w:val="style0"/>
              <w:jc w:val="both"/>
              <w:rPr>
                <w:rFonts w:ascii="Arial" w:cs="Arial" w:hAnsi="Arial"/>
                <w:sz w:val="20"/>
                <w:szCs w:val="20"/>
              </w:rPr>
            </w:pP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r>
        <w:tblPrEx/>
        <w:trPr>
          <w:trHeight w:val="527" w:hRule="atLeast"/>
        </w:trPr>
        <w:tc>
          <w:tcPr>
            <w:tcW w:w="1117"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TOTALES</w:t>
            </w:r>
          </w:p>
        </w:tc>
        <w:tc>
          <w:tcPr>
            <w:tcW w:w="1481" w:type="dxa"/>
            <w:tcBorders/>
            <w:tcFitText w:val="false"/>
            <w:vAlign w:val="bottom"/>
          </w:tcPr>
          <w:p>
            <w:pPr>
              <w:pStyle w:val="style0"/>
              <w:jc w:val="both"/>
              <w:rPr>
                <w:rFonts w:ascii="Arial" w:cs="Arial" w:hAnsi="Arial"/>
                <w:sz w:val="20"/>
                <w:szCs w:val="20"/>
              </w:rPr>
            </w:pPr>
          </w:p>
        </w:tc>
        <w:tc>
          <w:tcPr>
            <w:tcW w:w="385" w:type="dxa"/>
            <w:tcBorders/>
            <w:tcFitText w:val="false"/>
            <w:vAlign w:val="bottom"/>
          </w:tcPr>
          <w:p>
            <w:pPr>
              <w:pStyle w:val="style0"/>
              <w:jc w:val="both"/>
              <w:rPr>
                <w:rFonts w:ascii="Arial" w:cs="Arial" w:hAnsi="Arial"/>
                <w:sz w:val="20"/>
                <w:szCs w:val="20"/>
              </w:rPr>
            </w:pPr>
          </w:p>
        </w:tc>
        <w:tc>
          <w:tcPr>
            <w:tcW w:w="904" w:type="dxa"/>
            <w:tcBorders/>
            <w:tcFitText w:val="false"/>
            <w:vAlign w:val="bottom"/>
          </w:tcPr>
          <w:p>
            <w:pPr>
              <w:pStyle w:val="style0"/>
              <w:jc w:val="both"/>
              <w:rPr>
                <w:rFonts w:ascii="Arial" w:cs="Arial" w:hAnsi="Arial"/>
                <w:sz w:val="20"/>
                <w:szCs w:val="20"/>
              </w:rPr>
            </w:pPr>
          </w:p>
        </w:tc>
        <w:tc>
          <w:tcPr>
            <w:tcW w:w="665"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60</w:t>
            </w:r>
          </w:p>
        </w:tc>
        <w:tc>
          <w:tcPr>
            <w:tcW w:w="966" w:type="dxa"/>
            <w:tcBorders/>
            <w:tcFitText w:val="false"/>
            <w:vAlign w:val="bottom"/>
          </w:tcPr>
          <w:p>
            <w:pPr>
              <w:pStyle w:val="style0"/>
              <w:jc w:val="both"/>
              <w:rPr>
                <w:rFonts w:ascii="Arial" w:cs="Arial" w:hAnsi="Arial"/>
                <w:sz w:val="20"/>
                <w:szCs w:val="20"/>
              </w:rPr>
            </w:pPr>
            <w:r>
              <w:rPr>
                <w:rFonts w:ascii="Arial" w:cs="Arial" w:eastAsia="Arial" w:hAnsi="Arial"/>
                <w:sz w:val="20"/>
                <w:szCs w:val="20"/>
              </w:rPr>
              <w:t>30</w:t>
            </w:r>
          </w:p>
        </w:tc>
        <w:tc>
          <w:tcPr>
            <w:tcW w:w="880" w:type="dxa"/>
            <w:tcBorders/>
            <w:tcFitText w:val="false"/>
            <w:vAlign w:val="bottom"/>
          </w:tcPr>
          <w:p>
            <w:pPr>
              <w:pStyle w:val="style0"/>
              <w:ind w:left="16"/>
              <w:jc w:val="both"/>
              <w:rPr>
                <w:rFonts w:ascii="Arial" w:cs="Arial" w:hAnsi="Arial"/>
                <w:sz w:val="20"/>
                <w:szCs w:val="20"/>
              </w:rPr>
            </w:pPr>
            <w:r>
              <w:rPr>
                <w:rFonts w:ascii="Arial" w:cs="Arial" w:eastAsia="Arial" w:hAnsi="Arial"/>
                <w:sz w:val="20"/>
                <w:szCs w:val="20"/>
              </w:rPr>
              <w:t>30</w:t>
            </w:r>
          </w:p>
        </w:tc>
        <w:tc>
          <w:tcPr>
            <w:tcW w:w="1697" w:type="dxa"/>
            <w:tcBorders/>
            <w:tcFitText w:val="false"/>
            <w:vAlign w:val="bottom"/>
          </w:tcPr>
          <w:p>
            <w:pPr>
              <w:pStyle w:val="style0"/>
              <w:jc w:val="both"/>
              <w:rPr>
                <w:rFonts w:ascii="Arial" w:cs="Arial" w:hAnsi="Arial"/>
                <w:sz w:val="20"/>
                <w:szCs w:val="20"/>
              </w:rPr>
            </w:pPr>
          </w:p>
        </w:tc>
        <w:tc>
          <w:tcPr>
            <w:tcW w:w="815" w:type="dxa"/>
            <w:tcBorders/>
            <w:tcFitText w:val="false"/>
            <w:vAlign w:val="bottom"/>
          </w:tcPr>
          <w:p>
            <w:pPr>
              <w:pStyle w:val="style0"/>
              <w:jc w:val="both"/>
              <w:rPr>
                <w:rFonts w:ascii="Arial" w:cs="Arial" w:hAnsi="Arial"/>
                <w:sz w:val="20"/>
                <w:szCs w:val="20"/>
              </w:rPr>
            </w:pPr>
          </w:p>
        </w:tc>
        <w:tc>
          <w:tcPr>
            <w:tcW w:w="21" w:type="dxa"/>
            <w:tcBorders/>
            <w:tcFitText w:val="false"/>
            <w:vAlign w:val="bottom"/>
          </w:tcPr>
          <w:p>
            <w:pPr>
              <w:pStyle w:val="style0"/>
              <w:jc w:val="both"/>
              <w:rPr>
                <w:rFonts w:ascii="Arial" w:cs="Arial" w:hAnsi="Arial"/>
                <w:sz w:val="20"/>
                <w:szCs w:val="20"/>
              </w:rPr>
            </w:pPr>
          </w:p>
        </w:tc>
      </w:tr>
    </w:tbl>
    <w:p>
      <w:pPr>
        <w:pStyle w:val="style0"/>
        <w:jc w:val="both"/>
        <w:rPr>
          <w:rFonts w:ascii="Arial" w:cs="Arial" w:hAnsi="Arial"/>
          <w:sz w:val="20"/>
          <w:szCs w:val="20"/>
        </w:rPr>
      </w:pPr>
    </w:p>
    <w:p>
      <w:pPr>
        <w:pStyle w:val="style0"/>
        <w:jc w:val="both"/>
        <w:rPr>
          <w:rFonts w:ascii="Arial" w:cs="Arial" w:hAnsi="Arial"/>
          <w:sz w:val="20"/>
          <w:szCs w:val="20"/>
        </w:rPr>
      </w:pPr>
    </w:p>
    <w:p>
      <w:pPr>
        <w:pStyle w:val="style0"/>
        <w:ind w:right="540"/>
        <w:jc w:val="both"/>
        <w:rPr>
          <w:rFonts w:ascii="Arial" w:cs="Arial" w:eastAsia="Arial" w:hAnsi="Arial"/>
          <w:sz w:val="20"/>
          <w:szCs w:val="20"/>
        </w:rPr>
      </w:pPr>
      <w:r>
        <w:rPr>
          <w:rFonts w:ascii="Arial" w:cs="Arial" w:eastAsia="Arial" w:hAnsi="Arial"/>
          <w:sz w:val="20"/>
          <w:szCs w:val="20"/>
        </w:rPr>
        <w:t xml:space="preserve">FUNDAMENTACIÓN DE LA ASIGNATURA </w:t>
      </w:r>
    </w:p>
    <w:p>
      <w:pPr>
        <w:pStyle w:val="style0"/>
        <w:ind w:right="540"/>
        <w:jc w:val="both"/>
        <w:rPr>
          <w:rFonts w:ascii="Arial" w:cs="Arial" w:hAnsi="Arial"/>
          <w:sz w:val="20"/>
          <w:szCs w:val="20"/>
        </w:rPr>
      </w:pPr>
      <w:r>
        <w:rPr>
          <w:rFonts w:ascii="Arial" w:cs="Arial" w:eastAsia="Arial" w:hAnsi="Arial"/>
          <w:sz w:val="20"/>
          <w:szCs w:val="20"/>
        </w:rPr>
        <w:t>En esta asignatura los estudiantes se adiestran en estudios superiores de la contabilidad, aplicando su perfil, pues entran a conocer técnicas relativas a la elaboración y presentación de estados financieros de entidades de mayor nivel de organización.</w:t>
      </w:r>
    </w:p>
    <w:p>
      <w:pPr>
        <w:pStyle w:val="style0"/>
        <w:jc w:val="both"/>
        <w:rPr>
          <w:rFonts w:ascii="Arial" w:cs="Arial" w:hAnsi="Arial"/>
          <w:sz w:val="20"/>
          <w:szCs w:val="20"/>
        </w:rPr>
      </w:pPr>
    </w:p>
    <w:p>
      <w:pPr>
        <w:pStyle w:val="style0"/>
        <w:ind w:right="540"/>
        <w:jc w:val="both"/>
        <w:rPr>
          <w:rFonts w:ascii="Arial" w:cs="Arial" w:hAnsi="Arial"/>
          <w:sz w:val="20"/>
          <w:szCs w:val="20"/>
        </w:rPr>
      </w:pPr>
      <w:r>
        <w:rPr>
          <w:rFonts w:ascii="Arial" w:cs="Arial" w:eastAsia="Arial" w:hAnsi="Arial"/>
          <w:sz w:val="20"/>
          <w:szCs w:val="20"/>
        </w:rPr>
        <w:t xml:space="preserve">Asimismo, el estudiante podrá completar el estudio del ciclo de la contabilidad </w:t>
      </w:r>
      <w:r>
        <w:rPr>
          <w:rFonts w:ascii="Arial" w:cs="Arial" w:eastAsia="Arial" w:hAnsi="Arial"/>
          <w:sz w:val="20"/>
          <w:szCs w:val="20"/>
        </w:rPr>
        <w:t>ya que</w:t>
      </w:r>
      <w:r>
        <w:rPr>
          <w:rFonts w:ascii="Arial" w:cs="Arial" w:eastAsia="Arial" w:hAnsi="Arial"/>
          <w:sz w:val="20"/>
          <w:szCs w:val="20"/>
        </w:rPr>
        <w:t xml:space="preserve"> una vez culminado el proceso de registro, aplicando las diferentes técnicas y procedimientos contables, se entra en la fase analítica con vistas a la toma de decisiones, considerando además como un paso previo, la agrupación y actualización de los informes financieros.</w:t>
      </w:r>
    </w:p>
    <w:p>
      <w:pPr>
        <w:pStyle w:val="style0"/>
        <w:jc w:val="both"/>
        <w:rPr>
          <w:rFonts w:ascii="Arial" w:cs="Arial" w:hAnsi="Arial"/>
          <w:sz w:val="20"/>
          <w:szCs w:val="20"/>
        </w:rPr>
      </w:pPr>
    </w:p>
    <w:p>
      <w:pPr>
        <w:pStyle w:val="style0"/>
        <w:jc w:val="both"/>
        <w:rPr>
          <w:rFonts w:ascii="Arial" w:cs="Arial" w:hAnsi="Arial"/>
          <w:sz w:val="20"/>
          <w:szCs w:val="20"/>
        </w:rPr>
      </w:pPr>
      <w:r>
        <w:rPr>
          <w:rFonts w:ascii="Arial" w:cs="Arial" w:eastAsia="Arial" w:hAnsi="Arial"/>
          <w:sz w:val="20"/>
          <w:szCs w:val="20"/>
        </w:rPr>
        <w:t>OBJETIVOS GENERALES DE LA ASIGNATURA</w:t>
      </w:r>
    </w:p>
    <w:p>
      <w:pPr>
        <w:pStyle w:val="style0"/>
        <w:jc w:val="both"/>
        <w:rPr>
          <w:rFonts w:ascii="Arial" w:cs="Arial" w:hAnsi="Arial"/>
          <w:sz w:val="20"/>
          <w:szCs w:val="20"/>
        </w:rPr>
      </w:pPr>
    </w:p>
    <w:p>
      <w:pPr>
        <w:pStyle w:val="style0"/>
        <w:numPr>
          <w:ilvl w:val="0"/>
          <w:numId w:val="1"/>
        </w:numPr>
        <w:tabs>
          <w:tab w:val="left" w:leader="none" w:pos="920"/>
        </w:tabs>
        <w:ind w:left="920" w:right="540" w:hanging="354"/>
        <w:jc w:val="both"/>
        <w:rPr>
          <w:rFonts w:ascii="Arial" w:cs="Arial" w:eastAsia="Arial" w:hAnsi="Arial"/>
          <w:sz w:val="20"/>
          <w:szCs w:val="20"/>
        </w:rPr>
      </w:pPr>
      <w:r>
        <w:rPr>
          <w:rFonts w:ascii="Arial" w:cs="Arial" w:eastAsia="Arial" w:hAnsi="Arial"/>
          <w:sz w:val="20"/>
          <w:szCs w:val="20"/>
        </w:rPr>
        <w:t>Valorar la incidencia de las operaciones en moneda extranjera en la información financiera, así como la importancia del proceso de la Combinación y Consolidación Contable, dentro del contexto económico político-social existente.</w:t>
      </w:r>
    </w:p>
    <w:p>
      <w:pPr>
        <w:pStyle w:val="style0"/>
        <w:jc w:val="both"/>
        <w:rPr>
          <w:rFonts w:ascii="Arial" w:cs="Arial" w:eastAsia="Arial" w:hAnsi="Arial"/>
          <w:sz w:val="20"/>
          <w:szCs w:val="20"/>
        </w:rPr>
      </w:pPr>
    </w:p>
    <w:p>
      <w:pPr>
        <w:pStyle w:val="style0"/>
        <w:numPr>
          <w:ilvl w:val="0"/>
          <w:numId w:val="1"/>
        </w:numPr>
        <w:tabs>
          <w:tab w:val="left" w:leader="none" w:pos="920"/>
        </w:tabs>
        <w:ind w:left="920" w:right="540" w:hanging="354"/>
        <w:jc w:val="both"/>
        <w:rPr>
          <w:rFonts w:ascii="Arial" w:cs="Arial" w:eastAsia="Arial" w:hAnsi="Arial"/>
          <w:sz w:val="20"/>
          <w:szCs w:val="20"/>
        </w:rPr>
      </w:pPr>
      <w:r>
        <w:rPr>
          <w:rFonts w:ascii="Arial" w:cs="Arial" w:eastAsia="Arial" w:hAnsi="Arial"/>
          <w:sz w:val="20"/>
          <w:szCs w:val="20"/>
        </w:rPr>
        <w:t>Valorar la importancia de la actualización y análisis de la información económico-financiera en el contexto actual como un elemento primordial en la gestión empresarial y en la toma de decisiones.</w:t>
      </w:r>
    </w:p>
    <w:p>
      <w:pPr>
        <w:pStyle w:val="style0"/>
        <w:jc w:val="both"/>
        <w:rPr>
          <w:rFonts w:ascii="Arial" w:cs="Arial" w:eastAsia="Arial" w:hAnsi="Arial"/>
          <w:sz w:val="20"/>
          <w:szCs w:val="20"/>
        </w:rPr>
      </w:pPr>
    </w:p>
    <w:p>
      <w:pPr>
        <w:pStyle w:val="style0"/>
        <w:numPr>
          <w:ilvl w:val="0"/>
          <w:numId w:val="1"/>
        </w:numPr>
        <w:tabs>
          <w:tab w:val="left" w:leader="none" w:pos="920"/>
        </w:tabs>
        <w:ind w:left="920" w:right="540" w:hanging="354"/>
        <w:jc w:val="both"/>
        <w:rPr>
          <w:rFonts w:ascii="Arial" w:cs="Arial" w:eastAsia="Arial" w:hAnsi="Arial"/>
          <w:sz w:val="20"/>
          <w:szCs w:val="20"/>
        </w:rPr>
      </w:pPr>
      <w:r>
        <w:rPr>
          <w:rFonts w:ascii="Arial" w:cs="Arial" w:eastAsia="Arial" w:hAnsi="Arial"/>
          <w:sz w:val="20"/>
          <w:szCs w:val="20"/>
        </w:rPr>
        <w:t>Aplicar técnicas que permitan presentar e informar estados consolidados que contribuyan a la efectividad de las decisiones económica, teniendo en cuenta la legislación tributaria y la presentación en una sola unidad monetaria.</w:t>
      </w:r>
    </w:p>
    <w:p>
      <w:pPr>
        <w:pStyle w:val="style0"/>
        <w:jc w:val="both"/>
        <w:rPr>
          <w:rFonts w:ascii="Arial" w:cs="Arial" w:eastAsia="Arial" w:hAnsi="Arial"/>
          <w:sz w:val="20"/>
          <w:szCs w:val="20"/>
        </w:rPr>
      </w:pPr>
    </w:p>
    <w:p>
      <w:pPr>
        <w:pStyle w:val="style0"/>
        <w:numPr>
          <w:ilvl w:val="0"/>
          <w:numId w:val="1"/>
        </w:numPr>
        <w:tabs>
          <w:tab w:val="left" w:leader="none" w:pos="920"/>
        </w:tabs>
        <w:ind w:left="920" w:right="540" w:hanging="354"/>
        <w:jc w:val="both"/>
        <w:rPr>
          <w:rFonts w:ascii="Arial" w:cs="Arial" w:eastAsia="Arial" w:hAnsi="Arial"/>
          <w:sz w:val="20"/>
          <w:szCs w:val="20"/>
        </w:rPr>
      </w:pPr>
      <w:r>
        <w:rPr>
          <w:rFonts w:ascii="Arial" w:cs="Arial" w:eastAsia="Arial" w:hAnsi="Arial"/>
          <w:sz w:val="20"/>
          <w:szCs w:val="20"/>
        </w:rPr>
        <w:t>Aplicar las técnicas de actualización y análisis de la información contenida en los estados financieros para que contribuya a la efectividad en la toma de decisiones económicas.</w:t>
      </w:r>
    </w:p>
    <w:p>
      <w:pPr>
        <w:pStyle w:val="style0"/>
        <w:ind w:left="220"/>
        <w:jc w:val="both"/>
        <w:rPr>
          <w:rFonts w:ascii="Arial" w:cs="Arial" w:eastAsia="Arial" w:hAnsi="Arial"/>
          <w:sz w:val="20"/>
          <w:szCs w:val="20"/>
        </w:rPr>
      </w:pPr>
    </w:p>
    <w:p>
      <w:pPr>
        <w:pStyle w:val="style0"/>
        <w:ind w:left="220"/>
        <w:jc w:val="both"/>
        <w:rPr>
          <w:rFonts w:ascii="Arial" w:cs="Arial" w:eastAsia="Arial" w:hAnsi="Arial"/>
          <w:sz w:val="20"/>
          <w:szCs w:val="20"/>
        </w:rPr>
      </w:pPr>
    </w:p>
    <w:p>
      <w:pPr>
        <w:pStyle w:val="style0"/>
        <w:ind w:left="220"/>
        <w:jc w:val="both"/>
        <w:rPr>
          <w:rFonts w:ascii="Arial" w:cs="Arial" w:eastAsia="Arial" w:hAnsi="Arial"/>
          <w:sz w:val="20"/>
          <w:szCs w:val="20"/>
        </w:rPr>
      </w:pPr>
    </w:p>
    <w:p>
      <w:pPr>
        <w:pStyle w:val="style0"/>
        <w:ind w:left="220"/>
        <w:jc w:val="both"/>
        <w:rPr>
          <w:rFonts w:ascii="Arial" w:cs="Arial" w:eastAsia="Arial" w:hAnsi="Arial"/>
          <w:sz w:val="20"/>
          <w:szCs w:val="20"/>
        </w:rPr>
      </w:pPr>
    </w:p>
    <w:p>
      <w:pPr>
        <w:pStyle w:val="style0"/>
        <w:ind w:left="220"/>
        <w:jc w:val="both"/>
        <w:rPr>
          <w:rFonts w:ascii="Arial" w:cs="Arial" w:hAnsi="Arial"/>
          <w:sz w:val="20"/>
          <w:szCs w:val="20"/>
        </w:rPr>
      </w:pPr>
      <w:r>
        <w:rPr>
          <w:rFonts w:ascii="Arial" w:cs="Arial" w:eastAsia="Arial" w:hAnsi="Arial"/>
          <w:sz w:val="20"/>
          <w:szCs w:val="20"/>
        </w:rPr>
        <w:t>CONTENIDOS BÁSICOS DE LA ASIGNATURA</w:t>
      </w:r>
    </w:p>
    <w:p>
      <w:pPr>
        <w:pStyle w:val="style0"/>
        <w:ind w:left="220"/>
        <w:jc w:val="both"/>
        <w:rPr>
          <w:rFonts w:ascii="Arial" w:cs="Arial" w:eastAsia="Arial" w:hAnsi="Arial"/>
          <w:sz w:val="20"/>
          <w:szCs w:val="20"/>
        </w:rPr>
      </w:pPr>
    </w:p>
    <w:p>
      <w:pPr>
        <w:pStyle w:val="style0"/>
        <w:ind w:left="220"/>
        <w:jc w:val="both"/>
        <w:rPr>
          <w:rFonts w:ascii="Arial" w:cs="Arial" w:hAnsi="Arial"/>
          <w:sz w:val="20"/>
          <w:szCs w:val="20"/>
        </w:rPr>
      </w:pPr>
      <w:r>
        <w:rPr>
          <w:rFonts w:ascii="Arial" w:cs="Arial" w:eastAsia="Arial" w:hAnsi="Arial"/>
          <w:sz w:val="20"/>
          <w:szCs w:val="20"/>
        </w:rPr>
        <w:t>CONOCIMIENTOS ESENCIALES A ADQUIRIR</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Operaciones vinculadas con moneda extranjera. Estados financieros consolidados: objetivos e importancia. Principales métodos. Transacciones inter e intra compañías. Estados financieros combinados. Objetivos e importancia.</w:t>
      </w:r>
    </w:p>
    <w:p>
      <w:pPr>
        <w:pStyle w:val="style0"/>
        <w:jc w:val="both"/>
        <w:rPr>
          <w:rFonts w:ascii="Arial" w:cs="Arial" w:hAnsi="Arial"/>
          <w:sz w:val="20"/>
          <w:szCs w:val="20"/>
        </w:rPr>
      </w:pPr>
    </w:p>
    <w:p>
      <w:pPr>
        <w:pStyle w:val="style0"/>
        <w:ind w:left="220" w:right="540"/>
        <w:jc w:val="both"/>
        <w:rPr>
          <w:rFonts w:ascii="Arial" w:cs="Arial" w:eastAsia="Arial" w:hAnsi="Arial"/>
          <w:sz w:val="20"/>
          <w:szCs w:val="20"/>
        </w:rPr>
      </w:pPr>
      <w:r>
        <w:rPr>
          <w:rFonts w:ascii="Arial" w:cs="Arial" w:eastAsia="Arial" w:hAnsi="Arial"/>
          <w:sz w:val="20"/>
          <w:szCs w:val="20"/>
        </w:rPr>
        <w:t>Métodos y/o técnicas que permitan efectuar el análisis de los estados financieros, incluyendo el análisis de las corrientes de fondo. Los efectos de la inflación de los estados financieros. Técnicas que se pueden emplear en la solución de los efectos de la inflación de los estados financieros.</w:t>
      </w:r>
      <w:bookmarkStart w:id="0" w:name="page234"/>
      <w:bookmarkEnd w:id="0"/>
    </w:p>
    <w:p>
      <w:pPr>
        <w:pStyle w:val="style0"/>
        <w:ind w:left="220" w:right="540"/>
        <w:jc w:val="both"/>
        <w:rPr>
          <w:rFonts w:ascii="Arial" w:cs="Arial" w:eastAsia="Arial" w:hAnsi="Arial"/>
          <w:sz w:val="20"/>
          <w:szCs w:val="20"/>
        </w:rPr>
      </w:pPr>
    </w:p>
    <w:p>
      <w:pPr>
        <w:pStyle w:val="style0"/>
        <w:ind w:left="220" w:right="540"/>
        <w:jc w:val="both"/>
        <w:rPr>
          <w:rFonts w:ascii="Arial" w:cs="Arial" w:hAnsi="Arial"/>
          <w:sz w:val="20"/>
          <w:szCs w:val="20"/>
        </w:rPr>
      </w:pPr>
      <w:r>
        <w:rPr>
          <w:rFonts w:ascii="Arial" w:cs="Arial" w:hAnsi="Arial"/>
          <w:sz w:val="20"/>
          <w:szCs w:val="20"/>
        </w:rPr>
        <w:t>HABILIDADES PRINCIPALES A DOMINAR</w:t>
      </w:r>
    </w:p>
    <w:p>
      <w:pPr>
        <w:pStyle w:val="style0"/>
        <w:numPr>
          <w:ilvl w:val="0"/>
          <w:numId w:val="2"/>
        </w:numPr>
        <w:tabs>
          <w:tab w:val="left" w:leader="none" w:pos="640"/>
        </w:tabs>
        <w:ind w:left="640" w:right="540" w:hanging="285"/>
        <w:jc w:val="both"/>
        <w:rPr>
          <w:rFonts w:ascii="Arial" w:cs="Arial" w:eastAsia="Arial" w:hAnsi="Arial"/>
          <w:sz w:val="20"/>
          <w:szCs w:val="20"/>
        </w:rPr>
      </w:pPr>
      <w:r>
        <w:rPr>
          <w:rFonts w:ascii="Arial" w:cs="Arial" w:eastAsia="Arial" w:hAnsi="Arial"/>
          <w:sz w:val="20"/>
          <w:szCs w:val="20"/>
        </w:rPr>
        <w:t>Registrar operaciones económicas vinculadas con la moneda extranjera (valuación y conversión)</w:t>
      </w:r>
    </w:p>
    <w:p>
      <w:pPr>
        <w:pStyle w:val="style0"/>
        <w:jc w:val="both"/>
        <w:rPr>
          <w:rFonts w:ascii="Arial" w:cs="Arial" w:eastAsia="Arial" w:hAnsi="Arial"/>
          <w:sz w:val="20"/>
          <w:szCs w:val="20"/>
        </w:rPr>
      </w:pPr>
    </w:p>
    <w:p>
      <w:pPr>
        <w:pStyle w:val="style0"/>
        <w:numPr>
          <w:ilvl w:val="0"/>
          <w:numId w:val="2"/>
        </w:numPr>
        <w:tabs>
          <w:tab w:val="left" w:leader="none" w:pos="640"/>
        </w:tabs>
        <w:ind w:left="640" w:right="540" w:hanging="285"/>
        <w:jc w:val="both"/>
        <w:rPr>
          <w:rFonts w:ascii="Arial" w:cs="Arial" w:eastAsia="Arial" w:hAnsi="Arial"/>
          <w:sz w:val="20"/>
          <w:szCs w:val="20"/>
        </w:rPr>
      </w:pPr>
      <w:r>
        <w:rPr>
          <w:rFonts w:ascii="Arial" w:cs="Arial" w:eastAsia="Arial" w:hAnsi="Arial"/>
          <w:sz w:val="20"/>
          <w:szCs w:val="20"/>
        </w:rPr>
        <w:t>Elaborar los Estados Combinados, aplicando diferentes métodos de facturación.</w:t>
      </w:r>
    </w:p>
    <w:p>
      <w:pPr>
        <w:pStyle w:val="style0"/>
        <w:jc w:val="both"/>
        <w:rPr>
          <w:rFonts w:ascii="Arial" w:cs="Arial" w:eastAsia="Arial" w:hAnsi="Arial"/>
          <w:sz w:val="20"/>
          <w:szCs w:val="20"/>
        </w:rPr>
      </w:pPr>
    </w:p>
    <w:p>
      <w:pPr>
        <w:pStyle w:val="style0"/>
        <w:numPr>
          <w:ilvl w:val="0"/>
          <w:numId w:val="2"/>
        </w:numPr>
        <w:tabs>
          <w:tab w:val="left" w:leader="none" w:pos="640"/>
        </w:tabs>
        <w:ind w:left="640" w:right="540" w:hanging="285"/>
        <w:jc w:val="both"/>
        <w:rPr>
          <w:rFonts w:ascii="Arial" w:cs="Arial" w:eastAsia="Arial" w:hAnsi="Arial"/>
          <w:sz w:val="20"/>
          <w:szCs w:val="20"/>
        </w:rPr>
      </w:pPr>
      <w:r>
        <w:rPr>
          <w:rFonts w:ascii="Arial" w:cs="Arial" w:eastAsia="Arial" w:hAnsi="Arial"/>
          <w:sz w:val="20"/>
          <w:szCs w:val="20"/>
        </w:rPr>
        <w:t>Efectuar la Consolidación de los estados e Informes de dos o más entidades económicas, en la fecha de adquisición y un año posterior a esta, (sólo para el Estado de situación financiera), teniendo en cuenta los ajustes y eliminaciones por las relaciones patrimoniales, financieras y económicas</w:t>
      </w:r>
    </w:p>
    <w:p>
      <w:pPr>
        <w:pStyle w:val="style0"/>
        <w:jc w:val="both"/>
        <w:rPr>
          <w:rFonts w:ascii="Arial" w:cs="Arial" w:eastAsia="Arial" w:hAnsi="Arial"/>
          <w:sz w:val="20"/>
          <w:szCs w:val="20"/>
        </w:rPr>
      </w:pPr>
    </w:p>
    <w:p>
      <w:pPr>
        <w:pStyle w:val="style0"/>
        <w:numPr>
          <w:ilvl w:val="0"/>
          <w:numId w:val="2"/>
        </w:numPr>
        <w:tabs>
          <w:tab w:val="left" w:leader="none" w:pos="640"/>
        </w:tabs>
        <w:ind w:left="640" w:right="540" w:hanging="285"/>
        <w:jc w:val="both"/>
        <w:rPr>
          <w:rFonts w:ascii="Arial" w:cs="Arial" w:eastAsia="Arial" w:hAnsi="Arial"/>
          <w:sz w:val="20"/>
          <w:szCs w:val="20"/>
        </w:rPr>
      </w:pPr>
      <w:r>
        <w:rPr>
          <w:rFonts w:ascii="Arial" w:cs="Arial" w:eastAsia="Arial" w:hAnsi="Arial"/>
          <w:sz w:val="20"/>
          <w:szCs w:val="20"/>
        </w:rPr>
        <w:t>Reexpresar</w:t>
      </w:r>
      <w:r>
        <w:rPr>
          <w:rFonts w:ascii="Arial" w:cs="Arial" w:eastAsia="Arial" w:hAnsi="Arial"/>
          <w:sz w:val="20"/>
          <w:szCs w:val="20"/>
        </w:rPr>
        <w:t xml:space="preserve"> los estados financieros a partir del empleo de diferentes técnicas en la solución de los problemas de la inflación.</w:t>
      </w:r>
    </w:p>
    <w:p>
      <w:pPr>
        <w:pStyle w:val="style0"/>
        <w:jc w:val="both"/>
        <w:rPr>
          <w:rFonts w:ascii="Arial" w:cs="Arial" w:eastAsia="Arial" w:hAnsi="Arial"/>
          <w:sz w:val="20"/>
          <w:szCs w:val="20"/>
        </w:rPr>
      </w:pPr>
    </w:p>
    <w:p>
      <w:pPr>
        <w:pStyle w:val="style0"/>
        <w:numPr>
          <w:ilvl w:val="0"/>
          <w:numId w:val="2"/>
        </w:numPr>
        <w:tabs>
          <w:tab w:val="left" w:leader="none" w:pos="640"/>
        </w:tabs>
        <w:ind w:left="640" w:right="540" w:hanging="285"/>
        <w:jc w:val="both"/>
        <w:rPr>
          <w:rFonts w:ascii="Arial" w:cs="Arial" w:eastAsia="Arial" w:hAnsi="Arial"/>
          <w:sz w:val="20"/>
          <w:szCs w:val="20"/>
        </w:rPr>
      </w:pPr>
      <w:r>
        <w:rPr>
          <w:rFonts w:ascii="Arial" w:cs="Arial" w:eastAsia="Arial" w:hAnsi="Arial"/>
          <w:sz w:val="20"/>
          <w:szCs w:val="20"/>
        </w:rPr>
        <w:t>Analizar e interpretar los estados financieros a partir del empleo de las diferentes técnicas de análisis.</w:t>
      </w:r>
    </w:p>
    <w:p>
      <w:pPr>
        <w:pStyle w:val="style0"/>
        <w:jc w:val="both"/>
        <w:rPr>
          <w:rFonts w:ascii="Arial" w:cs="Arial" w:eastAsia="Arial" w:hAnsi="Arial"/>
          <w:sz w:val="20"/>
          <w:szCs w:val="20"/>
        </w:rPr>
      </w:pPr>
    </w:p>
    <w:p>
      <w:pPr>
        <w:pStyle w:val="style0"/>
        <w:numPr>
          <w:ilvl w:val="0"/>
          <w:numId w:val="2"/>
        </w:numPr>
        <w:tabs>
          <w:tab w:val="left" w:leader="none" w:pos="640"/>
        </w:tabs>
        <w:ind w:left="640" w:hanging="285"/>
        <w:jc w:val="both"/>
        <w:rPr>
          <w:rFonts w:ascii="Arial" w:cs="Arial" w:eastAsia="Arial" w:hAnsi="Arial"/>
          <w:sz w:val="20"/>
          <w:szCs w:val="20"/>
        </w:rPr>
      </w:pPr>
      <w:r>
        <w:rPr>
          <w:rFonts w:ascii="Arial" w:cs="Arial" w:eastAsia="Arial" w:hAnsi="Arial"/>
          <w:sz w:val="20"/>
          <w:szCs w:val="20"/>
        </w:rPr>
        <w:t>Utilizar hojas de cálculo y paquetes informáticos asociados a la Contabilidad.</w:t>
      </w:r>
    </w:p>
    <w:p>
      <w:pPr>
        <w:pStyle w:val="style0"/>
        <w:jc w:val="both"/>
        <w:rPr>
          <w:rFonts w:ascii="Arial" w:cs="Arial" w:hAnsi="Arial"/>
          <w:sz w:val="20"/>
          <w:szCs w:val="20"/>
        </w:rPr>
      </w:pPr>
    </w:p>
    <w:p>
      <w:pPr>
        <w:pStyle w:val="style0"/>
        <w:ind w:left="220"/>
        <w:jc w:val="both"/>
        <w:rPr>
          <w:rFonts w:ascii="Arial" w:cs="Arial" w:hAnsi="Arial"/>
          <w:sz w:val="20"/>
          <w:szCs w:val="20"/>
        </w:rPr>
      </w:pPr>
      <w:r>
        <w:rPr>
          <w:rFonts w:ascii="Arial" w:cs="Arial" w:eastAsia="Arial" w:hAnsi="Arial"/>
          <w:sz w:val="20"/>
          <w:szCs w:val="20"/>
        </w:rPr>
        <w:t>VALORES FUNDAMENTALES DE LA CARRERA A LOS QUE TRIBUTA</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Con esta asignatura el estudiante debe desarrollar la creatividad al aplicar las normativas aprobadas y la profesionalidad al demandarse de él que actúe con la eficiencia y eficacia que se requiere. Debe incentivarse el sentido de independencia, pues en esta asignatura el estudiante debe ser capaz de decidir la aplicación de métodos valorativos cuyas consecuencias se reflejan en la toma de decisiones posteriores. De igual modo, por la importancia que reviste la asignatura, el estudiante debe ser austero y colaborativo, pues ya se encuentra en un nivel superior donde debe primar el análisis de los resultados obtenidos y tener una imagen global de la entidad donde se encuentra a la hora de tomar decisiones.</w:t>
      </w:r>
    </w:p>
    <w:p>
      <w:pPr>
        <w:pStyle w:val="style0"/>
        <w:jc w:val="both"/>
        <w:rPr>
          <w:rFonts w:ascii="Arial" w:cs="Arial" w:hAnsi="Arial"/>
          <w:sz w:val="20"/>
          <w:szCs w:val="20"/>
        </w:rPr>
      </w:pP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INDICACIONES METODOLÓGICASY DE ORGANIZACIÓN DELAASIGNATURA</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En el tema I se comenzará por el registro de las operaciones en moneda extranjera, fijando la ganancia o pérdida por fluctuación de la tasa de cambio en operaciones de compra-venta. Posteriormente se estudiarán los métodos para convertir estados financieros en moneda extranjera.</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En el tema II se estudian las entidades que se organizan por un sistema de unidades de base, en particular aquellas que se abastecen únicamente de su casa matriz y que esta operación se factura al costo o por encima del costo; se registrará el efecto de las operaciones en los libros en ambos lugares.</w:t>
      </w:r>
    </w:p>
    <w:p>
      <w:pPr>
        <w:pStyle w:val="style0"/>
        <w:jc w:val="both"/>
        <w:rPr>
          <w:rFonts w:ascii="Arial" w:cs="Arial" w:hAnsi="Arial"/>
          <w:sz w:val="20"/>
          <w:szCs w:val="20"/>
        </w:rPr>
      </w:pPr>
    </w:p>
    <w:p>
      <w:pPr>
        <w:pStyle w:val="style0"/>
        <w:jc w:val="both"/>
        <w:rPr>
          <w:rFonts w:ascii="Arial" w:cs="Arial" w:hAnsi="Arial"/>
          <w:sz w:val="20"/>
          <w:szCs w:val="20"/>
        </w:rPr>
      </w:pPr>
    </w:p>
    <w:p>
      <w:pPr>
        <w:pStyle w:val="style0"/>
        <w:jc w:val="both"/>
        <w:rPr>
          <w:rFonts w:ascii="Arial" w:cs="Arial" w:hAnsi="Arial"/>
          <w:sz w:val="20"/>
          <w:szCs w:val="20"/>
        </w:rPr>
      </w:pPr>
    </w:p>
    <w:bookmarkStart w:id="1" w:name="page235"/>
    <w:bookmarkEnd w:id="1"/>
    <w:p>
      <w:pPr>
        <w:pStyle w:val="style0"/>
        <w:jc w:val="both"/>
        <w:rPr>
          <w:rFonts w:ascii="Arial" w:cs="Arial" w:eastAsia="Arial" w:hAnsi="Arial"/>
          <w:sz w:val="20"/>
          <w:szCs w:val="20"/>
        </w:rPr>
      </w:pPr>
    </w:p>
    <w:p>
      <w:pPr>
        <w:pStyle w:val="style0"/>
        <w:jc w:val="both"/>
        <w:rPr>
          <w:rFonts w:ascii="Arial" w:cs="Arial" w:eastAsia="Arial" w:hAnsi="Arial"/>
          <w:sz w:val="20"/>
          <w:szCs w:val="20"/>
        </w:rPr>
      </w:pPr>
    </w:p>
    <w:p>
      <w:pPr>
        <w:pStyle w:val="style0"/>
        <w:jc w:val="both"/>
        <w:rPr>
          <w:rFonts w:ascii="Arial" w:cs="Arial" w:eastAsia="Arial" w:hAnsi="Arial"/>
          <w:sz w:val="20"/>
          <w:szCs w:val="20"/>
        </w:rPr>
      </w:pPr>
    </w:p>
    <w:p>
      <w:pPr>
        <w:pStyle w:val="style0"/>
        <w:jc w:val="both"/>
        <w:rPr>
          <w:rFonts w:ascii="Arial" w:cs="Arial" w:eastAsia="Arial" w:hAnsi="Arial"/>
          <w:sz w:val="20"/>
          <w:szCs w:val="20"/>
        </w:rPr>
      </w:pP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Posteriormente se pasará a elaborar la Hoja Preparatoria de los Estados Financieros Combinados, en la que se procede a eliminar las operaciones que relacionan a la unidad con su casa matriz para su primer y segundo año de operaciones.</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El tema III abordará los elementos conceptuales que diferencia la consolidación como un proceso contable que integra los estados financieros de las entidades que conforman un grupo, sea de sociedades o no, visto esto como una unidad económica y considerando las fases de dicho proceso.</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Se estudiará el método de consolidación de integración global y se presentará la técnica por medio del estudio de casos teniendo en cuenta los siguientes aspectos: fecha de la consolidación, proporción de esta (existencia de intereses minoritarios), método empleado para valorar dicha inversión y las eliminaciones de las operaciones entre compañías.</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Se hará necesario a los efectos de la consolidación de los estados e informes de dos o más entidades económicas, partir de la fecha de adquisición y un año posterior a esta (sólo para el estado de situación), teniendo en cuenta los ajustes y eliminaciones por las relaciones patrimoniales, financieras y económicas</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En el tema IV se debe comenzar explicando que el registro contable y la presentación de los estados financieros se efectúan bajo el principio de Costo Histórico, por lo que existen diferencias entre la información de los estados financieros y la realidad.</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Se enunciarán las causas que provocan estas diferencias: equilibrio entre oferta y demanda, incorrecta estimación de la vida de los activos fijos, la inflación, etc. Se profundizará en el concepto de inflación como causa que provoca estas diferencias definiéndola, como pérdida del poder adquisitivo de la moneda o alza constante de los precios.</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 xml:space="preserve">Posteriormente se señalarán las políticas o métodos a aplicar en economías inflacionarias: reinversión de utilidades, revalorización de activos no circulantes, método del valor constante, método del costo actual, método combinado. Se comenzará estudiando el Método de Valor Constante planteando que este no abandona el costo histórico, sino que lo </w:t>
      </w:r>
      <w:r>
        <w:rPr>
          <w:rFonts w:ascii="Arial" w:cs="Arial" w:eastAsia="Arial" w:hAnsi="Arial"/>
          <w:sz w:val="20"/>
          <w:szCs w:val="20"/>
        </w:rPr>
        <w:t>reexpresa</w:t>
      </w:r>
      <w:r>
        <w:rPr>
          <w:rFonts w:ascii="Arial" w:cs="Arial" w:eastAsia="Arial" w:hAnsi="Arial"/>
          <w:sz w:val="20"/>
          <w:szCs w:val="20"/>
        </w:rPr>
        <w:t xml:space="preserve"> de acuerdo al poder adquisitivo de la moneda actual.</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 xml:space="preserve">Se explicará cómo se realiza la </w:t>
      </w:r>
      <w:r>
        <w:rPr>
          <w:rFonts w:ascii="Arial" w:cs="Arial" w:eastAsia="Arial" w:hAnsi="Arial"/>
          <w:sz w:val="20"/>
          <w:szCs w:val="20"/>
        </w:rPr>
        <w:t>reexpresión</w:t>
      </w:r>
      <w:r>
        <w:rPr>
          <w:rFonts w:ascii="Arial" w:cs="Arial" w:eastAsia="Arial" w:hAnsi="Arial"/>
          <w:sz w:val="20"/>
          <w:szCs w:val="20"/>
        </w:rPr>
        <w:t xml:space="preserve"> de cada partida; enunciando el concepto de índice de precio. Explicar la ecuación de la </w:t>
      </w:r>
      <w:r>
        <w:rPr>
          <w:rFonts w:ascii="Arial" w:cs="Arial" w:eastAsia="Arial" w:hAnsi="Arial"/>
          <w:sz w:val="20"/>
          <w:szCs w:val="20"/>
        </w:rPr>
        <w:t>reexpresión</w:t>
      </w:r>
      <w:r>
        <w:rPr>
          <w:rFonts w:ascii="Arial" w:cs="Arial" w:eastAsia="Arial" w:hAnsi="Arial"/>
          <w:sz w:val="20"/>
          <w:szCs w:val="20"/>
        </w:rPr>
        <w:t>:</w:t>
      </w:r>
    </w:p>
    <w:p>
      <w:pPr>
        <w:pStyle w:val="style0"/>
        <w:jc w:val="both"/>
        <w:rPr>
          <w:rFonts w:ascii="Arial" w:cs="Arial" w:hAnsi="Arial"/>
          <w:sz w:val="20"/>
          <w:szCs w:val="20"/>
        </w:rPr>
      </w:pPr>
    </w:p>
    <w:p>
      <w:pPr>
        <w:pStyle w:val="style0"/>
        <w:ind w:right="320"/>
        <w:jc w:val="both"/>
        <w:rPr>
          <w:rFonts w:ascii="Arial" w:cs="Arial" w:hAnsi="Arial"/>
          <w:sz w:val="20"/>
          <w:szCs w:val="20"/>
        </w:rPr>
      </w:pPr>
      <w:r>
        <w:rPr>
          <w:rFonts w:ascii="Arial" w:cs="Arial" w:eastAsia="Arial" w:hAnsi="Arial"/>
          <w:sz w:val="20"/>
          <w:szCs w:val="20"/>
        </w:rPr>
        <w:t xml:space="preserve">      </w:t>
      </w:r>
      <w:r>
        <w:rPr>
          <w:rFonts w:ascii="Arial" w:cs="Arial" w:eastAsia="Arial" w:hAnsi="Arial"/>
          <w:sz w:val="20"/>
          <w:szCs w:val="20"/>
        </w:rPr>
        <w:t>Partida x (Índice actual / Índice Histórico)</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Posteriormente se enunciarán los pasos a seguir para la aplicación de este método:</w:t>
      </w:r>
    </w:p>
    <w:p>
      <w:pPr>
        <w:pStyle w:val="style0"/>
        <w:jc w:val="both"/>
        <w:rPr>
          <w:rFonts w:ascii="Arial" w:cs="Arial" w:hAnsi="Arial"/>
          <w:sz w:val="20"/>
          <w:szCs w:val="20"/>
        </w:rPr>
      </w:pPr>
    </w:p>
    <w:p>
      <w:pPr>
        <w:pStyle w:val="style0"/>
        <w:jc w:val="both"/>
        <w:rPr>
          <w:rFonts w:ascii="Arial" w:cs="Arial" w:hAnsi="Arial"/>
          <w:sz w:val="20"/>
          <w:szCs w:val="20"/>
        </w:rPr>
      </w:pPr>
    </w:p>
    <w:bookmarkStart w:id="2" w:name="page236"/>
    <w:bookmarkEnd w:id="2"/>
    <w:p>
      <w:pPr>
        <w:pStyle w:val="style0"/>
        <w:numPr>
          <w:ilvl w:val="0"/>
          <w:numId w:val="3"/>
        </w:numPr>
        <w:tabs>
          <w:tab w:val="left" w:leader="none" w:pos="640"/>
        </w:tabs>
        <w:ind w:left="640" w:right="540" w:hanging="285"/>
        <w:jc w:val="both"/>
        <w:rPr>
          <w:rFonts w:ascii="Arial" w:cs="Arial" w:eastAsia="Arial" w:hAnsi="Arial"/>
          <w:sz w:val="20"/>
          <w:szCs w:val="20"/>
        </w:rPr>
      </w:pPr>
      <w:r>
        <w:rPr>
          <w:rFonts w:ascii="Arial" w:cs="Arial" w:eastAsia="Arial" w:hAnsi="Arial"/>
          <w:sz w:val="20"/>
          <w:szCs w:val="20"/>
        </w:rPr>
        <w:t xml:space="preserve">Determinación de las partidas monetarias y no monetarias: Señalar el concepto de partida monetaria y no monetaria y cuáles están sujetas a </w:t>
      </w:r>
      <w:r>
        <w:rPr>
          <w:rFonts w:ascii="Arial" w:cs="Arial" w:eastAsia="Arial" w:hAnsi="Arial"/>
          <w:sz w:val="20"/>
          <w:szCs w:val="20"/>
        </w:rPr>
        <w:t>reexpresión</w:t>
      </w:r>
      <w:r>
        <w:rPr>
          <w:rFonts w:ascii="Arial" w:cs="Arial" w:eastAsia="Arial" w:hAnsi="Arial"/>
          <w:sz w:val="20"/>
          <w:szCs w:val="20"/>
        </w:rPr>
        <w:t>.</w:t>
      </w:r>
    </w:p>
    <w:p>
      <w:pPr>
        <w:pStyle w:val="style0"/>
        <w:jc w:val="both"/>
        <w:rPr>
          <w:rFonts w:ascii="Arial" w:cs="Arial" w:eastAsia="Arial" w:hAnsi="Arial"/>
          <w:sz w:val="20"/>
          <w:szCs w:val="20"/>
        </w:rPr>
      </w:pPr>
    </w:p>
    <w:p>
      <w:pPr>
        <w:pStyle w:val="style0"/>
        <w:numPr>
          <w:ilvl w:val="0"/>
          <w:numId w:val="3"/>
        </w:numPr>
        <w:tabs>
          <w:tab w:val="left" w:leader="none" w:pos="640"/>
        </w:tabs>
        <w:ind w:left="640" w:right="540" w:hanging="285"/>
        <w:jc w:val="both"/>
        <w:rPr>
          <w:rFonts w:ascii="Arial" w:cs="Arial" w:eastAsia="Arial" w:hAnsi="Arial"/>
          <w:sz w:val="20"/>
          <w:szCs w:val="20"/>
        </w:rPr>
      </w:pPr>
      <w:r>
        <w:rPr>
          <w:rFonts w:ascii="Arial" w:cs="Arial" w:eastAsia="Arial" w:hAnsi="Arial"/>
          <w:sz w:val="20"/>
          <w:szCs w:val="20"/>
        </w:rPr>
        <w:t>Determinación de la ganancia o pérdida por tenencia de partidas monetarias: Señalar que en economías inflacionarias lo ideal es poseer activos NO monetarios y pasivos monetarios; en caso de tener más activos monetarios que pasivos monetarios se tendrá una pérdida por tenencia de partidas monetarias y viceversa</w:t>
      </w:r>
    </w:p>
    <w:p>
      <w:pPr>
        <w:pStyle w:val="style0"/>
        <w:jc w:val="both"/>
        <w:rPr>
          <w:rFonts w:ascii="Arial" w:cs="Arial" w:eastAsia="Arial" w:hAnsi="Arial"/>
          <w:sz w:val="20"/>
          <w:szCs w:val="20"/>
        </w:rPr>
      </w:pPr>
    </w:p>
    <w:p>
      <w:pPr>
        <w:pStyle w:val="style0"/>
        <w:numPr>
          <w:ilvl w:val="0"/>
          <w:numId w:val="3"/>
        </w:numPr>
        <w:tabs>
          <w:tab w:val="left" w:leader="none" w:pos="640"/>
        </w:tabs>
        <w:ind w:left="640" w:hanging="285"/>
        <w:jc w:val="both"/>
        <w:rPr>
          <w:rFonts w:ascii="Arial" w:cs="Arial" w:eastAsia="Arial" w:hAnsi="Arial"/>
          <w:sz w:val="20"/>
          <w:szCs w:val="20"/>
        </w:rPr>
      </w:pPr>
      <w:r>
        <w:rPr>
          <w:rFonts w:ascii="Arial" w:cs="Arial" w:eastAsia="Arial" w:hAnsi="Arial"/>
          <w:sz w:val="20"/>
          <w:szCs w:val="20"/>
        </w:rPr>
        <w:t>Reexpresar</w:t>
      </w:r>
      <w:r>
        <w:rPr>
          <w:rFonts w:ascii="Arial" w:cs="Arial" w:eastAsia="Arial" w:hAnsi="Arial"/>
          <w:sz w:val="20"/>
          <w:szCs w:val="20"/>
        </w:rPr>
        <w:t xml:space="preserve"> el estado de rendimiento</w:t>
      </w:r>
    </w:p>
    <w:p>
      <w:pPr>
        <w:pStyle w:val="style0"/>
        <w:jc w:val="both"/>
        <w:rPr>
          <w:rFonts w:ascii="Arial" w:cs="Arial" w:eastAsia="Arial" w:hAnsi="Arial"/>
          <w:sz w:val="20"/>
          <w:szCs w:val="20"/>
        </w:rPr>
      </w:pPr>
    </w:p>
    <w:p>
      <w:pPr>
        <w:pStyle w:val="style0"/>
        <w:numPr>
          <w:ilvl w:val="0"/>
          <w:numId w:val="3"/>
        </w:numPr>
        <w:tabs>
          <w:tab w:val="left" w:leader="none" w:pos="640"/>
        </w:tabs>
        <w:ind w:left="640" w:hanging="285"/>
        <w:jc w:val="both"/>
        <w:rPr>
          <w:rFonts w:ascii="Arial" w:cs="Arial" w:eastAsia="Arial" w:hAnsi="Arial"/>
          <w:sz w:val="20"/>
          <w:szCs w:val="20"/>
        </w:rPr>
      </w:pPr>
      <w:r>
        <w:rPr>
          <w:rFonts w:ascii="Arial" w:cs="Arial" w:eastAsia="Arial" w:hAnsi="Arial"/>
          <w:sz w:val="20"/>
          <w:szCs w:val="20"/>
        </w:rPr>
        <w:t>Reexpresar</w:t>
      </w:r>
      <w:r>
        <w:rPr>
          <w:rFonts w:ascii="Arial" w:cs="Arial" w:eastAsia="Arial" w:hAnsi="Arial"/>
          <w:sz w:val="20"/>
          <w:szCs w:val="20"/>
        </w:rPr>
        <w:t xml:space="preserve"> el estado de utilidades retenidas</w:t>
      </w:r>
    </w:p>
    <w:p>
      <w:pPr>
        <w:pStyle w:val="style0"/>
        <w:jc w:val="both"/>
        <w:rPr>
          <w:rFonts w:ascii="Arial" w:cs="Arial" w:eastAsia="Arial" w:hAnsi="Arial"/>
          <w:sz w:val="20"/>
          <w:szCs w:val="20"/>
        </w:rPr>
      </w:pPr>
    </w:p>
    <w:p>
      <w:pPr>
        <w:pStyle w:val="style0"/>
        <w:numPr>
          <w:ilvl w:val="0"/>
          <w:numId w:val="3"/>
        </w:numPr>
        <w:tabs>
          <w:tab w:val="left" w:leader="none" w:pos="640"/>
        </w:tabs>
        <w:ind w:left="640" w:hanging="285"/>
        <w:jc w:val="both"/>
        <w:rPr>
          <w:rFonts w:ascii="Arial" w:cs="Arial" w:eastAsia="Arial" w:hAnsi="Arial"/>
          <w:sz w:val="20"/>
          <w:szCs w:val="20"/>
        </w:rPr>
      </w:pPr>
      <w:r>
        <w:rPr>
          <w:rFonts w:ascii="Arial" w:cs="Arial" w:eastAsia="Arial" w:hAnsi="Arial"/>
          <w:sz w:val="20"/>
          <w:szCs w:val="20"/>
        </w:rPr>
        <w:t>Reexpresar</w:t>
      </w:r>
      <w:r>
        <w:rPr>
          <w:rFonts w:ascii="Arial" w:cs="Arial" w:eastAsia="Arial" w:hAnsi="Arial"/>
          <w:sz w:val="20"/>
          <w:szCs w:val="20"/>
        </w:rPr>
        <w:t xml:space="preserve"> el estado de situación</w:t>
      </w:r>
    </w:p>
    <w:p>
      <w:pPr>
        <w:pStyle w:val="style179"/>
        <w:rPr>
          <w:rFonts w:ascii="Arial" w:cs="Arial" w:eastAsia="Arial" w:hAnsi="Arial"/>
          <w:sz w:val="20"/>
          <w:szCs w:val="20"/>
        </w:rPr>
      </w:pPr>
    </w:p>
    <w:p>
      <w:pPr>
        <w:pStyle w:val="style0"/>
        <w:tabs>
          <w:tab w:val="left" w:leader="none" w:pos="640"/>
        </w:tabs>
        <w:ind w:left="640"/>
        <w:jc w:val="both"/>
        <w:rPr>
          <w:rFonts w:ascii="Arial" w:cs="Arial" w:eastAsia="Arial" w:hAnsi="Arial"/>
          <w:sz w:val="20"/>
          <w:szCs w:val="20"/>
        </w:rPr>
      </w:pPr>
    </w:p>
    <w:p>
      <w:pPr>
        <w:pStyle w:val="style0"/>
        <w:tabs>
          <w:tab w:val="left" w:leader="none" w:pos="640"/>
        </w:tabs>
        <w:ind w:left="640"/>
        <w:jc w:val="both"/>
        <w:rPr>
          <w:rFonts w:ascii="Arial" w:cs="Arial" w:eastAsia="Arial" w:hAnsi="Arial"/>
          <w:sz w:val="20"/>
          <w:szCs w:val="20"/>
        </w:rPr>
      </w:pPr>
    </w:p>
    <w:p>
      <w:pPr>
        <w:pStyle w:val="style0"/>
        <w:tabs>
          <w:tab w:val="left" w:leader="none" w:pos="640"/>
        </w:tabs>
        <w:ind w:left="640"/>
        <w:jc w:val="both"/>
        <w:rPr>
          <w:rFonts w:ascii="Arial" w:cs="Arial" w:eastAsia="Arial" w:hAnsi="Arial"/>
          <w:sz w:val="20"/>
          <w:szCs w:val="20"/>
        </w:rPr>
      </w:pPr>
    </w:p>
    <w:p>
      <w:pPr>
        <w:pStyle w:val="style0"/>
        <w:tabs>
          <w:tab w:val="left" w:leader="none" w:pos="640"/>
        </w:tabs>
        <w:ind w:left="640"/>
        <w:jc w:val="both"/>
        <w:rPr>
          <w:rFonts w:ascii="Arial" w:cs="Arial" w:eastAsia="Arial" w:hAnsi="Arial"/>
          <w:sz w:val="20"/>
          <w:szCs w:val="20"/>
        </w:rPr>
      </w:pP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En el tema V se comienza explicando la importancia y necesidad del análisis como última etapa del ciclo de la Contabilidad, se aborda el marco conceptual del análisis financiero tratándose aspectos tales como: definición de análisis e interpretación, relación entre contador y analista, requisitos indispensables para el análisis económico financiero, pasos o metodología para realizar un adecuado análisis económico financiero, estos pasos son:</w:t>
      </w:r>
    </w:p>
    <w:p>
      <w:pPr>
        <w:pStyle w:val="style0"/>
        <w:jc w:val="both"/>
        <w:rPr>
          <w:rFonts w:ascii="Arial" w:cs="Arial" w:hAnsi="Arial"/>
          <w:sz w:val="20"/>
          <w:szCs w:val="20"/>
        </w:rPr>
      </w:pPr>
    </w:p>
    <w:p>
      <w:pPr>
        <w:pStyle w:val="style0"/>
        <w:numPr>
          <w:ilvl w:val="0"/>
          <w:numId w:val="4"/>
        </w:numPr>
        <w:tabs>
          <w:tab w:val="left" w:leader="none" w:pos="900"/>
        </w:tabs>
        <w:ind w:left="900" w:hanging="336"/>
        <w:jc w:val="both"/>
        <w:rPr>
          <w:rFonts w:ascii="Arial" w:cs="Arial" w:eastAsia="Arial" w:hAnsi="Arial"/>
          <w:sz w:val="20"/>
          <w:szCs w:val="20"/>
        </w:rPr>
      </w:pPr>
      <w:r>
        <w:rPr>
          <w:rFonts w:ascii="Arial" w:cs="Arial" w:eastAsia="Arial" w:hAnsi="Arial"/>
          <w:sz w:val="20"/>
          <w:szCs w:val="20"/>
        </w:rPr>
        <w:t>Definición de los objetivos del análisis a efectuar</w:t>
      </w:r>
    </w:p>
    <w:p>
      <w:pPr>
        <w:pStyle w:val="style0"/>
        <w:jc w:val="both"/>
        <w:rPr>
          <w:rFonts w:ascii="Arial" w:cs="Arial" w:eastAsia="Arial" w:hAnsi="Arial"/>
          <w:sz w:val="20"/>
          <w:szCs w:val="20"/>
        </w:rPr>
      </w:pPr>
    </w:p>
    <w:p>
      <w:pPr>
        <w:pStyle w:val="style0"/>
        <w:numPr>
          <w:ilvl w:val="0"/>
          <w:numId w:val="4"/>
        </w:numPr>
        <w:tabs>
          <w:tab w:val="left" w:leader="none" w:pos="900"/>
        </w:tabs>
        <w:ind w:left="900" w:hanging="336"/>
        <w:jc w:val="both"/>
        <w:rPr>
          <w:rFonts w:ascii="Arial" w:cs="Arial" w:eastAsia="Arial" w:hAnsi="Arial"/>
          <w:sz w:val="20"/>
          <w:szCs w:val="20"/>
        </w:rPr>
      </w:pPr>
      <w:r>
        <w:rPr>
          <w:rFonts w:ascii="Arial" w:cs="Arial" w:eastAsia="Arial" w:hAnsi="Arial"/>
          <w:sz w:val="20"/>
          <w:szCs w:val="20"/>
        </w:rPr>
        <w:t>Elaboración del Plan de Trabajo</w:t>
      </w:r>
    </w:p>
    <w:p>
      <w:pPr>
        <w:pStyle w:val="style0"/>
        <w:jc w:val="both"/>
        <w:rPr>
          <w:rFonts w:ascii="Arial" w:cs="Arial" w:eastAsia="Arial" w:hAnsi="Arial"/>
          <w:sz w:val="20"/>
          <w:szCs w:val="20"/>
        </w:rPr>
      </w:pPr>
    </w:p>
    <w:p>
      <w:pPr>
        <w:pStyle w:val="style0"/>
        <w:numPr>
          <w:ilvl w:val="0"/>
          <w:numId w:val="4"/>
        </w:numPr>
        <w:tabs>
          <w:tab w:val="left" w:leader="none" w:pos="900"/>
        </w:tabs>
        <w:ind w:left="900" w:hanging="336"/>
        <w:jc w:val="both"/>
        <w:rPr>
          <w:rFonts w:ascii="Arial" w:cs="Arial" w:eastAsia="Arial" w:hAnsi="Arial"/>
          <w:sz w:val="20"/>
          <w:szCs w:val="20"/>
        </w:rPr>
      </w:pPr>
      <w:r>
        <w:rPr>
          <w:rFonts w:ascii="Arial" w:cs="Arial" w:eastAsia="Arial" w:hAnsi="Arial"/>
          <w:sz w:val="20"/>
          <w:szCs w:val="20"/>
        </w:rPr>
        <w:t>Investigación Preliminar</w:t>
      </w:r>
    </w:p>
    <w:p>
      <w:pPr>
        <w:pStyle w:val="style0"/>
        <w:jc w:val="both"/>
        <w:rPr>
          <w:rFonts w:ascii="Arial" w:cs="Arial" w:eastAsia="Arial" w:hAnsi="Arial"/>
          <w:sz w:val="20"/>
          <w:szCs w:val="20"/>
        </w:rPr>
      </w:pPr>
    </w:p>
    <w:p>
      <w:pPr>
        <w:pStyle w:val="style0"/>
        <w:numPr>
          <w:ilvl w:val="0"/>
          <w:numId w:val="4"/>
        </w:numPr>
        <w:tabs>
          <w:tab w:val="left" w:leader="none" w:pos="900"/>
        </w:tabs>
        <w:ind w:left="900" w:hanging="336"/>
        <w:jc w:val="both"/>
        <w:rPr>
          <w:rFonts w:ascii="Arial" w:cs="Arial" w:eastAsia="Arial" w:hAnsi="Arial"/>
          <w:sz w:val="20"/>
          <w:szCs w:val="20"/>
        </w:rPr>
      </w:pPr>
      <w:r>
        <w:rPr>
          <w:rFonts w:ascii="Arial" w:cs="Arial" w:eastAsia="Arial" w:hAnsi="Arial"/>
          <w:sz w:val="20"/>
          <w:szCs w:val="20"/>
        </w:rPr>
        <w:t>Obtención de los estados financieros debidamente certificados</w:t>
      </w:r>
    </w:p>
    <w:p>
      <w:pPr>
        <w:pStyle w:val="style0"/>
        <w:jc w:val="both"/>
        <w:rPr>
          <w:rFonts w:ascii="Arial" w:cs="Arial" w:eastAsia="Arial" w:hAnsi="Arial"/>
          <w:sz w:val="20"/>
          <w:szCs w:val="20"/>
        </w:rPr>
      </w:pPr>
    </w:p>
    <w:p>
      <w:pPr>
        <w:pStyle w:val="style0"/>
        <w:numPr>
          <w:ilvl w:val="0"/>
          <w:numId w:val="4"/>
        </w:numPr>
        <w:tabs>
          <w:tab w:val="left" w:leader="none" w:pos="900"/>
        </w:tabs>
        <w:ind w:left="900" w:hanging="336"/>
        <w:jc w:val="both"/>
        <w:rPr>
          <w:rFonts w:ascii="Arial" w:cs="Arial" w:eastAsia="Arial" w:hAnsi="Arial"/>
          <w:sz w:val="20"/>
          <w:szCs w:val="20"/>
        </w:rPr>
      </w:pPr>
      <w:r>
        <w:rPr>
          <w:rFonts w:ascii="Arial" w:cs="Arial" w:eastAsia="Arial" w:hAnsi="Arial"/>
          <w:sz w:val="20"/>
          <w:szCs w:val="20"/>
        </w:rPr>
        <w:t>Preparación de los estados financieros</w:t>
      </w:r>
    </w:p>
    <w:p>
      <w:pPr>
        <w:pStyle w:val="style0"/>
        <w:jc w:val="both"/>
        <w:rPr>
          <w:rFonts w:ascii="Arial" w:cs="Arial" w:eastAsia="Arial" w:hAnsi="Arial"/>
          <w:sz w:val="20"/>
          <w:szCs w:val="20"/>
        </w:rPr>
      </w:pPr>
    </w:p>
    <w:p>
      <w:pPr>
        <w:pStyle w:val="style0"/>
        <w:numPr>
          <w:ilvl w:val="0"/>
          <w:numId w:val="4"/>
        </w:numPr>
        <w:tabs>
          <w:tab w:val="left" w:leader="none" w:pos="900"/>
        </w:tabs>
        <w:ind w:left="900" w:hanging="336"/>
        <w:jc w:val="both"/>
        <w:rPr>
          <w:rFonts w:ascii="Arial" w:cs="Arial" w:eastAsia="Arial" w:hAnsi="Arial"/>
          <w:sz w:val="20"/>
          <w:szCs w:val="20"/>
        </w:rPr>
      </w:pPr>
      <w:r>
        <w:rPr>
          <w:rFonts w:ascii="Arial" w:cs="Arial" w:eastAsia="Arial" w:hAnsi="Arial"/>
          <w:sz w:val="20"/>
          <w:szCs w:val="20"/>
        </w:rPr>
        <w:t>Análisis de la estructura del balance</w:t>
      </w:r>
    </w:p>
    <w:p>
      <w:pPr>
        <w:pStyle w:val="style0"/>
        <w:jc w:val="both"/>
        <w:rPr>
          <w:rFonts w:ascii="Arial" w:cs="Arial" w:eastAsia="Arial" w:hAnsi="Arial"/>
          <w:sz w:val="20"/>
          <w:szCs w:val="20"/>
        </w:rPr>
      </w:pPr>
    </w:p>
    <w:p>
      <w:pPr>
        <w:pStyle w:val="style0"/>
        <w:numPr>
          <w:ilvl w:val="0"/>
          <w:numId w:val="4"/>
        </w:numPr>
        <w:tabs>
          <w:tab w:val="left" w:leader="none" w:pos="900"/>
        </w:tabs>
        <w:ind w:left="900" w:hanging="336"/>
        <w:jc w:val="both"/>
        <w:rPr>
          <w:rFonts w:ascii="Arial" w:cs="Arial" w:eastAsia="Arial" w:hAnsi="Arial"/>
          <w:sz w:val="20"/>
          <w:szCs w:val="20"/>
        </w:rPr>
      </w:pPr>
      <w:r>
        <w:rPr>
          <w:rFonts w:ascii="Arial" w:cs="Arial" w:eastAsia="Arial" w:hAnsi="Arial"/>
          <w:sz w:val="20"/>
          <w:szCs w:val="20"/>
        </w:rPr>
        <w:t>Aplicación de las técnicas de análisis</w:t>
      </w:r>
    </w:p>
    <w:p>
      <w:pPr>
        <w:pStyle w:val="style0"/>
        <w:jc w:val="both"/>
        <w:rPr>
          <w:rFonts w:ascii="Arial" w:cs="Arial" w:eastAsia="Arial" w:hAnsi="Arial"/>
          <w:sz w:val="20"/>
          <w:szCs w:val="20"/>
        </w:rPr>
      </w:pPr>
    </w:p>
    <w:p>
      <w:pPr>
        <w:pStyle w:val="style0"/>
        <w:numPr>
          <w:ilvl w:val="0"/>
          <w:numId w:val="4"/>
        </w:numPr>
        <w:tabs>
          <w:tab w:val="left" w:leader="none" w:pos="900"/>
        </w:tabs>
        <w:ind w:left="900" w:hanging="336"/>
        <w:jc w:val="both"/>
        <w:rPr>
          <w:rFonts w:ascii="Arial" w:cs="Arial" w:eastAsia="Arial" w:hAnsi="Arial"/>
          <w:sz w:val="20"/>
          <w:szCs w:val="20"/>
        </w:rPr>
      </w:pPr>
      <w:r>
        <w:rPr>
          <w:rFonts w:ascii="Arial" w:cs="Arial" w:eastAsia="Arial" w:hAnsi="Arial"/>
          <w:sz w:val="20"/>
          <w:szCs w:val="20"/>
        </w:rPr>
        <w:t>Elaboración del Informe de análisis</w:t>
      </w:r>
    </w:p>
    <w:p>
      <w:pPr>
        <w:pStyle w:val="style0"/>
        <w:jc w:val="both"/>
        <w:rPr>
          <w:rFonts w:ascii="Arial" w:cs="Arial" w:hAnsi="Arial"/>
          <w:sz w:val="20"/>
          <w:szCs w:val="20"/>
        </w:rPr>
      </w:pPr>
    </w:p>
    <w:p>
      <w:pPr>
        <w:pStyle w:val="style0"/>
        <w:ind w:left="220"/>
        <w:jc w:val="both"/>
        <w:rPr>
          <w:rFonts w:ascii="Arial" w:cs="Arial" w:hAnsi="Arial"/>
          <w:sz w:val="20"/>
          <w:szCs w:val="20"/>
        </w:rPr>
      </w:pPr>
      <w:r>
        <w:rPr>
          <w:rFonts w:ascii="Arial" w:cs="Arial" w:eastAsia="Arial" w:hAnsi="Arial"/>
          <w:sz w:val="20"/>
          <w:szCs w:val="20"/>
        </w:rPr>
        <w:t>Se abordarán posteriormente las diferentes técnicas de análisis tales como:</w:t>
      </w:r>
    </w:p>
    <w:p>
      <w:pPr>
        <w:pStyle w:val="style0"/>
        <w:jc w:val="both"/>
        <w:rPr>
          <w:rFonts w:ascii="Arial" w:cs="Arial" w:hAnsi="Arial"/>
          <w:sz w:val="20"/>
          <w:szCs w:val="20"/>
        </w:rPr>
      </w:pPr>
    </w:p>
    <w:p>
      <w:pPr>
        <w:pStyle w:val="style0"/>
        <w:ind w:left="920" w:right="4960"/>
        <w:jc w:val="both"/>
        <w:rPr>
          <w:rFonts w:ascii="Arial" w:cs="Arial" w:hAnsi="Arial"/>
          <w:sz w:val="20"/>
          <w:szCs w:val="20"/>
        </w:rPr>
      </w:pPr>
      <w:r>
        <w:rPr>
          <w:rFonts w:ascii="Arial" w:cs="Arial" w:eastAsia="Arial" w:hAnsi="Arial"/>
          <w:sz w:val="20"/>
          <w:szCs w:val="20"/>
        </w:rPr>
        <w:t>Estados financieros comparativos Porcientos integrables</w:t>
      </w:r>
    </w:p>
    <w:p>
      <w:pPr>
        <w:pStyle w:val="style0"/>
        <w:jc w:val="both"/>
        <w:rPr>
          <w:rFonts w:ascii="Arial" w:cs="Arial" w:hAnsi="Arial"/>
          <w:sz w:val="20"/>
          <w:szCs w:val="20"/>
        </w:rPr>
      </w:pPr>
    </w:p>
    <w:p>
      <w:pPr>
        <w:pStyle w:val="style0"/>
        <w:ind w:left="560"/>
        <w:jc w:val="both"/>
        <w:rPr>
          <w:rFonts w:ascii="Arial" w:cs="Arial" w:hAnsi="Arial"/>
          <w:sz w:val="20"/>
          <w:szCs w:val="20"/>
        </w:rPr>
      </w:pPr>
      <w:r>
        <w:rPr>
          <w:rFonts w:ascii="Arial" w:cs="Arial" w:eastAsia="Arial" w:hAnsi="Arial"/>
          <w:sz w:val="20"/>
          <w:szCs w:val="20"/>
        </w:rPr>
        <w:t>Tendencia</w:t>
      </w:r>
    </w:p>
    <w:p>
      <w:pPr>
        <w:pStyle w:val="style0"/>
        <w:jc w:val="both"/>
        <w:rPr>
          <w:rFonts w:ascii="Arial" w:cs="Arial" w:hAnsi="Arial"/>
          <w:sz w:val="20"/>
          <w:szCs w:val="20"/>
        </w:rPr>
      </w:pPr>
    </w:p>
    <w:p>
      <w:pPr>
        <w:pStyle w:val="style0"/>
        <w:ind w:left="560"/>
        <w:jc w:val="both"/>
        <w:rPr>
          <w:rFonts w:ascii="Arial" w:cs="Arial" w:hAnsi="Arial"/>
          <w:sz w:val="20"/>
          <w:szCs w:val="20"/>
        </w:rPr>
      </w:pPr>
      <w:r>
        <w:rPr>
          <w:rFonts w:ascii="Arial" w:cs="Arial" w:eastAsia="Arial" w:hAnsi="Arial"/>
          <w:sz w:val="20"/>
          <w:szCs w:val="20"/>
        </w:rPr>
        <w:t>Método gráfico</w:t>
      </w:r>
    </w:p>
    <w:p>
      <w:pPr>
        <w:pStyle w:val="style0"/>
        <w:jc w:val="both"/>
        <w:rPr>
          <w:rFonts w:ascii="Arial" w:cs="Arial" w:hAnsi="Arial"/>
          <w:sz w:val="20"/>
          <w:szCs w:val="20"/>
        </w:rPr>
      </w:pPr>
    </w:p>
    <w:p>
      <w:pPr>
        <w:pStyle w:val="style0"/>
        <w:ind w:left="560"/>
        <w:jc w:val="both"/>
        <w:rPr>
          <w:rFonts w:ascii="Arial" w:cs="Arial" w:hAnsi="Arial"/>
          <w:sz w:val="20"/>
          <w:szCs w:val="20"/>
        </w:rPr>
      </w:pPr>
      <w:r>
        <w:rPr>
          <w:rFonts w:ascii="Arial" w:cs="Arial" w:eastAsia="Arial" w:hAnsi="Arial"/>
          <w:sz w:val="20"/>
          <w:szCs w:val="20"/>
        </w:rPr>
        <w:t>Control presupuestal</w:t>
      </w:r>
    </w:p>
    <w:p>
      <w:pPr>
        <w:pStyle w:val="style0"/>
        <w:jc w:val="both"/>
        <w:rPr>
          <w:rFonts w:ascii="Arial" w:cs="Arial" w:hAnsi="Arial"/>
          <w:sz w:val="20"/>
          <w:szCs w:val="20"/>
        </w:rPr>
      </w:pPr>
    </w:p>
    <w:p>
      <w:pPr>
        <w:pStyle w:val="style0"/>
        <w:ind w:left="560"/>
        <w:jc w:val="both"/>
        <w:rPr>
          <w:rFonts w:ascii="Arial" w:cs="Arial" w:hAnsi="Arial"/>
          <w:sz w:val="20"/>
          <w:szCs w:val="20"/>
        </w:rPr>
      </w:pPr>
      <w:r>
        <w:rPr>
          <w:rFonts w:ascii="Arial" w:cs="Arial" w:eastAsia="Arial" w:hAnsi="Arial"/>
          <w:sz w:val="20"/>
          <w:szCs w:val="20"/>
        </w:rPr>
        <w:t>Razones financieras: Se estudiarán cuatro grandes grupos de razones</w:t>
      </w:r>
      <w:bookmarkStart w:id="3" w:name="page237"/>
      <w:bookmarkEnd w:id="3"/>
      <w:r>
        <w:rPr>
          <w:rFonts w:ascii="Arial" w:cs="Arial" w:hAnsi="Arial"/>
          <w:sz w:val="20"/>
          <w:szCs w:val="20"/>
        </w:rPr>
        <w:t xml:space="preserve"> </w:t>
      </w:r>
      <w:r>
        <w:rPr>
          <w:rFonts w:ascii="Arial" w:cs="Arial" w:eastAsia="Arial" w:hAnsi="Arial"/>
          <w:sz w:val="20"/>
          <w:szCs w:val="20"/>
        </w:rPr>
        <w:t>financieras:</w:t>
      </w:r>
    </w:p>
    <w:p>
      <w:pPr>
        <w:pStyle w:val="style0"/>
        <w:jc w:val="both"/>
        <w:rPr>
          <w:rFonts w:ascii="Arial" w:cs="Arial" w:hAnsi="Arial"/>
          <w:sz w:val="20"/>
          <w:szCs w:val="20"/>
        </w:rPr>
      </w:pPr>
    </w:p>
    <w:p>
      <w:pPr>
        <w:pStyle w:val="style0"/>
        <w:ind w:left="1180" w:right="540" w:hanging="277"/>
        <w:jc w:val="both"/>
        <w:rPr>
          <w:rFonts w:ascii="Arial" w:cs="Arial" w:hAnsi="Arial"/>
          <w:sz w:val="20"/>
          <w:szCs w:val="20"/>
        </w:rPr>
      </w:pPr>
      <w:r>
        <w:rPr>
          <w:rFonts w:ascii="Arial" w:cs="Arial" w:eastAsia="Courier New" w:hAnsi="Arial"/>
          <w:sz w:val="20"/>
          <w:szCs w:val="20"/>
        </w:rPr>
        <w:t>o</w:t>
      </w:r>
      <w:r>
        <w:rPr>
          <w:rFonts w:ascii="Arial" w:cs="Arial" w:eastAsia="Arial" w:hAnsi="Arial"/>
          <w:sz w:val="20"/>
          <w:szCs w:val="20"/>
        </w:rPr>
        <w:t xml:space="preserve"> Razones de Solvencia, entre las cuales se encuentran el capital de trabajo, razón de circulante o solvencia a corto plazo, la solvencia total (AT/PT), la prueba ácida y muy ácida.</w:t>
      </w:r>
    </w:p>
    <w:p>
      <w:pPr>
        <w:pStyle w:val="style0"/>
        <w:jc w:val="both"/>
        <w:rPr>
          <w:rFonts w:ascii="Arial" w:cs="Arial" w:hAnsi="Arial"/>
          <w:sz w:val="20"/>
          <w:szCs w:val="20"/>
        </w:rPr>
      </w:pPr>
    </w:p>
    <w:p>
      <w:pPr>
        <w:pStyle w:val="style0"/>
        <w:numPr>
          <w:ilvl w:val="0"/>
          <w:numId w:val="5"/>
        </w:numPr>
        <w:tabs>
          <w:tab w:val="left" w:leader="none" w:pos="1180"/>
        </w:tabs>
        <w:ind w:left="1180" w:right="540" w:hanging="275"/>
        <w:jc w:val="both"/>
        <w:rPr>
          <w:rFonts w:ascii="Arial" w:cs="Arial" w:eastAsia="Courier New" w:hAnsi="Arial"/>
          <w:sz w:val="20"/>
          <w:szCs w:val="20"/>
        </w:rPr>
      </w:pPr>
      <w:r>
        <w:rPr>
          <w:rFonts w:ascii="Arial" w:cs="Arial" w:eastAsia="Arial" w:hAnsi="Arial"/>
          <w:sz w:val="20"/>
          <w:szCs w:val="20"/>
        </w:rPr>
        <w:t>Razones de Actividad: rotación de inventarios, de cuentas por cobrar y cuentas por pagar y sus respectivos ciclos en días, se analizará el ciclo de operación de la empresa y su relación con la calidad del capital de trabajo.</w:t>
      </w:r>
    </w:p>
    <w:p>
      <w:pPr>
        <w:pStyle w:val="style0"/>
        <w:jc w:val="both"/>
        <w:rPr>
          <w:rFonts w:ascii="Arial" w:cs="Arial" w:hAnsi="Arial"/>
          <w:sz w:val="20"/>
          <w:szCs w:val="20"/>
        </w:rPr>
      </w:pPr>
    </w:p>
    <w:p>
      <w:pPr>
        <w:pStyle w:val="style0"/>
        <w:numPr>
          <w:ilvl w:val="0"/>
          <w:numId w:val="6"/>
        </w:numPr>
        <w:tabs>
          <w:tab w:val="left" w:leader="none" w:pos="1180"/>
        </w:tabs>
        <w:ind w:left="1180" w:right="540" w:hanging="275"/>
        <w:jc w:val="both"/>
        <w:rPr>
          <w:rFonts w:ascii="Arial" w:cs="Arial" w:eastAsia="Courier New" w:hAnsi="Arial"/>
          <w:sz w:val="20"/>
          <w:szCs w:val="20"/>
        </w:rPr>
      </w:pPr>
      <w:r>
        <w:rPr>
          <w:rFonts w:ascii="Arial" w:cs="Arial" w:eastAsia="Arial" w:hAnsi="Arial"/>
          <w:sz w:val="20"/>
          <w:szCs w:val="20"/>
        </w:rPr>
        <w:t>Razones de Rentabilidad: se abordará el rendimiento de los activos y del capital, el vínculo de estos dos últimos indicadores con el nivel de apalancamiento de la empresa rotación del activo total y del activo fijo, margen de utilidad neto, bruto y en operaciones.</w:t>
      </w:r>
    </w:p>
    <w:p>
      <w:pPr>
        <w:pStyle w:val="style0"/>
        <w:jc w:val="both"/>
        <w:rPr>
          <w:rFonts w:ascii="Arial" w:cs="Arial" w:hAnsi="Arial"/>
          <w:sz w:val="20"/>
          <w:szCs w:val="20"/>
        </w:rPr>
      </w:pPr>
    </w:p>
    <w:p>
      <w:pPr>
        <w:pStyle w:val="style0"/>
        <w:numPr>
          <w:ilvl w:val="0"/>
          <w:numId w:val="7"/>
        </w:numPr>
        <w:tabs>
          <w:tab w:val="left" w:leader="none" w:pos="1180"/>
        </w:tabs>
        <w:ind w:left="1180" w:right="540" w:hanging="275"/>
        <w:jc w:val="both"/>
        <w:rPr>
          <w:rFonts w:ascii="Arial" w:cs="Arial" w:eastAsia="Courier New" w:hAnsi="Arial"/>
          <w:sz w:val="20"/>
          <w:szCs w:val="20"/>
        </w:rPr>
      </w:pPr>
      <w:r>
        <w:rPr>
          <w:rFonts w:ascii="Arial" w:cs="Arial" w:eastAsia="Arial" w:hAnsi="Arial"/>
          <w:sz w:val="20"/>
          <w:szCs w:val="20"/>
        </w:rPr>
        <w:t>Razones de Endeudamiento: razón de endeudamiento, pasivo a capital contable, calidad de la deuda, capital a activo total, liquidez del pasivo (AC/PT), razón de activo fijo a pasivo a largo plazo. Se debe explicar que la calidad de la deuda de la entidad no sólo depende del indicador sino también del horizonte de vencimiento de la deuda a largo plazo, la naturaleza de los acreedores y del grado de automatismo de la deuda a corto plazo.</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Podrán incorporarse otras razones y proporciones que complementen el análisis, estudiando de cada una de ellas, su definición e importancia.</w:t>
      </w:r>
    </w:p>
    <w:p>
      <w:pPr>
        <w:pStyle w:val="style0"/>
        <w:jc w:val="both"/>
        <w:rPr>
          <w:rFonts w:ascii="Arial" w:cs="Arial" w:hAnsi="Arial"/>
          <w:sz w:val="20"/>
          <w:szCs w:val="20"/>
        </w:rPr>
      </w:pPr>
    </w:p>
    <w:p>
      <w:pPr>
        <w:pStyle w:val="style0"/>
        <w:ind w:left="560"/>
        <w:jc w:val="both"/>
        <w:rPr>
          <w:rFonts w:ascii="Arial" w:cs="Arial" w:eastAsia="Arial" w:hAnsi="Arial"/>
          <w:sz w:val="20"/>
          <w:szCs w:val="20"/>
        </w:rPr>
      </w:pPr>
    </w:p>
    <w:p>
      <w:pPr>
        <w:pStyle w:val="style0"/>
        <w:ind w:left="560"/>
        <w:jc w:val="both"/>
        <w:rPr>
          <w:rFonts w:ascii="Arial" w:cs="Arial" w:eastAsia="Arial" w:hAnsi="Arial"/>
          <w:sz w:val="20"/>
          <w:szCs w:val="20"/>
        </w:rPr>
      </w:pPr>
    </w:p>
    <w:p>
      <w:pPr>
        <w:pStyle w:val="style0"/>
        <w:ind w:left="560"/>
        <w:jc w:val="both"/>
        <w:rPr>
          <w:rFonts w:ascii="Arial" w:cs="Arial" w:eastAsia="Arial" w:hAnsi="Arial"/>
          <w:sz w:val="20"/>
          <w:szCs w:val="20"/>
        </w:rPr>
      </w:pPr>
    </w:p>
    <w:p>
      <w:pPr>
        <w:pStyle w:val="style0"/>
        <w:jc w:val="both"/>
        <w:rPr>
          <w:rFonts w:ascii="Arial" w:cs="Arial" w:eastAsia="Arial" w:hAnsi="Arial"/>
          <w:sz w:val="20"/>
          <w:szCs w:val="20"/>
        </w:rPr>
      </w:pPr>
    </w:p>
    <w:p>
      <w:pPr>
        <w:pStyle w:val="style0"/>
        <w:jc w:val="both"/>
        <w:rPr>
          <w:rFonts w:ascii="Arial" w:cs="Arial" w:eastAsia="Arial" w:hAnsi="Arial"/>
          <w:sz w:val="20"/>
          <w:szCs w:val="20"/>
        </w:rPr>
      </w:pPr>
    </w:p>
    <w:p>
      <w:pPr>
        <w:pStyle w:val="style0"/>
        <w:jc w:val="both"/>
        <w:rPr>
          <w:rFonts w:ascii="Arial" w:cs="Arial" w:hAnsi="Arial"/>
          <w:sz w:val="20"/>
          <w:szCs w:val="20"/>
        </w:rPr>
      </w:pPr>
      <w:r>
        <w:rPr>
          <w:rFonts w:ascii="Arial" w:cs="Arial" w:eastAsia="Arial" w:hAnsi="Arial"/>
          <w:sz w:val="20"/>
          <w:szCs w:val="20"/>
        </w:rPr>
        <w:t>Razón índice</w:t>
      </w:r>
    </w:p>
    <w:p>
      <w:pPr>
        <w:pStyle w:val="style0"/>
        <w:ind w:right="6760"/>
        <w:jc w:val="both"/>
        <w:rPr>
          <w:rFonts w:ascii="Arial" w:cs="Arial" w:hAnsi="Arial"/>
          <w:sz w:val="20"/>
          <w:szCs w:val="20"/>
        </w:rPr>
      </w:pPr>
      <w:r>
        <w:rPr>
          <w:rFonts w:ascii="Arial" w:cs="Arial" w:eastAsia="Arial" w:hAnsi="Arial"/>
          <w:sz w:val="20"/>
          <w:szCs w:val="20"/>
        </w:rPr>
        <w:t>Razón Standard Sistema Dupont EVA</w:t>
      </w:r>
    </w:p>
    <w:p>
      <w:pPr>
        <w:pStyle w:val="style0"/>
        <w:jc w:val="both"/>
        <w:rPr>
          <w:rFonts w:ascii="Arial" w:cs="Arial" w:hAnsi="Arial"/>
          <w:sz w:val="20"/>
          <w:szCs w:val="20"/>
        </w:rPr>
      </w:pPr>
    </w:p>
    <w:p>
      <w:pPr>
        <w:pStyle w:val="style0"/>
        <w:jc w:val="both"/>
        <w:rPr>
          <w:rFonts w:ascii="Arial" w:cs="Arial" w:hAnsi="Arial"/>
          <w:sz w:val="20"/>
          <w:szCs w:val="20"/>
        </w:rPr>
      </w:pPr>
      <w:r>
        <w:rPr>
          <w:rFonts w:ascii="Arial" w:cs="Arial" w:eastAsia="Arial" w:hAnsi="Arial"/>
          <w:sz w:val="20"/>
          <w:szCs w:val="20"/>
        </w:rPr>
        <w:t>Técnica de Sustituciones Consecutivas</w:t>
      </w:r>
    </w:p>
    <w:p>
      <w:pPr>
        <w:pStyle w:val="style0"/>
        <w:ind w:right="1180"/>
        <w:jc w:val="both"/>
        <w:rPr>
          <w:rFonts w:ascii="Arial" w:cs="Arial" w:hAnsi="Arial"/>
          <w:sz w:val="20"/>
          <w:szCs w:val="20"/>
        </w:rPr>
      </w:pPr>
      <w:r>
        <w:rPr>
          <w:rFonts w:ascii="Arial" w:cs="Arial" w:eastAsia="Arial" w:hAnsi="Arial"/>
          <w:sz w:val="20"/>
          <w:szCs w:val="20"/>
        </w:rPr>
        <w:t>Estado de cambios en la Posición Financiera, base Capital de Trabajo El flujo de efectivo según la NCC 2, como herramienta de análisis</w:t>
      </w:r>
    </w:p>
    <w:p>
      <w:pPr>
        <w:pStyle w:val="style0"/>
        <w:jc w:val="both"/>
        <w:rPr>
          <w:rFonts w:ascii="Arial" w:cs="Arial" w:hAnsi="Arial"/>
          <w:sz w:val="20"/>
          <w:szCs w:val="20"/>
        </w:rPr>
      </w:pPr>
    </w:p>
    <w:p>
      <w:pPr>
        <w:pStyle w:val="style0"/>
        <w:ind w:right="540"/>
        <w:jc w:val="both"/>
        <w:rPr>
          <w:rFonts w:ascii="Arial" w:cs="Arial" w:hAnsi="Arial"/>
          <w:sz w:val="20"/>
          <w:szCs w:val="20"/>
        </w:rPr>
      </w:pPr>
      <w:r>
        <w:rPr>
          <w:rFonts w:ascii="Arial" w:cs="Arial" w:eastAsia="Arial" w:hAnsi="Arial"/>
          <w:sz w:val="20"/>
          <w:szCs w:val="20"/>
        </w:rPr>
        <w:t>Los indicadores no financieros como elementos a tener en cuenta en modelos de control de gestión tales como el Cuadro de Mando Integral con sus cuatro perspectivas</w:t>
      </w:r>
      <w:r>
        <w:rPr>
          <w:rFonts w:ascii="Arial" w:cs="Arial" w:hAnsi="Arial"/>
          <w:sz w:val="20"/>
          <w:szCs w:val="20"/>
        </w:rPr>
        <w:t xml:space="preserve"> </w:t>
      </w:r>
      <w:r>
        <w:rPr>
          <w:rFonts w:ascii="Arial" w:cs="Arial" w:eastAsia="Arial" w:hAnsi="Arial"/>
          <w:sz w:val="20"/>
          <w:szCs w:val="20"/>
        </w:rPr>
        <w:t>s</w:t>
      </w:r>
      <w:r>
        <w:rPr>
          <w:rFonts w:ascii="Arial" w:cs="Arial" w:eastAsia="Arial" w:hAnsi="Arial"/>
          <w:sz w:val="20"/>
          <w:szCs w:val="20"/>
        </w:rPr>
        <w:t>e explicarán cada una de las técnicas de análisis para posteriormente en un ejemplo ilustrativo mostrarla vinculación de todas ellas, al efectuar un análisis comparativo y una vez determinada las variaciones, tomar éstas para el análisis</w:t>
      </w:r>
      <w:bookmarkStart w:id="4" w:name="page238"/>
      <w:bookmarkEnd w:id="4"/>
      <w:r>
        <w:rPr>
          <w:rFonts w:ascii="Arial" w:cs="Arial" w:hAnsi="Arial"/>
          <w:sz w:val="20"/>
          <w:szCs w:val="20"/>
        </w:rPr>
        <w:t xml:space="preserve"> </w:t>
      </w:r>
      <w:r>
        <w:rPr>
          <w:rFonts w:ascii="Arial" w:cs="Arial" w:eastAsia="Arial" w:hAnsi="Arial"/>
          <w:sz w:val="20"/>
          <w:szCs w:val="20"/>
        </w:rPr>
        <w:t>de la corriente de fondo, a su vez con el cálculo de los índices se puede analizar la vinculación entre estos con el Sistema Dupont.</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Una vez interpretada la información recogida a partir de las diferentes técnicas, se procederá a confeccionar el informe de análisis que tendrá tres partes fundamentales:</w:t>
      </w:r>
    </w:p>
    <w:p>
      <w:pPr>
        <w:pStyle w:val="style0"/>
        <w:jc w:val="both"/>
        <w:rPr>
          <w:rFonts w:ascii="Arial" w:cs="Arial" w:hAnsi="Arial"/>
          <w:sz w:val="20"/>
          <w:szCs w:val="20"/>
        </w:rPr>
      </w:pPr>
    </w:p>
    <w:p>
      <w:pPr>
        <w:pStyle w:val="style0"/>
        <w:ind w:left="560"/>
        <w:jc w:val="both"/>
        <w:rPr>
          <w:rFonts w:ascii="Arial" w:cs="Arial" w:hAnsi="Arial"/>
          <w:sz w:val="20"/>
          <w:szCs w:val="20"/>
        </w:rPr>
      </w:pPr>
      <w:r>
        <w:rPr>
          <w:rFonts w:ascii="Arial" w:cs="Arial" w:eastAsia="Arial" w:hAnsi="Arial"/>
          <w:sz w:val="20"/>
          <w:szCs w:val="20"/>
        </w:rPr>
        <w:t>Presentación y objetivos del informe: Objetivos, solicitante y limitaciones</w:t>
      </w:r>
    </w:p>
    <w:p>
      <w:pPr>
        <w:pStyle w:val="style0"/>
        <w:jc w:val="both"/>
        <w:rPr>
          <w:rFonts w:ascii="Arial" w:cs="Arial" w:hAnsi="Arial"/>
          <w:sz w:val="20"/>
          <w:szCs w:val="20"/>
        </w:rPr>
      </w:pPr>
    </w:p>
    <w:p>
      <w:pPr>
        <w:pStyle w:val="style0"/>
        <w:ind w:left="560"/>
        <w:jc w:val="both"/>
        <w:rPr>
          <w:rFonts w:ascii="Arial" w:cs="Arial" w:hAnsi="Arial"/>
          <w:sz w:val="20"/>
          <w:szCs w:val="20"/>
        </w:rPr>
      </w:pPr>
      <w:r>
        <w:rPr>
          <w:rFonts w:ascii="Arial" w:cs="Arial" w:eastAsia="Arial" w:hAnsi="Arial"/>
          <w:sz w:val="20"/>
          <w:szCs w:val="20"/>
        </w:rPr>
        <w:t>Diagnóstico: Problemas, consecuencias, puntos fuertes</w:t>
      </w:r>
    </w:p>
    <w:p>
      <w:pPr>
        <w:pStyle w:val="style0"/>
        <w:jc w:val="both"/>
        <w:rPr>
          <w:rFonts w:ascii="Arial" w:cs="Arial" w:hAnsi="Arial"/>
          <w:sz w:val="20"/>
          <w:szCs w:val="20"/>
        </w:rPr>
      </w:pPr>
    </w:p>
    <w:p>
      <w:pPr>
        <w:pStyle w:val="style0"/>
        <w:ind w:left="560"/>
        <w:jc w:val="both"/>
        <w:rPr>
          <w:rFonts w:ascii="Arial" w:cs="Arial" w:hAnsi="Arial"/>
          <w:sz w:val="20"/>
          <w:szCs w:val="20"/>
        </w:rPr>
      </w:pPr>
      <w:r>
        <w:rPr>
          <w:rFonts w:ascii="Arial" w:cs="Arial" w:eastAsia="Arial" w:hAnsi="Arial"/>
          <w:sz w:val="20"/>
          <w:szCs w:val="20"/>
        </w:rPr>
        <w:t>Recomendaciones: Medidas recomendadas</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En las evaluaciones parciales, así como en el trabajo de curso, se comprobarán los objetivos generales, los conocimientos adquiridos y las habilidades desarrolladas por los estudiantes y su capacidad para entregarlos, sistematizarlos, aplicarlos y generalizarlos.</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En la impartición de esta asignatura se utilizarán las conferencias y clases prácticas para el caso del curso diurno y las clases encuentro para el curso por encuentros, como formas de organización docente. En las clases prácticas los estudiantes se organizarán por equipos o de manera individual, de acuerdo a la complejidad del contenido a ejercitar.</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Se utilizarán como medios de enseñanza, la pizarra, diapositivas, láminas, fragmentos de artículos de prensa, según corresponda. Los métodos de enseñanza a aplicar en el proceso de enseñanza aprendizaje, teniendo en cuenta las nuevas tecnologías de la educación, serán métodos activos, que incluyen la enseñanza problémica, método de casos, etc.</w:t>
      </w:r>
    </w:p>
    <w:p>
      <w:pPr>
        <w:pStyle w:val="style0"/>
        <w:jc w:val="both"/>
        <w:rPr>
          <w:rFonts w:ascii="Arial" w:cs="Arial" w:hAnsi="Arial"/>
          <w:sz w:val="20"/>
          <w:szCs w:val="20"/>
        </w:rPr>
      </w:pPr>
    </w:p>
    <w:p>
      <w:pPr>
        <w:pStyle w:val="style0"/>
        <w:ind w:left="220" w:right="540"/>
        <w:jc w:val="both"/>
        <w:rPr>
          <w:rFonts w:ascii="Arial" w:cs="Arial" w:hAnsi="Arial"/>
          <w:sz w:val="20"/>
          <w:szCs w:val="20"/>
        </w:rPr>
      </w:pPr>
      <w:r>
        <w:rPr>
          <w:rFonts w:ascii="Arial" w:cs="Arial" w:eastAsia="Arial" w:hAnsi="Arial"/>
          <w:sz w:val="20"/>
          <w:szCs w:val="20"/>
        </w:rPr>
        <w:t>Se debe garantizar la bibliografía básica de la disciplina, así como las normativas emitidas por los órganos rectores del país.</w:t>
      </w:r>
    </w:p>
    <w:p>
      <w:pPr>
        <w:pStyle w:val="style0"/>
        <w:jc w:val="both"/>
        <w:rPr>
          <w:rFonts w:ascii="Arial" w:cs="Arial" w:hAnsi="Arial"/>
          <w:sz w:val="20"/>
          <w:szCs w:val="20"/>
        </w:rPr>
      </w:pPr>
    </w:p>
    <w:p>
      <w:pPr>
        <w:pStyle w:val="style0"/>
        <w:ind w:left="220"/>
        <w:jc w:val="both"/>
        <w:rPr>
          <w:rFonts w:ascii="Arial" w:cs="Arial" w:hAnsi="Arial"/>
          <w:sz w:val="20"/>
          <w:szCs w:val="20"/>
        </w:rPr>
      </w:pPr>
      <w:r>
        <w:rPr>
          <w:rFonts w:ascii="Arial" w:cs="Arial" w:eastAsia="Arial" w:hAnsi="Arial"/>
          <w:sz w:val="20"/>
          <w:szCs w:val="20"/>
        </w:rPr>
        <w:t>SISTEMA DE EVALUACIÓN</w:t>
      </w:r>
    </w:p>
    <w:p>
      <w:pPr>
        <w:pStyle w:val="style0"/>
        <w:ind w:right="540"/>
        <w:jc w:val="both"/>
        <w:rPr>
          <w:rFonts w:ascii="Arial" w:cs="Arial" w:hAnsi="Arial"/>
          <w:sz w:val="20"/>
          <w:szCs w:val="20"/>
        </w:rPr>
      </w:pPr>
      <w:r>
        <w:rPr>
          <w:rFonts w:ascii="Arial" w:cs="Arial" w:hAnsi="Arial"/>
          <w:sz w:val="20"/>
          <w:szCs w:val="20"/>
        </w:rPr>
        <w:t xml:space="preserve"> </w:t>
      </w:r>
      <w:r>
        <w:rPr>
          <w:rFonts w:ascii="Arial" w:cs="Arial" w:eastAsia="Arial" w:hAnsi="Arial"/>
          <w:sz w:val="20"/>
          <w:szCs w:val="20"/>
        </w:rPr>
        <w:t>La asignatura se evaluará mediante la aplicación de dos pruebas parciales y un trabajo de curso. Asimismo, deberán realizarse controles sistemáticos mediante preguntas orales, escritas y trabajos investigativos.</w:t>
      </w:r>
    </w:p>
    <w:p>
      <w:pPr>
        <w:pStyle w:val="style0"/>
        <w:jc w:val="both"/>
        <w:rPr>
          <w:rFonts w:ascii="Arial" w:cs="Arial" w:hAnsi="Arial"/>
          <w:sz w:val="20"/>
          <w:szCs w:val="20"/>
        </w:rPr>
      </w:pPr>
    </w:p>
    <w:p>
      <w:pPr>
        <w:pStyle w:val="style0"/>
        <w:ind w:left="220"/>
        <w:jc w:val="both"/>
        <w:rPr>
          <w:rFonts w:ascii="Arial" w:cs="Arial" w:hAnsi="Arial"/>
          <w:sz w:val="20"/>
          <w:szCs w:val="20"/>
        </w:rPr>
      </w:pPr>
      <w:r>
        <w:rPr>
          <w:rFonts w:ascii="Arial" w:cs="Arial" w:eastAsia="Arial" w:hAnsi="Arial"/>
          <w:sz w:val="20"/>
          <w:szCs w:val="20"/>
        </w:rPr>
        <w:t>BIBLIOGRAFÍA</w:t>
      </w:r>
      <w:r>
        <w:rPr>
          <w:rFonts w:ascii="Arial" w:cs="Arial" w:hAnsi="Arial"/>
          <w:sz w:val="20"/>
          <w:szCs w:val="20"/>
        </w:rPr>
        <w:t xml:space="preserve"> </w:t>
      </w:r>
      <w:r>
        <w:rPr>
          <w:rFonts w:ascii="Arial" w:cs="Arial" w:eastAsia="Arial" w:hAnsi="Arial"/>
          <w:sz w:val="20"/>
          <w:szCs w:val="20"/>
        </w:rPr>
        <w:t>BÁSICA</w:t>
      </w:r>
    </w:p>
    <w:p>
      <w:pPr>
        <w:pStyle w:val="style0"/>
        <w:ind w:left="560"/>
        <w:jc w:val="both"/>
        <w:rPr>
          <w:rFonts w:ascii="Arial" w:cs="Arial" w:eastAsia="Arial" w:hAnsi="Arial"/>
          <w:sz w:val="20"/>
          <w:szCs w:val="20"/>
        </w:rPr>
      </w:pPr>
      <w:r>
        <w:rPr>
          <w:rFonts w:ascii="Arial" w:cs="Arial" w:hAnsi="Arial"/>
        </w:rPr>
        <w:t>Wiseman</w:t>
      </w:r>
      <w:r>
        <w:rPr>
          <w:rFonts w:ascii="Arial" w:cs="Arial" w:hAnsi="Arial"/>
        </w:rPr>
        <w:t xml:space="preserve"> .</w:t>
      </w:r>
      <w:r>
        <w:rPr>
          <w:rFonts w:ascii="Arial" w:cs="Arial" w:hAnsi="Arial"/>
        </w:rPr>
        <w:t xml:space="preserve"> J y </w:t>
      </w:r>
      <w:r>
        <w:rPr>
          <w:rFonts w:ascii="Arial" w:cs="Arial" w:hAnsi="Arial"/>
        </w:rPr>
        <w:t>Casmin,A</w:t>
      </w:r>
      <w:r>
        <w:rPr>
          <w:rFonts w:ascii="Arial" w:cs="Arial" w:hAnsi="Arial"/>
        </w:rPr>
        <w:t xml:space="preserve"> .</w:t>
      </w:r>
      <w:r>
        <w:rPr>
          <w:rFonts w:ascii="Arial" w:cs="Arial" w:hAnsi="Arial"/>
        </w:rPr>
        <w:t xml:space="preserve"> </w:t>
      </w:r>
      <w:r>
        <w:rPr>
          <w:rFonts w:ascii="Arial" w:cs="Arial" w:hAnsi="Arial"/>
        </w:rPr>
        <w:t>Contabilidad Avanzada</w:t>
      </w:r>
      <w:r>
        <w:rPr>
          <w:rFonts w:ascii="Arial" w:cs="Arial" w:hAnsi="Arial"/>
        </w:rPr>
        <w:t>. La Habana.</w:t>
      </w:r>
      <w:r>
        <w:rPr>
          <w:rFonts w:ascii="Arial" w:cs="Arial" w:eastAsia="Arial" w:hAnsi="Arial"/>
          <w:sz w:val="20"/>
          <w:szCs w:val="20"/>
        </w:rPr>
        <w:t xml:space="preserve"> </w:t>
      </w:r>
      <w:r>
        <w:rPr>
          <w:rFonts w:ascii="Arial" w:cs="Arial" w:eastAsia="Arial" w:hAnsi="Arial"/>
          <w:sz w:val="20"/>
          <w:szCs w:val="20"/>
        </w:rPr>
        <w:t>Félix Varela.</w:t>
      </w:r>
    </w:p>
    <w:p>
      <w:pPr>
        <w:pStyle w:val="style0"/>
        <w:jc w:val="both"/>
        <w:rPr>
          <w:rFonts w:ascii="Arial" w:cs="Arial" w:hAnsi="Arial"/>
          <w:sz w:val="20"/>
          <w:szCs w:val="20"/>
        </w:rPr>
      </w:pPr>
    </w:p>
    <w:p>
      <w:pPr>
        <w:pStyle w:val="style0"/>
        <w:ind w:left="220"/>
        <w:jc w:val="both"/>
        <w:rPr>
          <w:rFonts w:ascii="Arial" w:cs="Arial" w:hAnsi="Arial"/>
          <w:sz w:val="20"/>
          <w:szCs w:val="20"/>
        </w:rPr>
      </w:pPr>
      <w:r>
        <w:rPr>
          <w:rFonts w:ascii="Arial" w:cs="Arial" w:eastAsia="Arial" w:hAnsi="Arial"/>
          <w:sz w:val="20"/>
          <w:szCs w:val="20"/>
        </w:rPr>
        <w:t>COMPLEMENTARIA</w:t>
      </w:r>
    </w:p>
    <w:p>
      <w:pPr>
        <w:pStyle w:val="style0"/>
        <w:ind w:left="560"/>
        <w:jc w:val="both"/>
        <w:rPr>
          <w:rFonts w:ascii="Arial" w:cs="Arial" w:eastAsia="Arial" w:hAnsi="Arial"/>
          <w:sz w:val="20"/>
          <w:szCs w:val="20"/>
        </w:rPr>
      </w:pPr>
      <w:r>
        <w:rPr>
          <w:rFonts w:ascii="Arial" w:cs="Arial" w:eastAsia="Arial" w:hAnsi="Arial"/>
          <w:sz w:val="20"/>
          <w:szCs w:val="20"/>
        </w:rPr>
        <w:t>Horngren, C. T. (2000). Contabilidad. La Habana: Félix Varela.</w:t>
      </w:r>
      <w:bookmarkStart w:id="5" w:name="page239"/>
      <w:bookmarkEnd w:id="5"/>
    </w:p>
    <w:p>
      <w:pPr>
        <w:pStyle w:val="style0"/>
        <w:ind w:left="560"/>
        <w:jc w:val="both"/>
        <w:rPr>
          <w:rFonts w:ascii="Arial" w:cs="Arial" w:eastAsia="Arial" w:hAnsi="Arial"/>
          <w:sz w:val="20"/>
          <w:szCs w:val="20"/>
        </w:rPr>
      </w:pPr>
      <w:r>
        <w:rPr>
          <w:rFonts w:ascii="Arial" w:cs="Arial" w:eastAsia="Arial" w:hAnsi="Arial"/>
          <w:sz w:val="20"/>
          <w:szCs w:val="20"/>
        </w:rPr>
        <w:t xml:space="preserve"> </w:t>
      </w:r>
      <w:r>
        <w:rPr>
          <w:rFonts w:ascii="Arial" w:cs="Arial" w:eastAsia="Arial" w:hAnsi="Arial"/>
          <w:sz w:val="20"/>
          <w:szCs w:val="20"/>
        </w:rPr>
        <w:t>Kieso</w:t>
      </w:r>
      <w:r>
        <w:rPr>
          <w:rFonts w:ascii="Arial" w:cs="Arial" w:eastAsia="Arial" w:hAnsi="Arial"/>
          <w:sz w:val="20"/>
          <w:szCs w:val="20"/>
        </w:rPr>
        <w:t>, D. (2005). Contabilidad Intermedia. La Habana: Félix Varela</w:t>
      </w:r>
      <w:r>
        <w:rPr>
          <w:rFonts w:ascii="Arial" w:cs="Arial" w:eastAsia="Arial" w:hAnsi="Arial"/>
          <w:sz w:val="20"/>
          <w:szCs w:val="20"/>
        </w:rPr>
        <w:t>.</w:t>
      </w:r>
    </w:p>
    <w:p>
      <w:pPr>
        <w:pStyle w:val="style0"/>
        <w:jc w:val="both"/>
        <w:rPr>
          <w:rFonts w:ascii="Arial" w:cs="Arial" w:hAnsi="Arial"/>
          <w:sz w:val="20"/>
          <w:szCs w:val="20"/>
        </w:rPr>
      </w:pPr>
    </w:p>
    <w:p>
      <w:pPr>
        <w:pStyle w:val="style0"/>
        <w:ind w:left="560"/>
        <w:jc w:val="both"/>
        <w:rPr>
          <w:rFonts w:ascii="Arial" w:cs="Arial" w:eastAsia="Arial" w:hAnsi="Arial"/>
          <w:sz w:val="20"/>
          <w:szCs w:val="20"/>
        </w:rPr>
      </w:pPr>
    </w:p>
    <w:p>
      <w:pPr>
        <w:pStyle w:val="style0"/>
        <w:ind w:left="560"/>
        <w:jc w:val="both"/>
        <w:rPr>
          <w:rFonts w:ascii="Arial" w:cs="Arial" w:eastAsia="Arial" w:hAnsi="Arial"/>
          <w:sz w:val="20"/>
          <w:szCs w:val="20"/>
        </w:rPr>
      </w:pPr>
    </w:p>
    <w:p>
      <w:pPr>
        <w:pStyle w:val="style0"/>
        <w:ind w:left="560"/>
        <w:jc w:val="both"/>
        <w:rPr>
          <w:rFonts w:ascii="Arial" w:cs="Arial" w:eastAsia="Arial" w:hAnsi="Arial"/>
          <w:sz w:val="20"/>
          <w:szCs w:val="20"/>
        </w:rPr>
      </w:pPr>
    </w:p>
    <w:p>
      <w:pPr>
        <w:pStyle w:val="style0"/>
        <w:ind w:left="560"/>
        <w:jc w:val="both"/>
        <w:rPr>
          <w:rFonts w:ascii="Arial" w:cs="Arial" w:eastAsia="Arial" w:hAnsi="Arial"/>
          <w:sz w:val="20"/>
          <w:szCs w:val="20"/>
        </w:rPr>
      </w:pPr>
    </w:p>
    <w:bookmarkStart w:id="6" w:name="_GoBack"/>
    <w:bookmarkEnd w:id="6"/>
    <w:p>
      <w:pPr>
        <w:pStyle w:val="style0"/>
        <w:ind w:left="560"/>
        <w:jc w:val="both"/>
        <w:rPr>
          <w:rFonts w:ascii="Arial" w:cs="Arial" w:eastAsia="Arial" w:hAnsi="Arial"/>
          <w:sz w:val="20"/>
          <w:szCs w:val="20"/>
        </w:rPr>
      </w:pPr>
      <w:r>
        <w:rPr>
          <w:rFonts w:ascii="Arial" w:cs="Arial" w:eastAsia="Arial" w:hAnsi="Arial"/>
          <w:sz w:val="20"/>
          <w:szCs w:val="20"/>
        </w:rPr>
        <w:t>ELABORADO POR:</w:t>
      </w:r>
    </w:p>
    <w:p>
      <w:pPr>
        <w:pStyle w:val="style0"/>
        <w:ind w:left="560"/>
        <w:jc w:val="both"/>
        <w:rPr>
          <w:rFonts w:ascii="Arial" w:cs="Arial" w:eastAsia="Arial" w:hAnsi="Arial"/>
          <w:sz w:val="20"/>
          <w:szCs w:val="20"/>
        </w:rPr>
      </w:pPr>
      <w:r>
        <w:rPr>
          <w:rFonts w:ascii="Arial" w:cs="Arial" w:eastAsia="Arial" w:hAnsi="Arial"/>
          <w:sz w:val="20"/>
          <w:szCs w:val="20"/>
        </w:rPr>
        <w:t xml:space="preserve"> </w:t>
      </w:r>
      <w:r>
        <w:rPr>
          <w:rFonts w:ascii="Arial" w:cs="Arial" w:eastAsia="Arial" w:hAnsi="Arial"/>
          <w:sz w:val="20"/>
          <w:szCs w:val="20"/>
        </w:rPr>
        <w:t>L</w:t>
      </w:r>
      <w:r>
        <w:rPr>
          <w:rFonts w:ascii="Arial" w:cs="Arial" w:eastAsia="Arial" w:hAnsi="Arial"/>
          <w:sz w:val="20"/>
          <w:szCs w:val="20"/>
        </w:rPr>
        <w:t>ic</w:t>
      </w:r>
      <w:r>
        <w:rPr>
          <w:rFonts w:ascii="Arial" w:cs="Arial" w:eastAsia="Arial" w:hAnsi="Arial"/>
          <w:sz w:val="20"/>
          <w:szCs w:val="20"/>
        </w:rPr>
        <w:t xml:space="preserve">. </w:t>
      </w:r>
      <w:r>
        <w:rPr>
          <w:rFonts w:ascii="Arial" w:cs="Arial" w:eastAsia="Arial" w:hAnsi="Arial"/>
          <w:sz w:val="20"/>
          <w:szCs w:val="20"/>
        </w:rPr>
        <w:t xml:space="preserve">Yenli Padilla Triana </w:t>
      </w:r>
    </w:p>
    <w:p>
      <w:pPr>
        <w:pStyle w:val="style0"/>
        <w:ind w:left="560"/>
        <w:jc w:val="both"/>
        <w:rPr>
          <w:rFonts w:ascii="Arial" w:cs="Arial" w:eastAsia="Arial" w:hAnsi="Arial"/>
          <w:sz w:val="20"/>
          <w:szCs w:val="20"/>
        </w:rPr>
      </w:pPr>
      <w:r>
        <w:rPr>
          <w:rFonts w:ascii="Arial" w:cs="Arial" w:eastAsia="Arial" w:hAnsi="Arial"/>
          <w:sz w:val="20"/>
          <w:szCs w:val="20"/>
        </w:rPr>
        <w:t xml:space="preserve">Jefa de Disciplina </w:t>
      </w:r>
      <w:r>
        <w:rPr>
          <w:rFonts w:ascii="Arial" w:cs="Arial" w:eastAsia="Arial" w:hAnsi="Arial"/>
          <w:sz w:val="20"/>
          <w:szCs w:val="20"/>
        </w:rPr>
        <w:t>Auditoría</w:t>
      </w:r>
      <w:r>
        <w:rPr>
          <w:rFonts w:ascii="Arial" w:cs="Arial" w:eastAsia="Arial" w:hAnsi="Arial"/>
          <w:sz w:val="20"/>
          <w:szCs w:val="20"/>
        </w:rPr>
        <w:t>.</w:t>
      </w:r>
    </w:p>
    <w:p>
      <w:pPr>
        <w:pStyle w:val="style0"/>
        <w:tabs>
          <w:tab w:val="left" w:leader="none" w:pos="3675"/>
        </w:tabs>
        <w:ind w:left="560"/>
        <w:jc w:val="both"/>
        <w:rPr>
          <w:rFonts w:ascii="Arial" w:cs="Arial" w:hAnsi="Arial"/>
          <w:sz w:val="20"/>
          <w:szCs w:val="20"/>
        </w:rPr>
      </w:pPr>
      <w:r>
        <w:rPr>
          <w:rFonts w:ascii="Arial" w:cs="Arial" w:hAnsi="Arial"/>
          <w:sz w:val="20"/>
          <w:szCs w:val="20"/>
        </w:rPr>
        <w:tab/>
      </w:r>
    </w:p>
    <w:p>
      <w:pPr>
        <w:pStyle w:val="style0"/>
        <w:tabs>
          <w:tab w:val="left" w:leader="none" w:pos="3675"/>
        </w:tabs>
        <w:ind w:left="560"/>
        <w:jc w:val="both"/>
        <w:rPr>
          <w:rFonts w:ascii="Arial" w:cs="Arial" w:hAnsi="Arial"/>
          <w:sz w:val="20"/>
          <w:szCs w:val="20"/>
        </w:rPr>
      </w:pPr>
      <w:r>
        <w:rPr>
          <w:rFonts w:ascii="Arial" w:cs="Arial" w:hAnsi="Arial"/>
          <w:sz w:val="20"/>
          <w:szCs w:val="20"/>
        </w:rPr>
        <w:t xml:space="preserve">APROBADO POR </w:t>
      </w:r>
    </w:p>
    <w:p>
      <w:pPr>
        <w:pStyle w:val="style0"/>
        <w:tabs>
          <w:tab w:val="left" w:leader="none" w:pos="3675"/>
        </w:tabs>
        <w:jc w:val="both"/>
        <w:rPr>
          <w:rFonts w:ascii="Arial" w:cs="Arial" w:hAnsi="Arial"/>
          <w:sz w:val="20"/>
          <w:szCs w:val="20"/>
        </w:rPr>
      </w:pPr>
      <w:r>
        <w:rPr>
          <w:rFonts w:ascii="Arial" w:cs="Arial" w:hAnsi="Arial"/>
          <w:sz w:val="20"/>
          <w:szCs w:val="20"/>
        </w:rPr>
        <w:t xml:space="preserve">          MSc. Regla Mercedes Hernández Díaz.</w:t>
      </w:r>
    </w:p>
    <w:p>
      <w:pPr>
        <w:pStyle w:val="style0"/>
        <w:tabs>
          <w:tab w:val="left" w:leader="none" w:pos="3675"/>
        </w:tabs>
        <w:jc w:val="both"/>
        <w:rPr>
          <w:rFonts w:ascii="Arial" w:cs="Arial" w:hAnsi="Arial"/>
          <w:sz w:val="20"/>
          <w:szCs w:val="20"/>
        </w:rPr>
      </w:pPr>
      <w:r>
        <w:rPr>
          <w:rFonts w:ascii="Arial" w:cs="Arial" w:hAnsi="Arial"/>
          <w:sz w:val="20"/>
          <w:szCs w:val="20"/>
        </w:rPr>
        <w:t xml:space="preserve">          Jefa de Departamento Ciencias Económicas.</w:t>
      </w:r>
    </w:p>
    <w:p>
      <w:pPr>
        <w:pStyle w:val="style0"/>
        <w:jc w:val="both"/>
        <w:rPr>
          <w:rFonts w:ascii="Arial" w:cs="Arial" w:hAnsi="Arial"/>
          <w:sz w:val="20"/>
          <w:szCs w:val="20"/>
        </w:rPr>
      </w:pPr>
      <w:r>
        <w:rPr>
          <w:rFonts w:ascii="Arial" w:cs="Arial" w:hAnsi="Arial"/>
          <w:sz w:val="20"/>
          <w:szCs w:val="20"/>
        </w:rPr>
        <w:tab/>
      </w:r>
    </w:p>
    <w:sectPr>
      <w:pgSz w:w="11906" w:h="16838"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7ACE58A"/>
    <w:lvl w:ilvl="0" w:tplc="7884F7B8">
      <w:start w:val="15"/>
      <w:numFmt w:val="lowerLetter"/>
      <w:lvlText w:val="%1"/>
      <w:lvlJc w:val="left"/>
      <w:pPr/>
    </w:lvl>
    <w:lvl w:ilvl="1" w:tplc="F4868186">
      <w:start w:val="1"/>
      <w:numFmt w:val="decimal"/>
      <w:lvlText w:val=""/>
      <w:lvlJc w:val="left"/>
      <w:pPr/>
    </w:lvl>
    <w:lvl w:ilvl="2" w:tplc="6898018C">
      <w:start w:val="1"/>
      <w:numFmt w:val="decimal"/>
      <w:lvlText w:val=""/>
      <w:lvlJc w:val="left"/>
      <w:pPr/>
    </w:lvl>
    <w:lvl w:ilvl="3" w:tplc="D310B4DE">
      <w:start w:val="1"/>
      <w:numFmt w:val="decimal"/>
      <w:lvlText w:val=""/>
      <w:lvlJc w:val="left"/>
      <w:pPr/>
    </w:lvl>
    <w:lvl w:ilvl="4" w:tplc="218EAD7A">
      <w:start w:val="1"/>
      <w:numFmt w:val="decimal"/>
      <w:lvlText w:val=""/>
      <w:lvlJc w:val="left"/>
      <w:pPr/>
    </w:lvl>
    <w:lvl w:ilvl="5" w:tplc="BFB2BE52">
      <w:start w:val="1"/>
      <w:numFmt w:val="decimal"/>
      <w:lvlText w:val=""/>
      <w:lvlJc w:val="left"/>
      <w:pPr/>
    </w:lvl>
    <w:lvl w:ilvl="6" w:tplc="05BA18CC">
      <w:start w:val="1"/>
      <w:numFmt w:val="decimal"/>
      <w:lvlText w:val=""/>
      <w:lvlJc w:val="left"/>
      <w:pPr/>
    </w:lvl>
    <w:lvl w:ilvl="7" w:tplc="9ECEE94C">
      <w:start w:val="1"/>
      <w:numFmt w:val="decimal"/>
      <w:lvlText w:val=""/>
      <w:lvlJc w:val="left"/>
      <w:pPr/>
    </w:lvl>
    <w:lvl w:ilvl="8" w:tplc="A612A188">
      <w:start w:val="1"/>
      <w:numFmt w:val="decimal"/>
      <w:lvlText w:val=""/>
      <w:lvlJc w:val="left"/>
      <w:pPr/>
    </w:lvl>
  </w:abstractNum>
  <w:abstractNum w:abstractNumId="1">
    <w:nsid w:val="00000001"/>
    <w:multiLevelType w:val="hybridMultilevel"/>
    <w:tmpl w:val="C38C46F4"/>
    <w:lvl w:ilvl="0" w:tplc="9466B70C">
      <w:start w:val="1"/>
      <w:numFmt w:val="lowerLetter"/>
      <w:lvlText w:val="%1)"/>
      <w:lvlJc w:val="left"/>
      <w:pPr/>
    </w:lvl>
    <w:lvl w:ilvl="1" w:tplc="E0BC32CA">
      <w:start w:val="1"/>
      <w:numFmt w:val="decimal"/>
      <w:lvlText w:val=""/>
      <w:lvlJc w:val="left"/>
      <w:pPr/>
    </w:lvl>
    <w:lvl w:ilvl="2" w:tplc="F134DA06">
      <w:start w:val="1"/>
      <w:numFmt w:val="decimal"/>
      <w:lvlText w:val=""/>
      <w:lvlJc w:val="left"/>
      <w:pPr/>
    </w:lvl>
    <w:lvl w:ilvl="3" w:tplc="B274A9A6">
      <w:start w:val="1"/>
      <w:numFmt w:val="decimal"/>
      <w:lvlText w:val=""/>
      <w:lvlJc w:val="left"/>
      <w:pPr/>
    </w:lvl>
    <w:lvl w:ilvl="4" w:tplc="CDDE6594">
      <w:start w:val="1"/>
      <w:numFmt w:val="decimal"/>
      <w:lvlText w:val=""/>
      <w:lvlJc w:val="left"/>
      <w:pPr/>
    </w:lvl>
    <w:lvl w:ilvl="5" w:tplc="51FA78C4">
      <w:start w:val="1"/>
      <w:numFmt w:val="decimal"/>
      <w:lvlText w:val=""/>
      <w:lvlJc w:val="left"/>
      <w:pPr/>
    </w:lvl>
    <w:lvl w:ilvl="6" w:tplc="8324601C">
      <w:start w:val="1"/>
      <w:numFmt w:val="decimal"/>
      <w:lvlText w:val=""/>
      <w:lvlJc w:val="left"/>
      <w:pPr/>
    </w:lvl>
    <w:lvl w:ilvl="7" w:tplc="A3E03250">
      <w:start w:val="1"/>
      <w:numFmt w:val="decimal"/>
      <w:lvlText w:val=""/>
      <w:lvlJc w:val="left"/>
      <w:pPr/>
    </w:lvl>
    <w:lvl w:ilvl="8" w:tplc="ABECF4FA">
      <w:start w:val="1"/>
      <w:numFmt w:val="decimal"/>
      <w:lvlText w:val=""/>
      <w:lvlJc w:val="left"/>
      <w:pPr/>
    </w:lvl>
  </w:abstractNum>
  <w:abstractNum w:abstractNumId="2">
    <w:nsid w:val="00000002"/>
    <w:multiLevelType w:val="hybridMultilevel"/>
    <w:tmpl w:val="B29A4E92"/>
    <w:lvl w:ilvl="0" w:tplc="A002EE72">
      <w:start w:val="15"/>
      <w:numFmt w:val="lowerLetter"/>
      <w:lvlText w:val="%1"/>
      <w:lvlJc w:val="left"/>
      <w:pPr/>
    </w:lvl>
    <w:lvl w:ilvl="1" w:tplc="4468D6EC">
      <w:start w:val="1"/>
      <w:numFmt w:val="decimal"/>
      <w:lvlText w:val=""/>
      <w:lvlJc w:val="left"/>
      <w:pPr/>
    </w:lvl>
    <w:lvl w:ilvl="2" w:tplc="DE306520">
      <w:start w:val="1"/>
      <w:numFmt w:val="decimal"/>
      <w:lvlText w:val=""/>
      <w:lvlJc w:val="left"/>
      <w:pPr/>
    </w:lvl>
    <w:lvl w:ilvl="3" w:tplc="ED324CF2">
      <w:start w:val="1"/>
      <w:numFmt w:val="decimal"/>
      <w:lvlText w:val=""/>
      <w:lvlJc w:val="left"/>
      <w:pPr/>
    </w:lvl>
    <w:lvl w:ilvl="4" w:tplc="3410AF8E">
      <w:start w:val="1"/>
      <w:numFmt w:val="decimal"/>
      <w:lvlText w:val=""/>
      <w:lvlJc w:val="left"/>
      <w:pPr/>
    </w:lvl>
    <w:lvl w:ilvl="5" w:tplc="52E6CE42">
      <w:start w:val="1"/>
      <w:numFmt w:val="decimal"/>
      <w:lvlText w:val=""/>
      <w:lvlJc w:val="left"/>
      <w:pPr/>
    </w:lvl>
    <w:lvl w:ilvl="6" w:tplc="44CCC316">
      <w:start w:val="1"/>
      <w:numFmt w:val="decimal"/>
      <w:lvlText w:val=""/>
      <w:lvlJc w:val="left"/>
      <w:pPr/>
    </w:lvl>
    <w:lvl w:ilvl="7" w:tplc="BEC085EA">
      <w:start w:val="1"/>
      <w:numFmt w:val="decimal"/>
      <w:lvlText w:val=""/>
      <w:lvlJc w:val="left"/>
      <w:pPr/>
    </w:lvl>
    <w:lvl w:ilvl="8" w:tplc="D0F27BE4">
      <w:start w:val="1"/>
      <w:numFmt w:val="decimal"/>
      <w:lvlText w:val=""/>
      <w:lvlJc w:val="left"/>
      <w:pPr/>
    </w:lvl>
  </w:abstractNum>
  <w:abstractNum w:abstractNumId="3">
    <w:nsid w:val="00000003"/>
    <w:multiLevelType w:val="hybridMultilevel"/>
    <w:tmpl w:val="045240D6"/>
    <w:lvl w:ilvl="0" w:tplc="D194BA72">
      <w:start w:val="15"/>
      <w:numFmt w:val="lowerLetter"/>
      <w:lvlText w:val="%1"/>
      <w:lvlJc w:val="left"/>
      <w:pPr/>
    </w:lvl>
    <w:lvl w:ilvl="1" w:tplc="17BCD684">
      <w:start w:val="1"/>
      <w:numFmt w:val="decimal"/>
      <w:lvlText w:val=""/>
      <w:lvlJc w:val="left"/>
      <w:pPr/>
    </w:lvl>
    <w:lvl w:ilvl="2" w:tplc="16A297BE">
      <w:start w:val="1"/>
      <w:numFmt w:val="decimal"/>
      <w:lvlText w:val=""/>
      <w:lvlJc w:val="left"/>
      <w:pPr/>
    </w:lvl>
    <w:lvl w:ilvl="3" w:tplc="C5A27F98">
      <w:start w:val="1"/>
      <w:numFmt w:val="decimal"/>
      <w:lvlText w:val=""/>
      <w:lvlJc w:val="left"/>
      <w:pPr/>
    </w:lvl>
    <w:lvl w:ilvl="4" w:tplc="8222EED4">
      <w:start w:val="1"/>
      <w:numFmt w:val="decimal"/>
      <w:lvlText w:val=""/>
      <w:lvlJc w:val="left"/>
      <w:pPr/>
    </w:lvl>
    <w:lvl w:ilvl="5" w:tplc="F554295E">
      <w:start w:val="1"/>
      <w:numFmt w:val="decimal"/>
      <w:lvlText w:val=""/>
      <w:lvlJc w:val="left"/>
      <w:pPr/>
    </w:lvl>
    <w:lvl w:ilvl="6" w:tplc="89E80E62">
      <w:start w:val="1"/>
      <w:numFmt w:val="decimal"/>
      <w:lvlText w:val=""/>
      <w:lvlJc w:val="left"/>
      <w:pPr/>
    </w:lvl>
    <w:lvl w:ilvl="7" w:tplc="0E2E5B96">
      <w:start w:val="1"/>
      <w:numFmt w:val="decimal"/>
      <w:lvlText w:val=""/>
      <w:lvlJc w:val="left"/>
      <w:pPr/>
    </w:lvl>
    <w:lvl w:ilvl="8" w:tplc="DFF09E70">
      <w:start w:val="1"/>
      <w:numFmt w:val="decimal"/>
      <w:lvlText w:val=""/>
      <w:lvlJc w:val="left"/>
      <w:pPr/>
    </w:lvl>
  </w:abstractNum>
  <w:abstractNum w:abstractNumId="4">
    <w:nsid w:val="00000004"/>
    <w:multiLevelType w:val="hybridMultilevel"/>
    <w:tmpl w:val="8D546E6E"/>
    <w:lvl w:ilvl="0" w:tplc="D1509B6A">
      <w:start w:val="1"/>
      <w:numFmt w:val="decimal"/>
      <w:lvlText w:val="%1."/>
      <w:lvlJc w:val="left"/>
      <w:pPr/>
    </w:lvl>
    <w:lvl w:ilvl="1" w:tplc="E132CD5C">
      <w:start w:val="1"/>
      <w:numFmt w:val="decimal"/>
      <w:lvlText w:val=""/>
      <w:lvlJc w:val="left"/>
      <w:pPr/>
    </w:lvl>
    <w:lvl w:ilvl="2" w:tplc="F542733A">
      <w:start w:val="1"/>
      <w:numFmt w:val="decimal"/>
      <w:lvlText w:val=""/>
      <w:lvlJc w:val="left"/>
      <w:pPr/>
    </w:lvl>
    <w:lvl w:ilvl="3" w:tplc="F2568D6A">
      <w:start w:val="1"/>
      <w:numFmt w:val="decimal"/>
      <w:lvlText w:val=""/>
      <w:lvlJc w:val="left"/>
      <w:pPr/>
    </w:lvl>
    <w:lvl w:ilvl="4" w:tplc="AD7C2338">
      <w:start w:val="1"/>
      <w:numFmt w:val="decimal"/>
      <w:lvlText w:val=""/>
      <w:lvlJc w:val="left"/>
      <w:pPr/>
    </w:lvl>
    <w:lvl w:ilvl="5" w:tplc="7B96D0D2">
      <w:start w:val="1"/>
      <w:numFmt w:val="decimal"/>
      <w:lvlText w:val=""/>
      <w:lvlJc w:val="left"/>
      <w:pPr/>
    </w:lvl>
    <w:lvl w:ilvl="6" w:tplc="A1E2FC90">
      <w:start w:val="1"/>
      <w:numFmt w:val="decimal"/>
      <w:lvlText w:val=""/>
      <w:lvlJc w:val="left"/>
      <w:pPr/>
    </w:lvl>
    <w:lvl w:ilvl="7" w:tplc="D4C8BA58">
      <w:start w:val="1"/>
      <w:numFmt w:val="decimal"/>
      <w:lvlText w:val=""/>
      <w:lvlJc w:val="left"/>
      <w:pPr/>
    </w:lvl>
    <w:lvl w:ilvl="8" w:tplc="5EC64D5C">
      <w:start w:val="1"/>
      <w:numFmt w:val="decimal"/>
      <w:lvlText w:val=""/>
      <w:lvlJc w:val="left"/>
      <w:pPr/>
    </w:lvl>
  </w:abstractNum>
  <w:abstractNum w:abstractNumId="5">
    <w:nsid w:val="00000005"/>
    <w:multiLevelType w:val="hybridMultilevel"/>
    <w:tmpl w:val="CDA253F4"/>
    <w:lvl w:ilvl="0" w:tplc="0FCA1864">
      <w:start w:val="1"/>
      <w:numFmt w:val="decimal"/>
      <w:lvlText w:val="%1."/>
      <w:lvlJc w:val="left"/>
      <w:pPr/>
    </w:lvl>
    <w:lvl w:ilvl="1" w:tplc="2676E4B6">
      <w:start w:val="1"/>
      <w:numFmt w:val="decimal"/>
      <w:lvlText w:val=""/>
      <w:lvlJc w:val="left"/>
      <w:pPr/>
    </w:lvl>
    <w:lvl w:ilvl="2" w:tplc="D24EAEF6">
      <w:start w:val="1"/>
      <w:numFmt w:val="decimal"/>
      <w:lvlText w:val=""/>
      <w:lvlJc w:val="left"/>
      <w:pPr/>
    </w:lvl>
    <w:lvl w:ilvl="3" w:tplc="809EA6DC">
      <w:start w:val="1"/>
      <w:numFmt w:val="decimal"/>
      <w:lvlText w:val=""/>
      <w:lvlJc w:val="left"/>
      <w:pPr/>
    </w:lvl>
    <w:lvl w:ilvl="4" w:tplc="C2B8A222">
      <w:start w:val="1"/>
      <w:numFmt w:val="decimal"/>
      <w:lvlText w:val=""/>
      <w:lvlJc w:val="left"/>
      <w:pPr/>
    </w:lvl>
    <w:lvl w:ilvl="5" w:tplc="8D521DEA">
      <w:start w:val="1"/>
      <w:numFmt w:val="decimal"/>
      <w:lvlText w:val=""/>
      <w:lvlJc w:val="left"/>
      <w:pPr/>
    </w:lvl>
    <w:lvl w:ilvl="6" w:tplc="DAD268AA">
      <w:start w:val="1"/>
      <w:numFmt w:val="decimal"/>
      <w:lvlText w:val=""/>
      <w:lvlJc w:val="left"/>
      <w:pPr/>
    </w:lvl>
    <w:lvl w:ilvl="7" w:tplc="CAEA05D0">
      <w:start w:val="1"/>
      <w:numFmt w:val="decimal"/>
      <w:lvlText w:val=""/>
      <w:lvlJc w:val="left"/>
      <w:pPr/>
    </w:lvl>
    <w:lvl w:ilvl="8" w:tplc="7D2A55E0">
      <w:start w:val="1"/>
      <w:numFmt w:val="decimal"/>
      <w:lvlText w:val=""/>
      <w:lvlJc w:val="left"/>
      <w:pPr/>
    </w:lvl>
  </w:abstractNum>
  <w:abstractNum w:abstractNumId="6">
    <w:nsid w:val="00000006"/>
    <w:multiLevelType w:val="hybridMultilevel"/>
    <w:tmpl w:val="44C4692A"/>
    <w:lvl w:ilvl="0" w:tplc="CF3CA6E8">
      <w:start w:val="1"/>
      <w:numFmt w:val="decimal"/>
      <w:lvlText w:val="%1."/>
      <w:lvlJc w:val="left"/>
      <w:pPr/>
    </w:lvl>
    <w:lvl w:ilvl="1" w:tplc="9FDE8F76">
      <w:start w:val="1"/>
      <w:numFmt w:val="decimal"/>
      <w:lvlText w:val=""/>
      <w:lvlJc w:val="left"/>
      <w:pPr/>
    </w:lvl>
    <w:lvl w:ilvl="2" w:tplc="34587814">
      <w:start w:val="1"/>
      <w:numFmt w:val="decimal"/>
      <w:lvlText w:val=""/>
      <w:lvlJc w:val="left"/>
      <w:pPr/>
    </w:lvl>
    <w:lvl w:ilvl="3" w:tplc="2FE274B4">
      <w:start w:val="1"/>
      <w:numFmt w:val="decimal"/>
      <w:lvlText w:val=""/>
      <w:lvlJc w:val="left"/>
      <w:pPr/>
    </w:lvl>
    <w:lvl w:ilvl="4" w:tplc="88B06134">
      <w:start w:val="1"/>
      <w:numFmt w:val="decimal"/>
      <w:lvlText w:val=""/>
      <w:lvlJc w:val="left"/>
      <w:pPr/>
    </w:lvl>
    <w:lvl w:ilvl="5" w:tplc="60E4A24A">
      <w:start w:val="1"/>
      <w:numFmt w:val="decimal"/>
      <w:lvlText w:val=""/>
      <w:lvlJc w:val="left"/>
      <w:pPr/>
    </w:lvl>
    <w:lvl w:ilvl="6" w:tplc="9C18BDEC">
      <w:start w:val="1"/>
      <w:numFmt w:val="decimal"/>
      <w:lvlText w:val=""/>
      <w:lvlJc w:val="left"/>
      <w:pPr/>
    </w:lvl>
    <w:lvl w:ilvl="7" w:tplc="A138535A">
      <w:start w:val="1"/>
      <w:numFmt w:val="decimal"/>
      <w:lvlText w:val=""/>
      <w:lvlJc w:val="left"/>
      <w:pPr/>
    </w:lvl>
    <w:lvl w:ilvl="8" w:tplc="06041F00">
      <w:start w:val="1"/>
      <w:numFmt w:val="decimal"/>
      <w:lvlText w:val=""/>
      <w:lvlJc w:val="left"/>
      <w:pPr/>
    </w:lvl>
  </w:abstractNum>
  <w:num w:numId="1">
    <w:abstractNumId w:val="4"/>
  </w:num>
  <w:num w:numId="2">
    <w:abstractNumId w:val="6"/>
  </w:num>
  <w:num w:numId="3">
    <w:abstractNumId w:val="5"/>
  </w:num>
  <w:num w:numId="4">
    <w:abstractNumId w:val="1"/>
  </w:num>
  <w:num w:numId="5">
    <w:abstractNumId w:val="3"/>
  </w:num>
  <w:num w:numId="6">
    <w:abstractNumId w:val="2"/>
  </w:num>
  <w:num w:numId="7">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s-E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hAnsi="Times New Roman" w:eastAsiaTheme="minorEastAsia"/>
      <w:lang w:eastAsia="es-E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1946</Words>
  <Characters>11012</Characters>
  <Application>WPS Office</Application>
  <DocSecurity>0</DocSecurity>
  <Paragraphs>320</Paragraphs>
  <ScaleCrop>false</ScaleCrop>
  <LinksUpToDate>false</LinksUpToDate>
  <CharactersWithSpaces>12873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2026-09-29T19:06:18Z</dcterms:created>
  <dc:creator>Daliannis</dc:creator>
  <lastModifiedBy>M2006C3LG</lastModifiedBy>
  <dcterms:modified xsi:type="dcterms:W3CDTF">2026-09-29T19:06:18Z</dcterms:modified>
  <revision>19</revision>
</coreProperties>
</file>