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B0CB" w14:textId="77777777" w:rsidR="001E3D92" w:rsidRPr="00611958" w:rsidRDefault="001E3D92" w:rsidP="001E3D92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eastAsia="es-ES"/>
        </w:rPr>
        <w:t>Administración Tributaria</w:t>
      </w:r>
    </w:p>
    <w:p w14:paraId="7B2506C0" w14:textId="77777777" w:rsidR="001E3D92" w:rsidRPr="00611958" w:rsidRDefault="001E3D92" w:rsidP="001E3D92">
      <w:pPr>
        <w:pStyle w:val="Sinespaciado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>Conferencia 1</w:t>
      </w:r>
    </w:p>
    <w:p w14:paraId="5680FDFE" w14:textId="77777777" w:rsidR="001E3D92" w:rsidRPr="00611958" w:rsidRDefault="001E3D92" w:rsidP="001E3D9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</w:rPr>
        <w:t>Tema I:</w:t>
      </w:r>
      <w:r w:rsidRPr="00611958">
        <w:rPr>
          <w:rFonts w:ascii="Arial" w:hAnsi="Arial" w:cs="Arial"/>
          <w:sz w:val="24"/>
          <w:szCs w:val="24"/>
        </w:rPr>
        <w:t xml:space="preserve"> Generalidades de la Ley 113 del Sistema Tributario en Cuba. Marco conceptual</w:t>
      </w:r>
    </w:p>
    <w:p w14:paraId="2D9CD80F" w14:textId="77777777" w:rsidR="001E3D92" w:rsidRPr="00611958" w:rsidRDefault="001E3D92" w:rsidP="001E3D9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>Sumario</w:t>
      </w:r>
      <w:r w:rsidRPr="00611958">
        <w:rPr>
          <w:rFonts w:ascii="Arial" w:hAnsi="Arial" w:cs="Arial"/>
          <w:sz w:val="24"/>
          <w:szCs w:val="24"/>
          <w:lang w:val="es-MX" w:eastAsia="es-ES"/>
        </w:rPr>
        <w:t>: Evolución histórica de la administración tributaria</w:t>
      </w:r>
    </w:p>
    <w:p w14:paraId="751988AB" w14:textId="77777777" w:rsidR="001E3D92" w:rsidRPr="00611958" w:rsidRDefault="001E3D92" w:rsidP="001E3D9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bCs/>
          <w:sz w:val="24"/>
          <w:szCs w:val="24"/>
          <w:lang w:val="es-MX" w:eastAsia="es-ES"/>
        </w:rPr>
        <w:t>Bibliografía</w:t>
      </w:r>
      <w:r w:rsidRPr="00611958">
        <w:rPr>
          <w:rFonts w:ascii="Arial" w:hAnsi="Arial" w:cs="Arial"/>
          <w:sz w:val="24"/>
          <w:szCs w:val="24"/>
          <w:lang w:val="es-MX" w:eastAsia="es-ES"/>
        </w:rPr>
        <w:t>:</w:t>
      </w:r>
    </w:p>
    <w:p w14:paraId="6F9D046D" w14:textId="77777777" w:rsidR="001E3D92" w:rsidRPr="00611958" w:rsidRDefault="001E3D92" w:rsidP="001E3D9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611958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bCs/>
          <w:sz w:val="24"/>
          <w:szCs w:val="24"/>
        </w:rPr>
        <w:t xml:space="preserve">Obtener un conocimiento general de la </w:t>
      </w:r>
      <w:r w:rsidRPr="00611958">
        <w:rPr>
          <w:rFonts w:ascii="Arial" w:hAnsi="Arial" w:cs="Arial"/>
          <w:sz w:val="24"/>
          <w:szCs w:val="24"/>
          <w:lang w:val="es-MX" w:eastAsia="es-ES"/>
        </w:rPr>
        <w:t>administración tributaria</w:t>
      </w:r>
    </w:p>
    <w:p w14:paraId="75BFB09F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  <w:b/>
        </w:rPr>
        <w:t xml:space="preserve">Introducción:  </w:t>
      </w:r>
    </w:p>
    <w:p w14:paraId="55E7BAAC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Con esta unidad didáctica comienza el análisis de la</w:t>
      </w:r>
      <w:r w:rsidRPr="00611958">
        <w:rPr>
          <w:rFonts w:ascii="Arial" w:hAnsi="Arial" w:cs="Arial"/>
          <w:lang w:val="es-MX"/>
        </w:rPr>
        <w:t xml:space="preserve"> administración tributaria</w:t>
      </w:r>
      <w:r w:rsidRPr="00611958">
        <w:rPr>
          <w:rFonts w:ascii="Arial" w:hAnsi="Arial" w:cs="Arial"/>
        </w:rPr>
        <w:t>, para obtener un conocimiento general de la misma.</w:t>
      </w:r>
    </w:p>
    <w:p w14:paraId="35F13C84" w14:textId="77777777" w:rsidR="001E3D92" w:rsidRDefault="001E3D92" w:rsidP="001E3D92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611958">
        <w:rPr>
          <w:rFonts w:ascii="Arial" w:hAnsi="Arial" w:cs="Arial"/>
          <w:b/>
        </w:rPr>
        <w:t>Desarrollo:</w:t>
      </w:r>
    </w:p>
    <w:p w14:paraId="02AB5A3D" w14:textId="77777777" w:rsidR="001E3D92" w:rsidRPr="00132B65" w:rsidRDefault="001E3D92" w:rsidP="001E3D9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00A13">
        <w:rPr>
          <w:rFonts w:ascii="Arial" w:hAnsi="Arial" w:cs="Arial"/>
          <w:sz w:val="24"/>
          <w:szCs w:val="24"/>
          <w:lang w:val="es-MX" w:eastAsia="es-ES"/>
        </w:rPr>
        <w:t xml:space="preserve">Desde que surgió el fisco por primera vez, cuando aún no existía la moneda hasta nuestros días se confirma como una constante histórica que la administración </w:t>
      </w:r>
      <w:r>
        <w:rPr>
          <w:rFonts w:ascii="Arial" w:hAnsi="Arial" w:cs="Arial"/>
          <w:sz w:val="24"/>
          <w:szCs w:val="24"/>
          <w:lang w:val="es-MX" w:eastAsia="es-ES"/>
        </w:rPr>
        <w:t>tributaria</w:t>
      </w:r>
      <w:r w:rsidRPr="00D00A13">
        <w:rPr>
          <w:rFonts w:ascii="Arial" w:hAnsi="Arial" w:cs="Arial"/>
          <w:sz w:val="24"/>
          <w:szCs w:val="24"/>
          <w:lang w:val="es-MX" w:eastAsia="es-ES"/>
        </w:rPr>
        <w:t xml:space="preserve"> en cada período demanda mayores recursos, para cumplir con las diferentes actividades</w:t>
      </w:r>
      <w:r>
        <w:rPr>
          <w:rFonts w:ascii="Arial" w:hAnsi="Arial" w:cs="Arial"/>
          <w:sz w:val="24"/>
          <w:szCs w:val="24"/>
          <w:lang w:val="es-MX" w:eastAsia="es-ES"/>
        </w:rPr>
        <w:t>.</w:t>
      </w:r>
    </w:p>
    <w:p w14:paraId="02B1982D" w14:textId="77777777" w:rsidR="001E3D92" w:rsidRDefault="001E3D92" w:rsidP="001E3D9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00A13">
        <w:rPr>
          <w:rFonts w:ascii="Arial" w:hAnsi="Arial" w:cs="Arial"/>
          <w:sz w:val="24"/>
          <w:szCs w:val="24"/>
          <w:lang w:val="es-MX" w:eastAsia="es-ES"/>
        </w:rPr>
        <w:t>El desarrollo de la administración tributaria está estrechamente vinculado al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Pr="00D00A13">
        <w:rPr>
          <w:rFonts w:ascii="Arial" w:hAnsi="Arial" w:cs="Arial"/>
          <w:sz w:val="24"/>
          <w:szCs w:val="24"/>
          <w:lang w:val="es-MX" w:eastAsia="es-ES"/>
        </w:rPr>
        <w:t>desarrollo del Estado, de la economía y al comportamiento cultural.</w:t>
      </w:r>
    </w:p>
    <w:p w14:paraId="7227AACC" w14:textId="77777777" w:rsidR="001E3D92" w:rsidRDefault="001E3D92" w:rsidP="001E3D92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D00A13">
        <w:rPr>
          <w:rFonts w:ascii="Arial" w:hAnsi="Arial" w:cs="Arial"/>
          <w:sz w:val="24"/>
          <w:szCs w:val="24"/>
          <w:lang w:val="es-MX" w:eastAsia="es-ES"/>
        </w:rPr>
        <w:t>La forma en que una administración tributaria se organiza no ha sido producto del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Pr="00D00A13">
        <w:rPr>
          <w:rFonts w:ascii="Arial" w:hAnsi="Arial" w:cs="Arial"/>
          <w:sz w:val="24"/>
          <w:szCs w:val="24"/>
          <w:lang w:val="es-MX" w:eastAsia="es-ES"/>
        </w:rPr>
        <w:t>azar a través del tiempo. Las formas organizacionales han evolucionado a la par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Pr="00D00A13">
        <w:rPr>
          <w:rFonts w:ascii="Arial" w:hAnsi="Arial" w:cs="Arial"/>
          <w:sz w:val="24"/>
          <w:szCs w:val="24"/>
          <w:lang w:val="es-MX" w:eastAsia="es-ES"/>
        </w:rPr>
        <w:t>de las administraciones tributarias, adoptando formas y estableciendo prioridades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Pr="00D00A13">
        <w:rPr>
          <w:rFonts w:ascii="Arial" w:hAnsi="Arial" w:cs="Arial"/>
          <w:sz w:val="24"/>
          <w:szCs w:val="24"/>
          <w:lang w:val="es-MX" w:eastAsia="es-ES"/>
        </w:rPr>
        <w:t>conforme a la política tributaria del país y a las que la misma administración se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 w:rsidRPr="00D00A13">
        <w:rPr>
          <w:rFonts w:ascii="Arial" w:hAnsi="Arial" w:cs="Arial"/>
          <w:sz w:val="24"/>
          <w:szCs w:val="24"/>
          <w:lang w:val="es-MX" w:eastAsia="es-ES"/>
        </w:rPr>
        <w:t>plantea en el cumplimiento de los objetivos señalados por dicha política.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(</w:t>
      </w:r>
      <w:bookmarkStart w:id="0" w:name="_Hlk146761527"/>
      <w:r>
        <w:rPr>
          <w:rFonts w:ascii="Arial" w:hAnsi="Arial" w:cs="Arial"/>
          <w:sz w:val="24"/>
          <w:szCs w:val="24"/>
          <w:lang w:val="es-MX" w:eastAsia="es-ES"/>
        </w:rPr>
        <w:t xml:space="preserve">Ayala, M. </w:t>
      </w:r>
      <w:r w:rsidRPr="00D00A13">
        <w:rPr>
          <w:rFonts w:ascii="Arial" w:hAnsi="Arial" w:cs="Arial"/>
          <w:sz w:val="24"/>
          <w:szCs w:val="24"/>
          <w:lang w:val="es-MX" w:eastAsia="es-ES"/>
        </w:rPr>
        <w:t>2005</w:t>
      </w:r>
      <w:bookmarkEnd w:id="0"/>
      <w:r>
        <w:rPr>
          <w:rFonts w:ascii="Arial" w:hAnsi="Arial" w:cs="Arial"/>
          <w:sz w:val="24"/>
          <w:szCs w:val="24"/>
          <w:lang w:val="es-MX" w:eastAsia="es-ES"/>
        </w:rPr>
        <w:t>)</w:t>
      </w:r>
    </w:p>
    <w:p w14:paraId="76D04AA3" w14:textId="77777777" w:rsidR="001E3D92" w:rsidRDefault="001E3D92" w:rsidP="001E3D92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 w:rsidRPr="00611958">
        <w:rPr>
          <w:rFonts w:ascii="Arial" w:hAnsi="Arial" w:cs="Arial"/>
          <w:bCs/>
        </w:rPr>
        <w:t>La Administración Tributaria es la encargada de alcanzar determinados objetivos de política fiscal, la recaudación efectiva y oportuna de los impuestos, tasas y derechos, producto del conjunto de medidas relativas a régimen tributario, sustenta su acción en un cuerpo de leyes impositivas que debe administrar, lo que implica, por un lado, lograr la mayor recaudación de los tributos legalmente</w:t>
      </w:r>
      <w:r w:rsidRPr="00611958">
        <w:t xml:space="preserve"> </w:t>
      </w:r>
      <w:r w:rsidRPr="00611958">
        <w:rPr>
          <w:rFonts w:ascii="Arial" w:hAnsi="Arial" w:cs="Arial"/>
          <w:bCs/>
        </w:rPr>
        <w:t xml:space="preserve">establecidos y por otro. Asegura la aplicación correcta de las normas jurídicas que establecen regímenes   de fomento o </w:t>
      </w:r>
      <w:proofErr w:type="spellStart"/>
      <w:r w:rsidRPr="00611958">
        <w:rPr>
          <w:rFonts w:ascii="Arial" w:hAnsi="Arial" w:cs="Arial"/>
          <w:bCs/>
        </w:rPr>
        <w:t>desestímulos</w:t>
      </w:r>
      <w:proofErr w:type="spellEnd"/>
      <w:r w:rsidRPr="00611958">
        <w:rPr>
          <w:rFonts w:ascii="Arial" w:hAnsi="Arial" w:cs="Arial"/>
          <w:bCs/>
        </w:rPr>
        <w:t xml:space="preserve">. </w:t>
      </w:r>
    </w:p>
    <w:p w14:paraId="2FCC5590" w14:textId="77777777" w:rsidR="001E3D92" w:rsidRPr="00611958" w:rsidRDefault="001E3D92" w:rsidP="001E3D92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4CFB4303" w14:textId="77777777" w:rsidR="001E3D92" w:rsidRPr="00611958" w:rsidRDefault="001E3D92" w:rsidP="001E3D92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 w:rsidRPr="00611958">
        <w:rPr>
          <w:rFonts w:ascii="Arial" w:hAnsi="Arial" w:cs="Arial"/>
          <w:bCs/>
        </w:rPr>
        <w:t>Tiene como objetivos fundamentales:</w:t>
      </w:r>
    </w:p>
    <w:p w14:paraId="5E46B1CA" w14:textId="77777777" w:rsidR="001E3D92" w:rsidRPr="00777237" w:rsidRDefault="001E3D92" w:rsidP="001E3D92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 w:rsidRPr="00777237">
        <w:rPr>
          <w:rFonts w:ascii="Arial" w:hAnsi="Arial" w:cs="Arial"/>
          <w:bCs/>
        </w:rPr>
        <w:t>Aplicar estrictamente las leyes tributarias, de modo de obtener la máxima recaudación con el mínimo costo y,</w:t>
      </w:r>
    </w:p>
    <w:p w14:paraId="591F7B35" w14:textId="77777777" w:rsidR="001E3D92" w:rsidRPr="00777237" w:rsidRDefault="001E3D92" w:rsidP="001E3D92">
      <w:pPr>
        <w:pStyle w:val="Prrafode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 w:rsidRPr="00777237">
        <w:rPr>
          <w:rFonts w:ascii="Arial" w:hAnsi="Arial" w:cs="Arial"/>
          <w:bCs/>
        </w:rPr>
        <w:lastRenderedPageBreak/>
        <w:t>Estimular el cumplimiento voluntario de los contribuyentes.</w:t>
      </w:r>
    </w:p>
    <w:p w14:paraId="27C67E84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En los años 80, se ha llevado a cabo importantes cambios tributarios, tanto en países desarrollados como en desarrollo, debido a la crisis generalizada que imperaban en esa década, estos cambios, en la mayoría de los casos estaban sujetos a reformas tributarias, debido a la existencia de déficit fiscal a nivel gubernamental.</w:t>
      </w:r>
    </w:p>
    <w:p w14:paraId="04F054C4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Cualquier reforma tributaria para ser constructiva y viable, debe ir acompañada de una reforma fiscal, es decir una reorganización de la administración fiscal constante y un perfeccionamiento diario de los métodos de gestión.</w:t>
      </w:r>
    </w:p>
    <w:p w14:paraId="12F08945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Con la desaparición del campo socialista en Europa del Este, generada a partir de los finales de los 80 y principios de la década de los 90, provocó una fuerte crisis económica en el país, en tanto significó la pérdida del marco de integración económica y comercial en que estaba insertada Cuba.</w:t>
      </w:r>
    </w:p>
    <w:p w14:paraId="30CEDA09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Uno de los pilares del programa de medidas de estabilización, recuperación y crecimiento de la economía, fue la reforma fiscal, como respuesta a la necesidad de contar con un sistema de ingresos Presupuestarios, cuyo diseñ</w:t>
      </w:r>
      <w:r>
        <w:rPr>
          <w:rFonts w:ascii="Arial" w:hAnsi="Arial" w:cs="Arial"/>
        </w:rPr>
        <w:t>o</w:t>
      </w:r>
      <w:r w:rsidRPr="00611958">
        <w:rPr>
          <w:rFonts w:ascii="Arial" w:hAnsi="Arial" w:cs="Arial"/>
        </w:rPr>
        <w:t xml:space="preserve"> resultase coherente con la nueva realidad económica.</w:t>
      </w:r>
    </w:p>
    <w:p w14:paraId="0A8F4711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Esta reforma tenía como criterio esencial lograr una legítima aceptación social de esta nueva realidad fiscal y a tales efectos, se parti</w:t>
      </w:r>
      <w:r>
        <w:rPr>
          <w:rFonts w:ascii="Arial" w:hAnsi="Arial" w:cs="Arial"/>
        </w:rPr>
        <w:t>ó</w:t>
      </w:r>
      <w:r w:rsidRPr="00611958">
        <w:rPr>
          <w:rFonts w:ascii="Arial" w:hAnsi="Arial" w:cs="Arial"/>
        </w:rPr>
        <w:t xml:space="preserve"> de un diseño global coherente con el proyecto social cubano, con las siguientes características:</w:t>
      </w:r>
    </w:p>
    <w:p w14:paraId="35A608B4" w14:textId="77777777" w:rsidR="001E3D92" w:rsidRPr="00322845" w:rsidRDefault="001E3D92" w:rsidP="001E3D9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22845">
        <w:rPr>
          <w:rFonts w:ascii="Arial" w:hAnsi="Arial" w:cs="Arial"/>
        </w:rPr>
        <w:t>Adopción de una política y estructura tributaria que garantizará la distribución equitativa de una suficiente carga impositiva con un ordenamiento jurídico   sencillo, para facilitar su aplicación y que estableciera un equilibrio adecuado entre los deberes y derechos de los sujetos de las obligaciones tributarias.</w:t>
      </w:r>
    </w:p>
    <w:p w14:paraId="3DA8BDB4" w14:textId="77777777" w:rsidR="001E3D92" w:rsidRPr="00322845" w:rsidRDefault="001E3D92" w:rsidP="001E3D9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22845">
        <w:rPr>
          <w:rFonts w:ascii="Arial" w:hAnsi="Arial" w:cs="Arial"/>
        </w:rPr>
        <w:t>Empleo estricto y eficiente de todos los ingresos recaudados en el fomento del bienestar económico y social   del país, traducido, entre otros, en sistemas de salud, educación   y otros   servicios sociales suministrado de forma gratuita y con cobertura universal.</w:t>
      </w:r>
    </w:p>
    <w:p w14:paraId="0D8273D7" w14:textId="77777777" w:rsidR="001E3D92" w:rsidRPr="00322845" w:rsidRDefault="001E3D92" w:rsidP="001E3D9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22845">
        <w:rPr>
          <w:rFonts w:ascii="Arial" w:hAnsi="Arial" w:cs="Arial"/>
        </w:rPr>
        <w:t>El diseño de una administración Tributaria fuerte, eficaz y con un genuino enfoque de servicio al ciudadano que garantice la aplicación transparente, imparcial e integral de la legislación tributaria.</w:t>
      </w:r>
    </w:p>
    <w:p w14:paraId="60A2C397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</w:p>
    <w:p w14:paraId="5F365271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lastRenderedPageBreak/>
        <w:t>Para lograr la aplicación cabal de la nueva política tributaria, se definieron las siguientes líneas de actuación:</w:t>
      </w:r>
    </w:p>
    <w:p w14:paraId="4205AA0B" w14:textId="77777777" w:rsidR="001E3D92" w:rsidRPr="00322845" w:rsidRDefault="001E3D92" w:rsidP="001E3D9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22845">
        <w:rPr>
          <w:rFonts w:ascii="Arial" w:hAnsi="Arial" w:cs="Arial"/>
        </w:rPr>
        <w:t>Estructurar un nuevo modelo de administración tributario y completar los procedimientos tributarios, con una visión de futuro, de constituir una Administración Tributaria moderna con el reconocimiento de la sociedad.</w:t>
      </w:r>
    </w:p>
    <w:p w14:paraId="6E593E89" w14:textId="77777777" w:rsidR="001E3D92" w:rsidRPr="00322845" w:rsidRDefault="001E3D92" w:rsidP="001E3D9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22845">
        <w:rPr>
          <w:rFonts w:ascii="Arial" w:hAnsi="Arial" w:cs="Arial"/>
        </w:rPr>
        <w:t>Desarrollar sistemas para el control del cumplimiento de las obligaciones tributarias y la ejecución de las deudas tributarias.</w:t>
      </w:r>
    </w:p>
    <w:p w14:paraId="70C1061A" w14:textId="77777777" w:rsidR="001E3D92" w:rsidRPr="00322845" w:rsidRDefault="001E3D92" w:rsidP="001E3D9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22845">
        <w:rPr>
          <w:rFonts w:ascii="Arial" w:hAnsi="Arial" w:cs="Arial"/>
        </w:rPr>
        <w:t>Fortalecer el sistema para el control del cumplimiento de las obligaciones tributarias y la ejecución de las deudas tributarias identificadas.</w:t>
      </w:r>
    </w:p>
    <w:p w14:paraId="381408DC" w14:textId="77777777" w:rsidR="001E3D92" w:rsidRPr="00322845" w:rsidRDefault="001E3D92" w:rsidP="001E3D92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322845">
        <w:rPr>
          <w:rFonts w:ascii="Arial" w:hAnsi="Arial" w:cs="Arial"/>
        </w:rPr>
        <w:t>Modernizar los sistemas de gestión de las funciones básicas y de apoyo.</w:t>
      </w:r>
    </w:p>
    <w:p w14:paraId="73A4ABAC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</w:p>
    <w:p w14:paraId="0F5AD7D4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 xml:space="preserve">El primer paso de la reforma fiscal se produjo, en noviembre de 1995, por el acuerdo No. 2819 del Consejo de </w:t>
      </w:r>
      <w:proofErr w:type="gramStart"/>
      <w:r w:rsidRPr="00611958">
        <w:rPr>
          <w:rFonts w:ascii="Arial" w:hAnsi="Arial" w:cs="Arial"/>
        </w:rPr>
        <w:t>Ministro</w:t>
      </w:r>
      <w:r>
        <w:rPr>
          <w:rFonts w:ascii="Arial" w:hAnsi="Arial" w:cs="Arial"/>
        </w:rPr>
        <w:t>s</w:t>
      </w:r>
      <w:proofErr w:type="gramEnd"/>
      <w:r w:rsidRPr="00611958">
        <w:rPr>
          <w:rFonts w:ascii="Arial" w:hAnsi="Arial" w:cs="Arial"/>
        </w:rPr>
        <w:t xml:space="preserve"> de la </w:t>
      </w:r>
      <w:r>
        <w:rPr>
          <w:rFonts w:ascii="Arial" w:hAnsi="Arial" w:cs="Arial"/>
        </w:rPr>
        <w:t>R</w:t>
      </w:r>
      <w:r w:rsidRPr="00611958">
        <w:rPr>
          <w:rFonts w:ascii="Arial" w:hAnsi="Arial" w:cs="Arial"/>
        </w:rPr>
        <w:t xml:space="preserve">epública de Cuba, que aprobó la creación de la Oficina Nacional de </w:t>
      </w:r>
      <w:r>
        <w:rPr>
          <w:rFonts w:ascii="Arial" w:hAnsi="Arial" w:cs="Arial"/>
        </w:rPr>
        <w:t>A</w:t>
      </w:r>
      <w:r w:rsidRPr="00611958">
        <w:rPr>
          <w:rFonts w:ascii="Arial" w:hAnsi="Arial" w:cs="Arial"/>
        </w:rPr>
        <w:t>dministración Tributaria (ONAT), entidad</w:t>
      </w:r>
    </w:p>
    <w:p w14:paraId="2B169AB0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encargada de la recaudación, control y fiscalización de los tributos (excepto aranceles) e ingresos no tributarios del estado.</w:t>
      </w:r>
    </w:p>
    <w:p w14:paraId="1D390E08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Su creación tuvo como objetivo central efectuar la  política tributaria, por  la aplicación estricta de la Ley No. 73, del Sistema Tributario, de fecha 4 de agosto de</w:t>
      </w:r>
      <w:r>
        <w:rPr>
          <w:rFonts w:ascii="Arial" w:hAnsi="Arial" w:cs="Arial"/>
        </w:rPr>
        <w:t xml:space="preserve"> </w:t>
      </w:r>
      <w:r w:rsidRPr="00611958">
        <w:rPr>
          <w:rFonts w:ascii="Arial" w:hAnsi="Arial" w:cs="Arial"/>
        </w:rPr>
        <w:t>1994 y del Decreto Ley No. 169 de las Normas Generales y de Procedimientos Tributarios, de  fecha  10  de  enero  de  1997,  que  plantean su  artículo 16,  “La competencia de la ONAT abarca la gestión, control , determinación, recaudación , y fiscalización de los tributos   que por Ley   se establecen y se   extiende a la aplicación de los recargos y sanciones que en su caso, correspondan y a la solución de las reclamaciones que se presenten contra sus actos”.</w:t>
      </w:r>
    </w:p>
    <w:p w14:paraId="30DC164F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La Ley No. 73 tiene como objeto establecer tributos y los principios generales sobre los cuales se sustentan el Sistema Tributario Cubano.</w:t>
      </w:r>
    </w:p>
    <w:p w14:paraId="0650A088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Los tributos se establecen basados en los principios de generalidad y equidad de la carga tributaria, en correspondencia con la capacidad económica de las personas obligadas a satisfacerlo. Además   de ser medios   para recaudar ingresos, como instrumento de la política económica, para el desarrollo económico – social del país.</w:t>
      </w:r>
    </w:p>
    <w:p w14:paraId="5E2B2DFD" w14:textId="77777777" w:rsidR="001E3D92" w:rsidRPr="00611958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 xml:space="preserve">La Administración Tributaria cubana parte del diseño de una sola Administración Tributaria en el territorio nacional para la gestión de todos los ingresos tributarios </w:t>
      </w:r>
      <w:r w:rsidRPr="00611958">
        <w:rPr>
          <w:rFonts w:ascii="Arial" w:hAnsi="Arial" w:cs="Arial"/>
        </w:rPr>
        <w:lastRenderedPageBreak/>
        <w:t>y no tributarios, excepto los aranceles.  Esta peculiaridad se deriva de que en el país existe una centralización normativa y por lo tanto los gobiernos locales no tienen capacidad de crear o eliminar tributos.</w:t>
      </w:r>
    </w:p>
    <w:p w14:paraId="39901FAC" w14:textId="77777777" w:rsidR="001E3D92" w:rsidRDefault="001E3D92" w:rsidP="001E3D92">
      <w:pPr>
        <w:spacing w:line="360" w:lineRule="auto"/>
        <w:jc w:val="both"/>
        <w:rPr>
          <w:rFonts w:ascii="Arial" w:hAnsi="Arial" w:cs="Arial"/>
        </w:rPr>
      </w:pPr>
      <w:r w:rsidRPr="00611958">
        <w:rPr>
          <w:rFonts w:ascii="Arial" w:hAnsi="Arial" w:cs="Arial"/>
        </w:rPr>
        <w:t>La Oficina goza de autonomía relativa, estando adscrita al Ministerio de Finanzas y Precios, con una estructura vertical, siendo responsable del manejo de su presupuesto de gasto, a fin de llevar a cabo los programas de operación y desarrollo identificados.</w:t>
      </w:r>
    </w:p>
    <w:p w14:paraId="691BDE60" w14:textId="77777777" w:rsidR="001E3D92" w:rsidRDefault="001E3D92" w:rsidP="001E3D9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b/>
          <w:color w:val="000000"/>
        </w:rPr>
      </w:pPr>
      <w:r w:rsidRPr="008327ED">
        <w:rPr>
          <w:rFonts w:ascii="Arial" w:hAnsi="Arial" w:cs="Arial"/>
          <w:b/>
          <w:color w:val="000000"/>
        </w:rPr>
        <w:t>CONCLUSIONES</w:t>
      </w:r>
    </w:p>
    <w:p w14:paraId="6D2F015B" w14:textId="77777777" w:rsidR="001E3D92" w:rsidRDefault="001E3D92" w:rsidP="001E3D9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8327ED">
        <w:rPr>
          <w:rFonts w:ascii="Arial" w:hAnsi="Arial" w:cs="Arial"/>
          <w:color w:val="000000"/>
        </w:rPr>
        <w:t xml:space="preserve">Resumen del contenido impartido y orientación del contenido para el próximo encuentro. </w:t>
      </w:r>
    </w:p>
    <w:p w14:paraId="3F540342" w14:textId="77777777" w:rsidR="001E3D92" w:rsidRDefault="001E3D92" w:rsidP="001E3D92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b/>
          <w:color w:val="000000"/>
        </w:rPr>
      </w:pPr>
      <w:r w:rsidRPr="008327ED">
        <w:rPr>
          <w:rFonts w:ascii="Arial" w:hAnsi="Arial" w:cs="Arial"/>
          <w:b/>
          <w:color w:val="000000"/>
        </w:rPr>
        <w:t>Estudio Individual</w:t>
      </w:r>
    </w:p>
    <w:p w14:paraId="150DD6EB" w14:textId="77777777" w:rsidR="001E3D92" w:rsidRPr="001373AD" w:rsidRDefault="001E3D92" w:rsidP="001E3D9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b/>
          <w:color w:val="000000"/>
        </w:rPr>
      </w:pPr>
      <w:r w:rsidRPr="001373AD">
        <w:rPr>
          <w:rFonts w:ascii="Arial" w:hAnsi="Arial" w:cs="Arial"/>
          <w:bCs/>
          <w:color w:val="000000"/>
        </w:rPr>
        <w:t>Profundizar la evolución histórica de la Administración Tributaria</w:t>
      </w:r>
    </w:p>
    <w:p w14:paraId="6ED80101" w14:textId="77777777" w:rsidR="00542E27" w:rsidRDefault="00542E27"/>
    <w:sectPr w:rsidR="00542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979"/>
    <w:multiLevelType w:val="hybridMultilevel"/>
    <w:tmpl w:val="4EE400CE"/>
    <w:lvl w:ilvl="0" w:tplc="5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B564F"/>
    <w:multiLevelType w:val="hybridMultilevel"/>
    <w:tmpl w:val="B14C3BD8"/>
    <w:lvl w:ilvl="0" w:tplc="B9CEA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3C33"/>
    <w:multiLevelType w:val="hybridMultilevel"/>
    <w:tmpl w:val="22486F46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35662"/>
    <w:multiLevelType w:val="hybridMultilevel"/>
    <w:tmpl w:val="55C0352E"/>
    <w:lvl w:ilvl="0" w:tplc="5C0A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006961">
    <w:abstractNumId w:val="0"/>
  </w:num>
  <w:num w:numId="2" w16cid:durableId="508638582">
    <w:abstractNumId w:val="2"/>
  </w:num>
  <w:num w:numId="3" w16cid:durableId="632294313">
    <w:abstractNumId w:val="1"/>
  </w:num>
  <w:num w:numId="4" w16cid:durableId="254562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92"/>
    <w:rsid w:val="001E3D92"/>
    <w:rsid w:val="003120AE"/>
    <w:rsid w:val="0054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4E5831"/>
  <w15:chartTrackingRefBased/>
  <w15:docId w15:val="{B58BCE1B-8E31-453E-9A26-FDB72834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E3D92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1E3D92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E3D92"/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Vidal Pérez</dc:creator>
  <cp:keywords/>
  <dc:description/>
  <cp:lastModifiedBy>Claudia Vidal Pérez</cp:lastModifiedBy>
  <cp:revision>1</cp:revision>
  <dcterms:created xsi:type="dcterms:W3CDTF">2024-05-29T00:06:00Z</dcterms:created>
  <dcterms:modified xsi:type="dcterms:W3CDTF">2024-05-29T00:07:00Z</dcterms:modified>
</cp:coreProperties>
</file>