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A1EB" w14:textId="77777777" w:rsidR="004D5492" w:rsidRPr="004D5492" w:rsidRDefault="004D5492" w:rsidP="004D5492">
      <w:pPr>
        <w:spacing w:before="36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NA" w:eastAsia="en-NA"/>
          <w14:ligatures w14:val="none"/>
        </w:rPr>
      </w:pP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Decreto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-Ley No. 44/2021.-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Sobre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el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ejercicio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Trabajo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por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Cuenta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Propia</w:t>
      </w:r>
      <w:proofErr w:type="spellEnd"/>
    </w:p>
    <w:p w14:paraId="50208A5A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GOC-2021-775-O94</w:t>
      </w:r>
    </w:p>
    <w:p w14:paraId="0B687517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JUAN ESTEBAN LAZO HERNÁNDEZ, Presidente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Asamblea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Nacional del Poder Popular.</w:t>
      </w:r>
    </w:p>
    <w:p w14:paraId="4160B764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HAGO SABER: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Consejo de Estado ha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considerado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siguiente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:</w:t>
      </w:r>
    </w:p>
    <w:p w14:paraId="36684E78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 CUANTO: La Ley 116, “</w:t>
      </w:r>
      <w:hyperlink r:id="rId5" w:history="1"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Código de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Trabajo</w:t>
        </w:r>
        <w:proofErr w:type="spellEnd"/>
      </w:hyperlink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”, de 20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diciembre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2013,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principios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fundamentales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rigen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derecho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aplicables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incluidos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A9734F3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POR CUANTO: El </w:t>
      </w:r>
      <w:hyperlink r:id="rId6" w:history="1"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Decreto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-Ley 356</w:t>
        </w:r>
      </w:hyperlink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“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Sobre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hyperlink r:id="rId7" w:history="1"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Ejercicio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del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Trabajo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por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Cuenta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Propia</w:t>
        </w:r>
        <w:proofErr w:type="spellEnd"/>
      </w:hyperlink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”, de 17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marzo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2018,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quedó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modificado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-Ley 383, de 23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septiembre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2019,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disposiciones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generales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así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sistema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organización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control y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disposiciones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normativas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dictadas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Reglamento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modalidad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así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denominación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alcance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Reglamento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tramitar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Licencia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Operación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Transporte.</w:t>
      </w:r>
    </w:p>
    <w:p w14:paraId="75D72292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POR CUANTO: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experiencia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aplicación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disposiciones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normativas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aconseja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unificarlas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mejor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implementación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fin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perfeccionar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modalidad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Estrategia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Social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país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reconociendo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capacidad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encadenarse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sector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u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sector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así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perfeccionar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responsabilidades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administraciones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locales del Poder Popular,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9562224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POR TANTO: El Consejo de Estado,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atribuciones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están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conferidas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inciso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c)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122 de la Constitución de la República, ha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adoptado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siguiente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:</w:t>
      </w:r>
    </w:p>
    <w:p w14:paraId="58689685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DECRETO-LEY 44</w:t>
      </w:r>
    </w:p>
    <w:p w14:paraId="3F63452F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SOBRE EL </w:t>
      </w:r>
      <w:hyperlink r:id="rId8" w:history="1"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EJERCICIO DEL TRABAJO POR CUENTA PROPIA</w:t>
        </w:r>
      </w:hyperlink>
    </w:p>
    <w:p w14:paraId="5E61DFE2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CAPÍTULO I DISPOSICIONES GENERALES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 a 42 SECCIÓN PRIMERA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 a 9 </w:t>
      </w:r>
    </w:p>
    <w:p w14:paraId="6BD6C9B3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alcance</w:t>
      </w:r>
      <w:proofErr w:type="spellEnd"/>
    </w:p>
    <w:p w14:paraId="2A04C7BF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 </w:t>
      </w:r>
    </w:p>
    <w:p w14:paraId="146FBDA3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-Ley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tiene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actualizar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disposiciones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generales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hyperlink r:id="rId9" w:history="1"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ejercicio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del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trabajo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por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cuenta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propia</w:t>
        </w:r>
        <w:proofErr w:type="spellEnd"/>
      </w:hyperlink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regular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procedimiento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tramitar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lastRenderedPageBreak/>
        <w:t>autorizaciones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través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efecto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adecuar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sistema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organización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control,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así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perfeccionar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responsabilidades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órganos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administración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local del Poder Popular,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órganos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organismos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Administración.</w:t>
      </w:r>
    </w:p>
    <w:p w14:paraId="1DCAC220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Central del Estado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nacionales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06860A0A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 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es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de forma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autónoma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personas naturales,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propietarios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no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utilizan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3.1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ciudadanos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cubanos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extranjeros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residentes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permanentes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territorio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nacional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cumplan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requisitos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Constitución de la República de Cuba,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hyperlink r:id="rId10" w:history="1"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Código de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Trabajo</w:t>
        </w:r>
        <w:proofErr w:type="spellEnd"/>
      </w:hyperlink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Reglamento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acceso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5F3BCEE3" w14:textId="77777777" w:rsidR="004D5492" w:rsidRPr="004D5492" w:rsidRDefault="004D5492" w:rsidP="004D5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incorporación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manera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excepcional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jóvenes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quince (15)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dieciséis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(16)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años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así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condiciones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deben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garantizarse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jóvenes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diecisiete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(17)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dieciocho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(18)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años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laboran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forma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gestión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rigen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hyperlink r:id="rId11" w:history="1"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Código de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Trabajo</w:t>
        </w:r>
        <w:proofErr w:type="spellEnd"/>
      </w:hyperlink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Reglamento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147CCF95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4 Son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sujetos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-Ley: </w:t>
      </w:r>
    </w:p>
    <w:p w14:paraId="133436F0" w14:textId="77777777" w:rsidR="004D5492" w:rsidRPr="004D5492" w:rsidRDefault="004D5492" w:rsidP="004D5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 persona natural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552C4451" w14:textId="77777777" w:rsidR="004D5492" w:rsidRPr="004D5492" w:rsidRDefault="004D5492" w:rsidP="004D5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 persona natural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gram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</w:t>
      </w:r>
      <w:proofErr w:type="gram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actuar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dotada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capacidad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legal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concertar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relaciones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laborales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 y</w:t>
      </w:r>
    </w:p>
    <w:p w14:paraId="1E45BAEF" w14:textId="77777777" w:rsidR="004D5492" w:rsidRPr="004D5492" w:rsidRDefault="004D5492" w:rsidP="004D5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subordinación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persona natural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gram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</w:t>
      </w:r>
      <w:proofErr w:type="gram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actuar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74211EB0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5 Los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concertar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más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un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diferentes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horarios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6.1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hyperlink r:id="rId12" w:history="1"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ejercicio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del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trabajo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por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cuenta</w:t>
        </w:r>
        <w:proofErr w:type="spellEnd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 xml:space="preserve"> </w:t>
        </w:r>
        <w:proofErr w:type="spellStart"/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propia</w:t>
        </w:r>
        <w:proofErr w:type="spellEnd"/>
      </w:hyperlink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es personal 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intransferible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35A34B29" w14:textId="77777777" w:rsidR="004D5492" w:rsidRPr="004D5492" w:rsidRDefault="004D5492" w:rsidP="004D5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hacerse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representar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legalmente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todos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4873C3C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7.1 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forma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autónoma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auxiliado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hasta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(3)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631EA98E" w14:textId="77777777" w:rsidR="004D5492" w:rsidRPr="004D5492" w:rsidRDefault="004D5492" w:rsidP="004D54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cónyuge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familiares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hasta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segundo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grado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consanguinidad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padres,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hijos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hermanos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nietos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abuelos, y primero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afinidad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suegros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nueras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yernos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tienen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obligación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inscribirse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2A5B8BAC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8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ejercerse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son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previstas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específica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9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solución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conflictos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laborales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rige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materia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SECCIÓN SEGUNDA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10 </w:t>
      </w:r>
    </w:p>
    <w:p w14:paraId="150A0C38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organismos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nacionales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atención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</w:p>
    <w:p w14:paraId="3D8385CE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lastRenderedPageBreak/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10 Los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organismos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Administración Central del Estado y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nacionales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misión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específicas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son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atención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control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definen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entre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funcionamiento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SECCIÓN TERCERA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11.1 y 12.1 </w:t>
      </w:r>
    </w:p>
    <w:p w14:paraId="79B0F1EB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</w:p>
    <w:p w14:paraId="143DCC85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11.1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gestión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institucional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encargan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brindar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información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asesoría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sobre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tramitar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solicitudes,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traslados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suspensiones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cancelaciones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consultas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21DBBF71" w14:textId="77777777" w:rsidR="004D5492" w:rsidRPr="004D5492" w:rsidRDefault="004D5492" w:rsidP="004D54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nacionales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definidas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organismos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Administración Central del Estado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atención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designan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representantes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notifican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jefes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radican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064C2394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12.1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radican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: </w:t>
      </w:r>
    </w:p>
    <w:p w14:paraId="31FD89DB" w14:textId="77777777" w:rsidR="004D5492" w:rsidRPr="004D5492" w:rsidRDefault="004D5492" w:rsidP="004D54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encargadas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otorgar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licencias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Operación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Transporte,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designadas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Ministerio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Transporte, para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transporte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carga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pasajeros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auxiliares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conexos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transporte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669E6D06" w14:textId="77777777" w:rsidR="004D5492" w:rsidRPr="004D5492" w:rsidRDefault="004D5492" w:rsidP="004D54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Empleo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direcciones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municipales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resto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 y</w:t>
      </w:r>
    </w:p>
    <w:p w14:paraId="66C9708B" w14:textId="77777777" w:rsidR="004D5492" w:rsidRPr="004D5492" w:rsidRDefault="004D5492" w:rsidP="004D54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estén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8EF7DE1" w14:textId="77777777" w:rsidR="004D5492" w:rsidRPr="004D5492" w:rsidRDefault="004D5492" w:rsidP="004D54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Los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forma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presencial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mediante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tecnologías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información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comunicaciones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76BD0477" w14:textId="77777777" w:rsidR="004D5492" w:rsidRPr="004D5492" w:rsidRDefault="004D5492" w:rsidP="004D54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Cuando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incluye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forma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conjunta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transporte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carga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pasajeros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auxiliares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conexos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transporte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solicitud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Empleo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direcciones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municipales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según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4C61405E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CAPÍTULO II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13.1 a 39 </w:t>
      </w:r>
    </w:p>
    <w:p w14:paraId="49EF28CB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PROCEDIMIENTO PARA TRAMITAR LA AUTORIZACIÓN PARA EJERCER EL TRABAJO POR CUENTA PROPIA</w:t>
      </w:r>
    </w:p>
    <w:p w14:paraId="76FCDAFF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SECCIÓN PRIMERA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13.1 a 25.1 </w:t>
      </w:r>
    </w:p>
    <w:p w14:paraId="5D6A4E03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aprobación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</w:p>
    <w:p w14:paraId="523FC026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13.1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solicitud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correspondiente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ubicada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municipio de residencia de la persona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interesada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72BB63B1" w14:textId="77777777" w:rsidR="004D5492" w:rsidRPr="004D5492" w:rsidRDefault="004D5492" w:rsidP="004D54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lastRenderedPageBreak/>
        <w:t xml:space="preserve">Cuando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pretende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arrendar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vivienda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habitación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espacio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solicitud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municipio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inmueble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19EC811A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14.1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requiere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: </w:t>
      </w:r>
    </w:p>
    <w:p w14:paraId="21218968" w14:textId="77777777" w:rsidR="004D5492" w:rsidRPr="004D5492" w:rsidRDefault="004D5492" w:rsidP="004D54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Carné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identidad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1EA10EC9" w14:textId="77777777" w:rsidR="004D5492" w:rsidRPr="004D5492" w:rsidRDefault="004D5492" w:rsidP="004D54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pretende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23C0EABF" w14:textId="77777777" w:rsidR="004D5492" w:rsidRPr="004D5492" w:rsidRDefault="004D5492" w:rsidP="004D549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datos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contacto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3AFA5DEE" w14:textId="77777777" w:rsidR="004D5492" w:rsidRPr="004D5492" w:rsidRDefault="004D5492" w:rsidP="004D54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solicitud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apertura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bancaria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fiscal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poseer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bancaria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 y</w:t>
      </w:r>
    </w:p>
    <w:p w14:paraId="31F2444F" w14:textId="77777777" w:rsidR="004D5492" w:rsidRPr="004D5492" w:rsidRDefault="004D5492" w:rsidP="004D549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documentos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requieran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3633642A" w14:textId="77777777" w:rsidR="004D5492" w:rsidRPr="004D5492" w:rsidRDefault="004D5492" w:rsidP="004D549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transporte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requiere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licencia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correspondiente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según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previsto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Reglamento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Licencia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Operación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Transporte.</w:t>
      </w:r>
    </w:p>
    <w:p w14:paraId="6C967473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15 El titular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responsable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cumplimiento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obligaciones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tributarias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dichos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de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acontece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16.1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arrendador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vivienda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habitaciones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espacios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requisito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indispensable ser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propietario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inmueble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62FE4DC5" w14:textId="77777777" w:rsidR="004D5492" w:rsidRPr="004D5492" w:rsidRDefault="004D5492" w:rsidP="004D549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propietario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hace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representar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representante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tramitar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0FA7148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17 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debe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incluir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aspectos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siguientes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: </w:t>
      </w:r>
    </w:p>
    <w:p w14:paraId="32D8B485" w14:textId="77777777" w:rsidR="004D5492" w:rsidRPr="004D5492" w:rsidRDefault="004D5492" w:rsidP="004D549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Nombre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3E92123B" w14:textId="77777777" w:rsidR="004D5492" w:rsidRPr="004D5492" w:rsidRDefault="004D5492" w:rsidP="004D54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descripción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pretende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04D238F4" w14:textId="77777777" w:rsidR="004D5492" w:rsidRPr="004D5492" w:rsidRDefault="004D5492" w:rsidP="004D54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lugar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prevé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;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ejerza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vivienda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delimita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área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comercial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resto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0FDFA21D" w14:textId="77777777" w:rsidR="004D5492" w:rsidRPr="004D5492" w:rsidRDefault="004D5492" w:rsidP="004D549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generales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cuando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requiera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115AF23A" w14:textId="77777777" w:rsidR="004D5492" w:rsidRPr="004D5492" w:rsidRDefault="004D5492" w:rsidP="004D549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interés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utilizar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carteles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u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formas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promoción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publicidad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artísticos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música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grabada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audiovisual;</w:t>
      </w:r>
    </w:p>
    <w:p w14:paraId="690B5DAE" w14:textId="77777777" w:rsidR="004D5492" w:rsidRPr="004D5492" w:rsidRDefault="004D5492" w:rsidP="004D549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horario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funcionamiento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instalación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Consejo de la Administración Municipal del Poder Popular, similar al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sector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7415C868" w14:textId="77777777" w:rsidR="004D5492" w:rsidRPr="004D5492" w:rsidRDefault="004D5492" w:rsidP="004D549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declaración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procedencia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interesado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efectos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afiliación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seguridad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social;</w:t>
      </w:r>
    </w:p>
    <w:p w14:paraId="02B622B7" w14:textId="77777777" w:rsidR="004D5492" w:rsidRPr="004D5492" w:rsidRDefault="004D5492" w:rsidP="004D549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escala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contribución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seguridad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seleccionada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205E6D5F" w14:textId="77777777" w:rsidR="004D5492" w:rsidRPr="004D5492" w:rsidRDefault="004D5492" w:rsidP="004D549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lastRenderedPageBreak/>
        <w:t>sucursal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bancaria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domicilio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fiscal; y</w:t>
      </w:r>
    </w:p>
    <w:p w14:paraId="61969367" w14:textId="77777777" w:rsidR="004D5492" w:rsidRPr="004D5492" w:rsidRDefault="004D5492" w:rsidP="004D549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declaración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veracidad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datos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expuestos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origen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financiamiento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inversiones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gram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</w:t>
      </w:r>
      <w:proofErr w:type="gram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ejecutar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así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procedencia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equipos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...</w:t>
      </w:r>
    </w:p>
    <w:p w14:paraId="3BA85786" w14:textId="7DF7B79F" w:rsidR="004D5492" w:rsidRDefault="004D5492" w:rsidP="004D5492">
      <w:pPr>
        <w:spacing w:before="100" w:beforeAutospacing="1" w:after="100" w:afterAutospacing="1" w:line="240" w:lineRule="auto"/>
        <w:rPr>
          <w:rFonts w:ascii="Aeonik" w:eastAsia="Times New Roman" w:hAnsi="Aeonik" w:cs="Times New Roman"/>
          <w:kern w:val="0"/>
          <w:lang w:val="en-NA" w:eastAsia="en-NA"/>
          <w14:ligatures w14:val="none"/>
        </w:rPr>
      </w:pPr>
      <w:r>
        <w:rPr>
          <w:rFonts w:ascii="Aeonik" w:eastAsia="Times New Roman" w:hAnsi="Aeonik" w:cs="Times New Roman"/>
          <w:kern w:val="0"/>
          <w:lang w:val="en-NA" w:eastAsia="en-NA"/>
          <w14:ligatures w14:val="none"/>
        </w:rPr>
        <w:t>////////////////////////////////////////////////////////////////////////////</w:t>
      </w:r>
    </w:p>
    <w:p w14:paraId="7D0379B3" w14:textId="69337727" w:rsidR="004D5492" w:rsidRPr="004D5492" w:rsidRDefault="004D5492" w:rsidP="00424C7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-Ley 44 de 2021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sobre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(TCP)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Cuba,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publicado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Gaceta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No. 94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agosto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2021,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actualiza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normas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basadas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Clasificador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Nacional,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/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personas naturales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nacionales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/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extranjeras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),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obliga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usar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bancarias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fiscales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materias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lícitas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 </w:t>
      </w:r>
    </w:p>
    <w:p w14:paraId="0960B2F4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Aspectos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Clave del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-Ley 44/2021:</w:t>
      </w:r>
    </w:p>
    <w:p w14:paraId="5DBDF5E8" w14:textId="77777777" w:rsidR="004D5492" w:rsidRPr="004D5492" w:rsidRDefault="004D5492" w:rsidP="004D549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Alcance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Define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TCP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forma habitual, personal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directa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persona natural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patrimonio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B8FB91E" w14:textId="77777777" w:rsidR="004D5492" w:rsidRPr="004D5492" w:rsidRDefault="004D5492" w:rsidP="004D549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Procedimiento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través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Oficina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Trámites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33BDAD0F" w14:textId="77777777" w:rsidR="004D5492" w:rsidRPr="004D5492" w:rsidRDefault="004D5492" w:rsidP="004D549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Comercialización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Los TCP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comercializar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gram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</w:t>
      </w:r>
      <w:proofErr w:type="gram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privadas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nacionales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extranjeras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utilizando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bancarias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0EA4E747" w14:textId="77777777" w:rsidR="004D5492" w:rsidRPr="004D5492" w:rsidRDefault="004D5492" w:rsidP="004D549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Importación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/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Exportación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importación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materias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exportación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/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través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67494590" w14:textId="77777777" w:rsidR="004D5492" w:rsidRPr="004D5492" w:rsidRDefault="004D5492" w:rsidP="004D549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Obligaciones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cuentapropistas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deben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según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proyecto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aprobado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usar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insumos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procedencia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lícita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conservar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documentos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compra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un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año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mantener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higiénico-sanitario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 </w:t>
      </w:r>
    </w:p>
    <w:p w14:paraId="42DBB93D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Normativa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Complementaria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(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Paquete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de 2021):</w:t>
      </w:r>
    </w:p>
    <w:p w14:paraId="025E37E0" w14:textId="77777777" w:rsidR="004D5492" w:rsidRPr="004D5492" w:rsidRDefault="004D5492" w:rsidP="004D549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-Ley 45/2021: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Regula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contravenciones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sanciones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TCP.</w:t>
      </w:r>
    </w:p>
    <w:p w14:paraId="73923BBA" w14:textId="77777777" w:rsidR="004D5492" w:rsidRPr="004D5492" w:rsidRDefault="004D5492" w:rsidP="004D549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49/2021: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Detalla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permitidas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más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2000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eliminar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limitada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127).</w:t>
      </w:r>
    </w:p>
    <w:p w14:paraId="4C0A46FB" w14:textId="77777777" w:rsidR="004D5492" w:rsidRPr="004D5492" w:rsidRDefault="004D5492" w:rsidP="004D549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Resoluciones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345, 346 y 347 del MFP: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Regulan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régimen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tributario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contabilidad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bancaria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fiscal.</w:t>
      </w:r>
    </w:p>
    <w:p w14:paraId="580C4B70" w14:textId="77777777" w:rsidR="004D5492" w:rsidRPr="004D5492" w:rsidRDefault="004D5492" w:rsidP="004D5492">
      <w:pPr>
        <w:spacing w:before="36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NA" w:eastAsia="en-NA"/>
          <w14:ligatures w14:val="none"/>
        </w:rPr>
      </w:pP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Decreto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-Ley No. 46/2021.-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Sobre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las micro,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pequeñas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medianas</w:t>
      </w:r>
      <w:proofErr w:type="spellEnd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Aeonik" w:eastAsia="Times New Roman" w:hAnsi="Aeonik" w:cs="Times New Roman"/>
          <w:b/>
          <w:bCs/>
          <w:kern w:val="36"/>
          <w:sz w:val="48"/>
          <w:szCs w:val="48"/>
          <w:lang w:val="en-NA" w:eastAsia="en-NA"/>
          <w14:ligatures w14:val="none"/>
        </w:rPr>
        <w:t>empresas</w:t>
      </w:r>
      <w:proofErr w:type="spellEnd"/>
    </w:p>
    <w:p w14:paraId="73A4DDB0" w14:textId="7B1B76F2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GOC-2021-777-O94</w:t>
      </w:r>
      <w:r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JUAN ESTEBAN LAZO HERNÁNDEZ, Presidente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Asamblea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Nacional del Poder Popular.</w:t>
      </w:r>
    </w:p>
    <w:p w14:paraId="16D9906B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HAGO SABER: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Consejo de Estado ha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considerado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siguiente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:</w:t>
      </w:r>
    </w:p>
    <w:p w14:paraId="33860681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POR CUANTO: La </w:t>
      </w:r>
      <w:hyperlink r:id="rId13" w:history="1">
        <w:r w:rsidRPr="004D549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NA" w:eastAsia="en-NA"/>
            <w14:ligatures w14:val="none"/>
          </w:rPr>
          <w:t>Constitución de la República de Cuba</w:t>
        </w:r>
      </w:hyperlink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reconoce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confluencia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escenario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diferentes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tipos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propiedad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hace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necesaria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regulación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nuevos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entre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micro,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pequeñas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medianas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37B44E18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lastRenderedPageBreak/>
        <w:t xml:space="preserve">POR CUANTO: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Teniendo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papel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dinamizador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jugar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tipo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actor y </w:t>
      </w:r>
      <w:proofErr w:type="gram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</w:t>
      </w:r>
      <w:proofErr w:type="gram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objetivo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incrementar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economía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propiciar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diversificación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así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encadenamientos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productivos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generen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mayor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valor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agregado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nacional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fomentar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social de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resulta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necesario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regular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funcionamiento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micro,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pequeñas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medianas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1B24B049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POR TANTO: El Consejo de Estado,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atribución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está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conferida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inciso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c)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122, de la Constitución de la República,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acuerda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dictar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siguiente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:</w:t>
      </w:r>
    </w:p>
    <w:p w14:paraId="698B9185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DECRETO-LEY 46</w:t>
      </w:r>
    </w:p>
    <w:p w14:paraId="2A5A9394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SOBRE LAS MICRO, PEQUEÑAS Y MEDIANAS EMPRESAS</w:t>
      </w:r>
    </w:p>
    <w:p w14:paraId="6FDC5CB2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CAPÍTULO I DISPOSICIONES GENERALES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 a 107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 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-Ley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tiene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regular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funcionamiento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micro,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pequeñas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medianas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adelante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MIPYMES.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 Son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objetivos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norma: </w:t>
      </w:r>
    </w:p>
    <w:p w14:paraId="73DD00E3" w14:textId="77777777" w:rsidR="004D5492" w:rsidRPr="004D5492" w:rsidRDefault="004D5492" w:rsidP="004D54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Facilitar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inserción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MIPYMES de forma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coherente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ordenamiento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actor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incide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transformación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productiva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país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0077F7C9" w14:textId="77777777" w:rsidR="004D5492" w:rsidRPr="004D5492" w:rsidRDefault="004D5492" w:rsidP="004D54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Delimitar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procedimientos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extinción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privadas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15697C1D" w14:textId="77777777" w:rsidR="004D5492" w:rsidRPr="004D5492" w:rsidRDefault="004D5492" w:rsidP="004D549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Definir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MIPYMES,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criterios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clasificación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aspectos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relativos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funcionamiento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0ACB30D1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3.1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efectos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norma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entiende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MIPYMES,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aquellas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personalidad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poseen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dimensiones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características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tienen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satisfagan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necesidades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sociedad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301C7D75" w14:textId="77777777" w:rsidR="004D5492" w:rsidRPr="004D5492" w:rsidRDefault="004D5492" w:rsidP="004D549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ser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propiedad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privada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mixta.</w:t>
      </w:r>
    </w:p>
    <w:p w14:paraId="5005C430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4 Las MIPYMES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clasifican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tomando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referencia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indicador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número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personas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ocupadas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incluidos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de la forma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siguiente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: </w:t>
      </w:r>
    </w:p>
    <w:p w14:paraId="08443CFF" w14:textId="77777777" w:rsidR="004D5492" w:rsidRPr="004D5492" w:rsidRDefault="004D5492" w:rsidP="004D549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Micro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: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cuyo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rango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ocupados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es de 1 </w:t>
      </w:r>
      <w:proofErr w:type="gram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 10 personas</w:t>
      </w:r>
      <w:proofErr w:type="gram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3CE4AC72" w14:textId="77777777" w:rsidR="004D5492" w:rsidRPr="004D5492" w:rsidRDefault="004D5492" w:rsidP="004D549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Pequeña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: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cuyo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rango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ocupados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es de 11 </w:t>
      </w:r>
      <w:proofErr w:type="gram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 35 personas</w:t>
      </w:r>
      <w:proofErr w:type="gram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2BB878E4" w14:textId="77777777" w:rsidR="004D5492" w:rsidRPr="004D5492" w:rsidRDefault="004D5492" w:rsidP="004D549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Mediana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: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cuyo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rango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ocupados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es de 36 </w:t>
      </w:r>
      <w:proofErr w:type="gram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 100 personas</w:t>
      </w:r>
      <w:proofErr w:type="gram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F0296BF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5.1 Las MIPYMES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rigen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Constitución de la República,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previsto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-Ley,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normas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complementarias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Estatutos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reglamentos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internos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acuerdos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adopten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órganos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dirección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control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administración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demás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disposiciones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aplicables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015E0804" w14:textId="77777777" w:rsidR="004D5492" w:rsidRPr="004D5492" w:rsidRDefault="004D5492" w:rsidP="004D549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autonomía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empresarial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marco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0F6620C7" w14:textId="77777777" w:rsidR="004D5492" w:rsidRPr="004D5492" w:rsidRDefault="004D5492" w:rsidP="004D549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lastRenderedPageBreak/>
        <w:t>Responden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obligaciones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fiscales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crediticias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laborales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medioambientales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contractuales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cualquier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derive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ordenamiento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patrimonio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C0422EC" w14:textId="77777777" w:rsidR="004D5492" w:rsidRPr="004D5492" w:rsidRDefault="004D5492" w:rsidP="004D549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derecho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demás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sujetos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reconocidos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igualdad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condiciones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les son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aplicables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disposiciones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materia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25BC98A8" w14:textId="77777777" w:rsidR="004D5492" w:rsidRPr="004D5492" w:rsidRDefault="004D5492" w:rsidP="004D549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tienen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obligación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rendir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información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estadística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según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dispone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4F3929D1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6 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tienen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autonomía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facultades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siguientes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: </w:t>
      </w:r>
    </w:p>
    <w:p w14:paraId="5F060706" w14:textId="77777777" w:rsidR="004D5492" w:rsidRPr="004D5492" w:rsidRDefault="004D5492" w:rsidP="004D549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Exportar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importar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acuerdo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054851B1" w14:textId="77777777" w:rsidR="004D5492" w:rsidRPr="004D5492" w:rsidRDefault="004D5492" w:rsidP="004D549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gestionar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administrar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4272A4FA" w14:textId="77777777" w:rsidR="004D5492" w:rsidRPr="004D5492" w:rsidRDefault="004D5492" w:rsidP="004D549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definir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comercializar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así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proveedores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clientes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destinos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inserción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mercados;</w:t>
      </w:r>
    </w:p>
    <w:p w14:paraId="432FF512" w14:textId="77777777" w:rsidR="004D5492" w:rsidRPr="004D5492" w:rsidRDefault="004D5492" w:rsidP="004D549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operar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bancarias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acceder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cualquier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lícita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financiamiento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21D97CBF" w14:textId="77777777" w:rsidR="004D5492" w:rsidRPr="004D5492" w:rsidRDefault="004D5492" w:rsidP="004D549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fijar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excepto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aquellos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aprobación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centralizada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2F93709F" w14:textId="77777777" w:rsidR="004D5492" w:rsidRPr="004D5492" w:rsidRDefault="004D5492" w:rsidP="004D549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definir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estructura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plantilla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cantidad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4654574F" w14:textId="77777777" w:rsidR="004D5492" w:rsidRPr="004D5492" w:rsidRDefault="004D5492" w:rsidP="004D549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determinar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ingresos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respetando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mínimos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salariales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laboral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2CA6397B" w14:textId="77777777" w:rsidR="004D5492" w:rsidRPr="004D5492" w:rsidRDefault="004D5492" w:rsidP="004D549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inversiones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requieran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MIPYME,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cumpliendo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;</w:t>
      </w:r>
    </w:p>
    <w:p w14:paraId="7FF7FDF8" w14:textId="77777777" w:rsidR="004D5492" w:rsidRPr="004D5492" w:rsidRDefault="004D5492" w:rsidP="004D549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establecimientos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tengan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personalidad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dentro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fuera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provincia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donde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domicilio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social; y</w:t>
      </w:r>
    </w:p>
    <w:p w14:paraId="67D70E93" w14:textId="77777777" w:rsidR="004D5492" w:rsidRPr="004D5492" w:rsidRDefault="004D5492" w:rsidP="004D549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facultad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derecho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derive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condición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siempre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oponga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legalmente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4057046E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7 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tienen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acceso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fondos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financiamiento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establezcan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ellas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8 A las MIPYMES se les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aplica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régimen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tributario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regule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ellas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específica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9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relaciones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laborales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entre las MIPYMES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requieran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rigen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laboral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10 El Consejo Nacional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órgano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interinstitucional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rector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políticas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regulaciones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concernientes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encargado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promover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fomentar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CAPÍTULO II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11 a 47 </w:t>
      </w:r>
    </w:p>
    <w:p w14:paraId="6551C06F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CONSTITUCIÓN DE LAS MIPYMES</w:t>
      </w:r>
    </w:p>
    <w:p w14:paraId="0C503F50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lastRenderedPageBreak/>
        <w:t xml:space="preserve">SECCIÓN PRIMERA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11 a 15.1 </w:t>
      </w:r>
    </w:p>
    <w:p w14:paraId="7D99A37F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Generalidades</w:t>
      </w:r>
      <w:proofErr w:type="spellEnd"/>
    </w:p>
    <w:p w14:paraId="0A222B43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11 Las MIPYMES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constituyen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sociedades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mercantiles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adoptan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forma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sociedad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responsabilidad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limitada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adelante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SRL,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mediante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escritura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pública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inscribe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Registro Mercantil y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inscripción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adquieren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personalidad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12 La forma de SRL,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implica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existencia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sociedad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mercantil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personalidad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cuyo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capital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está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dividido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está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integrado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aportaciones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todos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personalmente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deudas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13 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integradas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uno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más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14.1 En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denominación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figura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necesariamente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indicación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“Sociedad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Responsabilidad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Limitada”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abreviatura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“S.R.L.” </w:t>
      </w:r>
    </w:p>
    <w:p w14:paraId="5BE26103" w14:textId="77777777" w:rsidR="004D5492" w:rsidRPr="004D5492" w:rsidRDefault="004D5492" w:rsidP="004D549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denominación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MIPYMES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idéntica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la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preexistente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16B0885C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15.1 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 de las MIPYMES 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acuerdan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Estatutos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lícitas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dedicará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arreglo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dispuesto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legislación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0D6BE3DA" w14:textId="77777777" w:rsidR="004D5492" w:rsidRPr="004D5492" w:rsidRDefault="004D5492" w:rsidP="004D549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desarrollan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constitutiva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responsabilidad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social.</w:t>
      </w:r>
    </w:p>
    <w:p w14:paraId="7F10DF09" w14:textId="77777777" w:rsidR="004D5492" w:rsidRPr="004D5492" w:rsidRDefault="004D5492" w:rsidP="004D549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requerir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licencias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registros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454948FE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SECCIÓN SEGUNDA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16 a 20 </w:t>
      </w:r>
    </w:p>
    <w:p w14:paraId="27820155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creación</w:t>
      </w:r>
      <w:proofErr w:type="spellEnd"/>
    </w:p>
    <w:p w14:paraId="4179D12D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16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solicitud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MIPYMES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presenta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Ministerio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Economía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Planificación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representante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aspirantes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fundadores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hayan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designado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único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17 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Ministerio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Economía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Planificación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MIPYMES.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18 En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reconversión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negocios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preexistentes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MIPYMES,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requieren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igualmente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;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siempre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continúen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mismas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ya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tenían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licencias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otorgados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mantienen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validez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19 Cuando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pretenda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modificar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MIPYME,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requiere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nueva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organismo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facultado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20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cualquier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estructura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organizativa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sin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personalidad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entrada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cumplan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indicador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solicitar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transformación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MIPYME,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conformidad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dispuesto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consecuencia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le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aplican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facultades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incentivos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políticas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SECCIÓN TERCERA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21 a 29.1 </w:t>
      </w:r>
    </w:p>
    <w:p w14:paraId="795A8722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Del capital social</w:t>
      </w:r>
    </w:p>
    <w:p w14:paraId="20FF10C0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21 El capital social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determina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Estatutos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constituye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aportaciones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asumen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totalidad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lastRenderedPageBreak/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22.1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aportación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dinero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otros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derechos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patrimoniales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susceptibles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valoración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aportaciones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dinerarias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moneda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peso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cubano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743250B7" w14:textId="77777777" w:rsidR="004D5492" w:rsidRPr="004D5492" w:rsidRDefault="004D5492" w:rsidP="004D549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ningún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objeto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aportación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capital social,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494F7ACF" w14:textId="77777777" w:rsidR="004D5492" w:rsidRPr="004D5492" w:rsidRDefault="004D5492" w:rsidP="004D549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Los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aportes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dinerarios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realicen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la MIPYME, bien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constitución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consecuencia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capital social,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valuarán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forma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prevista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Estatutos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09273AA2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23.1 El capital social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inicial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desembolsa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totalidad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constitución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MIPYMES. </w:t>
      </w:r>
    </w:p>
    <w:p w14:paraId="41010DC0" w14:textId="77777777" w:rsidR="004D5492" w:rsidRPr="004D5492" w:rsidRDefault="004D5492" w:rsidP="004D549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No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exige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un capital social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mínimo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constitución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MIPYMES.</w:t>
      </w:r>
    </w:p>
    <w:p w14:paraId="607961BB" w14:textId="77777777" w:rsidR="004D5492" w:rsidRPr="004D5492" w:rsidRDefault="004D5492" w:rsidP="004D549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El capital social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debe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correspondencia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nivel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</w:t>
      </w:r>
    </w:p>
    <w:p w14:paraId="2BA71AC0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MIPYMES.</w:t>
      </w:r>
    </w:p>
    <w:p w14:paraId="44BA0D18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24 El capital social de las MIPYMES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está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dividido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son indivisibles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acumulables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</w:p>
    <w:p w14:paraId="3095274A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atribuyen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mismos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derechos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cuyo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ejercicio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está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condicionado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aportaciones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la MIPYME.</w:t>
      </w:r>
    </w:p>
    <w:p w14:paraId="651105FE" w14:textId="77777777" w:rsidR="004D5492" w:rsidRPr="004D5492" w:rsidRDefault="004D5492" w:rsidP="004D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representadas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medio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títulos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valores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591FBF62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Artículo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25.1 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aumento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capital social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realiza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nuevas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participaciones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sociales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elevación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valor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nominal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ya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existentes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</w:p>
    <w:p w14:paraId="31FDF1D6" w14:textId="77777777" w:rsidR="004D5492" w:rsidRPr="004D5492" w:rsidRDefault="004D5492" w:rsidP="004D549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En ambos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...</w:t>
      </w:r>
    </w:p>
    <w:p w14:paraId="76337368" w14:textId="77777777" w:rsidR="004D5492" w:rsidRDefault="004D5492" w:rsidP="004D5492">
      <w:pPr>
        <w:spacing w:before="100" w:beforeAutospacing="1" w:after="100" w:afterAutospacing="1" w:line="240" w:lineRule="auto"/>
        <w:rPr>
          <w:rFonts w:ascii="Aeonik" w:eastAsia="Times New Roman" w:hAnsi="Aeonik" w:cs="Times New Roman"/>
          <w:kern w:val="0"/>
          <w:lang w:val="en-NA" w:eastAsia="en-NA"/>
          <w14:ligatures w14:val="none"/>
        </w:rPr>
      </w:pPr>
      <w:r w:rsidRPr="004D5492">
        <w:rPr>
          <w:rFonts w:ascii="Aeonik" w:eastAsia="Times New Roman" w:hAnsi="Aeonik" w:cs="Times New Roman"/>
          <w:kern w:val="0"/>
          <w:lang w:val="en-NA" w:eastAsia="en-NA"/>
          <w14:ligatures w14:val="none"/>
        </w:rPr>
        <w:t xml:space="preserve">Para </w:t>
      </w:r>
      <w:proofErr w:type="spellStart"/>
      <w:r w:rsidRPr="004D5492">
        <w:rPr>
          <w:rFonts w:ascii="Aeonik" w:eastAsia="Times New Roman" w:hAnsi="Aeonik" w:cs="Times New Roman"/>
          <w:kern w:val="0"/>
          <w:lang w:val="en-NA" w:eastAsia="en-NA"/>
          <w14:ligatures w14:val="none"/>
        </w:rPr>
        <w:t>continuar</w:t>
      </w:r>
      <w:proofErr w:type="spellEnd"/>
      <w:r w:rsidRPr="004D5492">
        <w:rPr>
          <w:rFonts w:ascii="Aeonik" w:eastAsia="Times New Roman" w:hAnsi="Aeonik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Aeonik" w:eastAsia="Times New Roman" w:hAnsi="Aeonik" w:cs="Times New Roman"/>
          <w:kern w:val="0"/>
          <w:lang w:val="en-NA" w:eastAsia="en-NA"/>
          <w14:ligatures w14:val="none"/>
        </w:rPr>
        <w:t>leyendo</w:t>
      </w:r>
      <w:proofErr w:type="spellEnd"/>
    </w:p>
    <w:p w14:paraId="52A78436" w14:textId="2BF6B323" w:rsidR="004D5492" w:rsidRDefault="004D5492" w:rsidP="004D5492">
      <w:pPr>
        <w:spacing w:before="100" w:beforeAutospacing="1" w:after="100" w:afterAutospacing="1" w:line="240" w:lineRule="auto"/>
        <w:rPr>
          <w:rFonts w:ascii="Aeonik" w:eastAsia="Times New Roman" w:hAnsi="Aeonik" w:cs="Times New Roman"/>
          <w:kern w:val="0"/>
          <w:lang w:val="en-NA" w:eastAsia="en-NA"/>
          <w14:ligatures w14:val="none"/>
        </w:rPr>
      </w:pPr>
      <w:r>
        <w:rPr>
          <w:rFonts w:ascii="Aeonik" w:eastAsia="Times New Roman" w:hAnsi="Aeonik" w:cs="Times New Roman"/>
          <w:kern w:val="0"/>
          <w:lang w:val="en-NA" w:eastAsia="en-NA"/>
          <w14:ligatures w14:val="none"/>
        </w:rPr>
        <w:t>////////////////////////////////////////////////////////////////////////////</w:t>
      </w:r>
    </w:p>
    <w:p w14:paraId="61B740A6" w14:textId="12FE0D2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-Ley 46 de 2021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Cuba,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publicado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agosto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2021,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regula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creación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funcionamiento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micro,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pequeñas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medianas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empresas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(MIPYMES)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clasificándolas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según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número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ocupados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(de 1 a 100 personas). Esta norma forma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paquete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para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transformación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sector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diferenciándose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tradicional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 </w:t>
      </w:r>
    </w:p>
    <w:p w14:paraId="4E37F892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Aspectos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claves del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-Ley 46/2021:</w:t>
      </w:r>
    </w:p>
    <w:p w14:paraId="5447D1D4" w14:textId="77777777" w:rsidR="004D5492" w:rsidRPr="004D5492" w:rsidRDefault="004D5492" w:rsidP="004D549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Clasificación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Define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microempresas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(1-10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empleados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),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pequeñas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(11-35)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medianas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empresas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(36-100).</w:t>
      </w:r>
    </w:p>
    <w:p w14:paraId="62499538" w14:textId="77777777" w:rsidR="004D5492" w:rsidRPr="004D5492" w:rsidRDefault="004D5492" w:rsidP="004D549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Estructura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privadas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personalidad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jurídica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3BEE7211" w14:textId="77777777" w:rsidR="004D5492" w:rsidRPr="004D5492" w:rsidRDefault="004D5492" w:rsidP="004D549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Funcionamiento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Regula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normas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contabilidad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necesidad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bancaria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fiscal,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según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complementado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resoluciones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Ministerio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Finanzas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Precios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459ABF28" w14:textId="77777777" w:rsidR="004D5492" w:rsidRPr="004D5492" w:rsidRDefault="004D5492" w:rsidP="004D549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lastRenderedPageBreak/>
        <w:t>Derechos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Laborales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jornadas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descansos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obligaciones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seguridad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 </w:t>
      </w:r>
    </w:p>
    <w:p w14:paraId="230DC29E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Nota: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Aunque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búsqueda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arrojó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resultados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sobre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-Ley 46 (MIPYMES), la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regulación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(TCP)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propiamente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dicho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fue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actualizada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2021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mediante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-Ley 44 y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posteriormente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2024 con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i/>
          <w:iCs/>
          <w:kern w:val="0"/>
          <w:lang w:val="en-NA" w:eastAsia="en-NA"/>
          <w14:ligatures w14:val="none"/>
        </w:rPr>
        <w:t>-Ley 90.</w:t>
      </w:r>
    </w:p>
    <w:p w14:paraId="5A192DC7" w14:textId="77777777" w:rsidR="004D5492" w:rsidRDefault="004D5492">
      <w:pPr>
        <w:rPr>
          <w:lang w:val="en-NA"/>
        </w:rPr>
      </w:pPr>
    </w:p>
    <w:p w14:paraId="60E1647B" w14:textId="3C95CE53" w:rsidR="00302F77" w:rsidRDefault="004D5492">
      <w:pPr>
        <w:rPr>
          <w:lang w:val="en-NA"/>
        </w:rPr>
      </w:pPr>
      <w:r>
        <w:rPr>
          <w:lang w:val="en-NA"/>
        </w:rPr>
        <w:t>//////////////////////////////////////////////////////////////////////////////////////////////////////////////</w:t>
      </w:r>
    </w:p>
    <w:p w14:paraId="33DF8F8A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Resolución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47 de 2021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Ministerio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Seguridad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Social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Cuba,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complementaria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Decreto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-Ley 44/2021,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regula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perfeccionamiento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(TCP),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estableciendo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un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listado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permitidas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(y sus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alcances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)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basadas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</w:p>
    <w:p w14:paraId="22926D30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Clasificador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Nacional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Aprobó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un nuevo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régimen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simplificado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permitió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estableció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obligatoriedad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usar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materias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lícitas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ratificó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prohibición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comercializar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importados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obligando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reinscripción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ordenada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12 meses. </w:t>
      </w:r>
    </w:p>
    <w:p w14:paraId="66738BEC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Aspectos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clave de la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normativa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de 2021 (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incluye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Resolución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47 y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normativas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asociadas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):</w:t>
      </w:r>
    </w:p>
    <w:p w14:paraId="79CBD37E" w14:textId="77777777" w:rsidR="004D5492" w:rsidRPr="004D5492" w:rsidRDefault="004D5492" w:rsidP="004D549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permitidas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definen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trabajadores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cuenta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(TCP)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manera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habitual, personal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directa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con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propio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patrimonio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utilizando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Clasificador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Nacional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Actividades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Económicas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1B7D8528" w14:textId="77777777" w:rsidR="004D5492" w:rsidRPr="004D5492" w:rsidRDefault="004D5492" w:rsidP="004D549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Aprovisionamiento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y Venta: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ratifica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prohibición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vender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productos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importados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directamente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. Los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insumos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deben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obtenerse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legalmente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través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mecanismos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aprovisionamiento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existentes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396A1717" w14:textId="77777777" w:rsidR="004D5492" w:rsidRPr="004D5492" w:rsidRDefault="004D5492" w:rsidP="004D549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Contratación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Excepciones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Los TCP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personal.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permite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jóvenes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15 y 16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años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manera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excepcional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regulado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por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Código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360492BD" w14:textId="77777777" w:rsidR="004D5492" w:rsidRPr="004D5492" w:rsidRDefault="004D5492" w:rsidP="004D549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Reinscripción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Licencias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estableció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un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proceso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reinscripción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ordenada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licencias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vigentes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dentro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un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plazo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12 meses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partir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publicación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las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normas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687E3E24" w14:textId="77777777" w:rsidR="004D5492" w:rsidRPr="004D5492" w:rsidRDefault="004D5492" w:rsidP="004D549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Prohibiciones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mantiene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prohibición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ejercer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medicina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veterinaria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salvo para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específicos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animales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afectivos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4E22D0FB" w14:textId="77777777" w:rsidR="004D5492" w:rsidRPr="004D5492" w:rsidRDefault="004D5492" w:rsidP="004D549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Suspensión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Se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agregaron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nuevas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causas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suspensión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licencia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incluyendo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certificado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médico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procesos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penales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reparaciones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movilizaciones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electorales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desastres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28B80839" w14:textId="77777777" w:rsidR="004D5492" w:rsidRPr="004D5492" w:rsidRDefault="004D5492" w:rsidP="004D549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Exportación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/</w:t>
      </w:r>
      <w:proofErr w:type="spellStart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Importación</w:t>
      </w:r>
      <w:proofErr w:type="spellEnd"/>
      <w:r w:rsidRPr="004D5492">
        <w:rPr>
          <w:rFonts w:ascii="Times New Roman" w:eastAsia="Times New Roman" w:hAnsi="Times New Roman" w:cs="Times New Roman"/>
          <w:b/>
          <w:bCs/>
          <w:kern w:val="0"/>
          <w:lang w:val="en-NA" w:eastAsia="en-NA"/>
          <w14:ligatures w14:val="none"/>
        </w:rPr>
        <w:t>:</w:t>
      </w:r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Los TCP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pueden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exportar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bienes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servicios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importar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materias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primas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siempre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través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entidades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estatales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importadoras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/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exportadoras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autorizadas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 </w:t>
      </w:r>
    </w:p>
    <w:p w14:paraId="372040C8" w14:textId="77777777" w:rsidR="004D5492" w:rsidRPr="004D5492" w:rsidRDefault="004D5492" w:rsidP="004D549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</w:p>
    <w:p w14:paraId="6B621CD5" w14:textId="77777777" w:rsidR="004D5492" w:rsidRPr="004D5492" w:rsidRDefault="004D5492" w:rsidP="004D54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</w:pP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normas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buscan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impulsar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trabajo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no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estatal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permitiendo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una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mayor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flexibilización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en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contratación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y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operatividad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negocios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, al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tiempo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que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refuerzan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la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legalidad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de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los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insumos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 xml:space="preserve"> </w:t>
      </w:r>
      <w:proofErr w:type="spellStart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utilizados</w:t>
      </w:r>
      <w:proofErr w:type="spellEnd"/>
      <w:r w:rsidRPr="004D5492">
        <w:rPr>
          <w:rFonts w:ascii="Times New Roman" w:eastAsia="Times New Roman" w:hAnsi="Times New Roman" w:cs="Times New Roman"/>
          <w:kern w:val="0"/>
          <w:lang w:val="en-NA" w:eastAsia="en-NA"/>
          <w14:ligatures w14:val="none"/>
        </w:rPr>
        <w:t>.</w:t>
      </w:r>
    </w:p>
    <w:p w14:paraId="06A4C977" w14:textId="77777777" w:rsidR="004D5492" w:rsidRPr="004D5492" w:rsidRDefault="004D5492">
      <w:pPr>
        <w:rPr>
          <w:lang w:val="en-NA"/>
        </w:rPr>
      </w:pPr>
    </w:p>
    <w:sectPr w:rsidR="004D5492" w:rsidRPr="004D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eon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932"/>
    <w:multiLevelType w:val="multilevel"/>
    <w:tmpl w:val="158C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36143"/>
    <w:multiLevelType w:val="multilevel"/>
    <w:tmpl w:val="2956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5355A"/>
    <w:multiLevelType w:val="multilevel"/>
    <w:tmpl w:val="1C90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F614A"/>
    <w:multiLevelType w:val="multilevel"/>
    <w:tmpl w:val="4CEE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50E00"/>
    <w:multiLevelType w:val="multilevel"/>
    <w:tmpl w:val="7984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C32C9"/>
    <w:multiLevelType w:val="multilevel"/>
    <w:tmpl w:val="2962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77D83"/>
    <w:multiLevelType w:val="multilevel"/>
    <w:tmpl w:val="B4B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D4F55"/>
    <w:multiLevelType w:val="multilevel"/>
    <w:tmpl w:val="6CA8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50744"/>
    <w:multiLevelType w:val="multilevel"/>
    <w:tmpl w:val="F3E4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0275A"/>
    <w:multiLevelType w:val="multilevel"/>
    <w:tmpl w:val="A6B2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85963"/>
    <w:multiLevelType w:val="multilevel"/>
    <w:tmpl w:val="03B8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5D74BA"/>
    <w:multiLevelType w:val="multilevel"/>
    <w:tmpl w:val="A52C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B0CBA"/>
    <w:multiLevelType w:val="multilevel"/>
    <w:tmpl w:val="BB0E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E5427"/>
    <w:multiLevelType w:val="multilevel"/>
    <w:tmpl w:val="3B6C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104619"/>
    <w:multiLevelType w:val="multilevel"/>
    <w:tmpl w:val="06F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2524F"/>
    <w:multiLevelType w:val="multilevel"/>
    <w:tmpl w:val="B702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42264"/>
    <w:multiLevelType w:val="multilevel"/>
    <w:tmpl w:val="10B2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00751"/>
    <w:multiLevelType w:val="multilevel"/>
    <w:tmpl w:val="B24C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080BE6"/>
    <w:multiLevelType w:val="multilevel"/>
    <w:tmpl w:val="356C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3228B"/>
    <w:multiLevelType w:val="multilevel"/>
    <w:tmpl w:val="E358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3639E"/>
    <w:multiLevelType w:val="multilevel"/>
    <w:tmpl w:val="FF62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CB72A8"/>
    <w:multiLevelType w:val="multilevel"/>
    <w:tmpl w:val="D2DC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D0964"/>
    <w:multiLevelType w:val="multilevel"/>
    <w:tmpl w:val="0266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F5704"/>
    <w:multiLevelType w:val="multilevel"/>
    <w:tmpl w:val="E034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366D6C"/>
    <w:multiLevelType w:val="multilevel"/>
    <w:tmpl w:val="477A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432C9"/>
    <w:multiLevelType w:val="multilevel"/>
    <w:tmpl w:val="2E04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357285"/>
    <w:multiLevelType w:val="multilevel"/>
    <w:tmpl w:val="30F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05836"/>
    <w:multiLevelType w:val="multilevel"/>
    <w:tmpl w:val="C612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065537"/>
    <w:multiLevelType w:val="multilevel"/>
    <w:tmpl w:val="B59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912876">
    <w:abstractNumId w:val="19"/>
    <w:lvlOverride w:ilvl="0">
      <w:startOverride w:val="2"/>
    </w:lvlOverride>
  </w:num>
  <w:num w:numId="2" w16cid:durableId="1888107488">
    <w:abstractNumId w:val="16"/>
    <w:lvlOverride w:ilvl="0">
      <w:startOverride w:val="1"/>
    </w:lvlOverride>
  </w:num>
  <w:num w:numId="3" w16cid:durableId="242683314">
    <w:abstractNumId w:val="16"/>
    <w:lvlOverride w:ilvl="0">
      <w:startOverride w:val="2"/>
    </w:lvlOverride>
  </w:num>
  <w:num w:numId="4" w16cid:durableId="629095614">
    <w:abstractNumId w:val="16"/>
    <w:lvlOverride w:ilvl="0">
      <w:startOverride w:val="3"/>
    </w:lvlOverride>
  </w:num>
  <w:num w:numId="5" w16cid:durableId="478765608">
    <w:abstractNumId w:val="5"/>
    <w:lvlOverride w:ilvl="0">
      <w:startOverride w:val="2"/>
    </w:lvlOverride>
  </w:num>
  <w:num w:numId="6" w16cid:durableId="888106588">
    <w:abstractNumId w:val="13"/>
    <w:lvlOverride w:ilvl="0">
      <w:startOverride w:val="2"/>
    </w:lvlOverride>
  </w:num>
  <w:num w:numId="7" w16cid:durableId="18700667">
    <w:abstractNumId w:val="0"/>
    <w:lvlOverride w:ilvl="0">
      <w:startOverride w:val="2"/>
    </w:lvlOverride>
  </w:num>
  <w:num w:numId="8" w16cid:durableId="1624456040">
    <w:abstractNumId w:val="10"/>
    <w:lvlOverride w:ilvl="0">
      <w:startOverride w:val="1"/>
    </w:lvlOverride>
  </w:num>
  <w:num w:numId="9" w16cid:durableId="820385425">
    <w:abstractNumId w:val="10"/>
    <w:lvlOverride w:ilvl="0">
      <w:startOverride w:val="2"/>
    </w:lvlOverride>
  </w:num>
  <w:num w:numId="10" w16cid:durableId="1674382453">
    <w:abstractNumId w:val="10"/>
    <w:lvlOverride w:ilvl="0">
      <w:startOverride w:val="3"/>
    </w:lvlOverride>
  </w:num>
  <w:num w:numId="11" w16cid:durableId="2057968147">
    <w:abstractNumId w:val="7"/>
    <w:lvlOverride w:ilvl="0">
      <w:startOverride w:val="2"/>
    </w:lvlOverride>
  </w:num>
  <w:num w:numId="12" w16cid:durableId="1790852832">
    <w:abstractNumId w:val="7"/>
    <w:lvlOverride w:ilvl="0">
      <w:startOverride w:val="3"/>
    </w:lvlOverride>
  </w:num>
  <w:num w:numId="13" w16cid:durableId="1377049356">
    <w:abstractNumId w:val="27"/>
    <w:lvlOverride w:ilvl="0">
      <w:startOverride w:val="2"/>
    </w:lvlOverride>
  </w:num>
  <w:num w:numId="14" w16cid:durableId="382145245">
    <w:abstractNumId w:val="3"/>
    <w:lvlOverride w:ilvl="0">
      <w:startOverride w:val="1"/>
    </w:lvlOverride>
  </w:num>
  <w:num w:numId="15" w16cid:durableId="1261181074">
    <w:abstractNumId w:val="3"/>
    <w:lvlOverride w:ilvl="0">
      <w:startOverride w:val="2"/>
    </w:lvlOverride>
  </w:num>
  <w:num w:numId="16" w16cid:durableId="644168087">
    <w:abstractNumId w:val="3"/>
    <w:lvlOverride w:ilvl="0">
      <w:startOverride w:val="3"/>
    </w:lvlOverride>
  </w:num>
  <w:num w:numId="17" w16cid:durableId="961227094">
    <w:abstractNumId w:val="3"/>
    <w:lvlOverride w:ilvl="0">
      <w:startOverride w:val="4"/>
    </w:lvlOverride>
  </w:num>
  <w:num w:numId="18" w16cid:durableId="602956522">
    <w:abstractNumId w:val="3"/>
    <w:lvlOverride w:ilvl="0">
      <w:startOverride w:val="5"/>
    </w:lvlOverride>
  </w:num>
  <w:num w:numId="19" w16cid:durableId="593825814">
    <w:abstractNumId w:val="1"/>
    <w:lvlOverride w:ilvl="0">
      <w:startOverride w:val="2"/>
    </w:lvlOverride>
  </w:num>
  <w:num w:numId="20" w16cid:durableId="828403341">
    <w:abstractNumId w:val="9"/>
    <w:lvlOverride w:ilvl="0">
      <w:startOverride w:val="2"/>
    </w:lvlOverride>
  </w:num>
  <w:num w:numId="21" w16cid:durableId="2139645623">
    <w:abstractNumId w:val="20"/>
    <w:lvlOverride w:ilvl="0">
      <w:startOverride w:val="1"/>
    </w:lvlOverride>
  </w:num>
  <w:num w:numId="22" w16cid:durableId="1689913098">
    <w:abstractNumId w:val="20"/>
    <w:lvlOverride w:ilvl="0">
      <w:startOverride w:val="2"/>
    </w:lvlOverride>
  </w:num>
  <w:num w:numId="23" w16cid:durableId="335155541">
    <w:abstractNumId w:val="20"/>
    <w:lvlOverride w:ilvl="0">
      <w:startOverride w:val="3"/>
    </w:lvlOverride>
  </w:num>
  <w:num w:numId="24" w16cid:durableId="1719697203">
    <w:abstractNumId w:val="20"/>
    <w:lvlOverride w:ilvl="0">
      <w:startOverride w:val="4"/>
    </w:lvlOverride>
  </w:num>
  <w:num w:numId="25" w16cid:durableId="566767536">
    <w:abstractNumId w:val="20"/>
    <w:lvlOverride w:ilvl="0">
      <w:startOverride w:val="5"/>
    </w:lvlOverride>
  </w:num>
  <w:num w:numId="26" w16cid:durableId="1628580354">
    <w:abstractNumId w:val="20"/>
    <w:lvlOverride w:ilvl="0">
      <w:startOverride w:val="6"/>
    </w:lvlOverride>
  </w:num>
  <w:num w:numId="27" w16cid:durableId="1772579984">
    <w:abstractNumId w:val="20"/>
    <w:lvlOverride w:ilvl="0">
      <w:startOverride w:val="7"/>
    </w:lvlOverride>
  </w:num>
  <w:num w:numId="28" w16cid:durableId="879245056">
    <w:abstractNumId w:val="20"/>
    <w:lvlOverride w:ilvl="0">
      <w:startOverride w:val="8"/>
    </w:lvlOverride>
  </w:num>
  <w:num w:numId="29" w16cid:durableId="1397046463">
    <w:abstractNumId w:val="20"/>
    <w:lvlOverride w:ilvl="0">
      <w:startOverride w:val="9"/>
    </w:lvlOverride>
  </w:num>
  <w:num w:numId="30" w16cid:durableId="728922160">
    <w:abstractNumId w:val="20"/>
    <w:lvlOverride w:ilvl="0">
      <w:startOverride w:val="10"/>
    </w:lvlOverride>
  </w:num>
  <w:num w:numId="31" w16cid:durableId="1051340731">
    <w:abstractNumId w:val="15"/>
    <w:lvlOverride w:ilvl="0">
      <w:startOverride w:val="1"/>
    </w:lvlOverride>
  </w:num>
  <w:num w:numId="32" w16cid:durableId="693307122">
    <w:abstractNumId w:val="15"/>
    <w:lvlOverride w:ilvl="0">
      <w:startOverride w:val="2"/>
    </w:lvlOverride>
  </w:num>
  <w:num w:numId="33" w16cid:durableId="19010301">
    <w:abstractNumId w:val="15"/>
    <w:lvlOverride w:ilvl="0">
      <w:startOverride w:val="3"/>
    </w:lvlOverride>
  </w:num>
  <w:num w:numId="34" w16cid:durableId="1869680562">
    <w:abstractNumId w:val="21"/>
    <w:lvlOverride w:ilvl="0">
      <w:startOverride w:val="2"/>
    </w:lvlOverride>
  </w:num>
  <w:num w:numId="35" w16cid:durableId="513224710">
    <w:abstractNumId w:val="2"/>
    <w:lvlOverride w:ilvl="0">
      <w:startOverride w:val="1"/>
    </w:lvlOverride>
  </w:num>
  <w:num w:numId="36" w16cid:durableId="26411913">
    <w:abstractNumId w:val="2"/>
    <w:lvlOverride w:ilvl="0">
      <w:startOverride w:val="2"/>
    </w:lvlOverride>
  </w:num>
  <w:num w:numId="37" w16cid:durableId="1509558654">
    <w:abstractNumId w:val="2"/>
    <w:lvlOverride w:ilvl="0">
      <w:startOverride w:val="3"/>
    </w:lvlOverride>
  </w:num>
  <w:num w:numId="38" w16cid:durableId="1389842860">
    <w:abstractNumId w:val="17"/>
    <w:lvlOverride w:ilvl="0">
      <w:startOverride w:val="2"/>
    </w:lvlOverride>
  </w:num>
  <w:num w:numId="39" w16cid:durableId="1281840775">
    <w:abstractNumId w:val="17"/>
    <w:lvlOverride w:ilvl="0">
      <w:startOverride w:val="3"/>
    </w:lvlOverride>
  </w:num>
  <w:num w:numId="40" w16cid:durableId="1409957441">
    <w:abstractNumId w:val="17"/>
    <w:lvlOverride w:ilvl="0">
      <w:startOverride w:val="4"/>
    </w:lvlOverride>
  </w:num>
  <w:num w:numId="41" w16cid:durableId="1960261833">
    <w:abstractNumId w:val="17"/>
    <w:lvlOverride w:ilvl="0">
      <w:startOverride w:val="5"/>
    </w:lvlOverride>
  </w:num>
  <w:num w:numId="42" w16cid:durableId="1476800709">
    <w:abstractNumId w:val="22"/>
    <w:lvlOverride w:ilvl="0">
      <w:startOverride w:val="1"/>
    </w:lvlOverride>
  </w:num>
  <w:num w:numId="43" w16cid:durableId="445972525">
    <w:abstractNumId w:val="22"/>
    <w:lvlOverride w:ilvl="0">
      <w:startOverride w:val="2"/>
    </w:lvlOverride>
  </w:num>
  <w:num w:numId="44" w16cid:durableId="1444350625">
    <w:abstractNumId w:val="22"/>
    <w:lvlOverride w:ilvl="0">
      <w:startOverride w:val="3"/>
    </w:lvlOverride>
  </w:num>
  <w:num w:numId="45" w16cid:durableId="1883638388">
    <w:abstractNumId w:val="22"/>
    <w:lvlOverride w:ilvl="0">
      <w:startOverride w:val="4"/>
    </w:lvlOverride>
  </w:num>
  <w:num w:numId="46" w16cid:durableId="2074353561">
    <w:abstractNumId w:val="22"/>
    <w:lvlOverride w:ilvl="0">
      <w:startOverride w:val="5"/>
    </w:lvlOverride>
  </w:num>
  <w:num w:numId="47" w16cid:durableId="1466897472">
    <w:abstractNumId w:val="22"/>
    <w:lvlOverride w:ilvl="0">
      <w:startOverride w:val="6"/>
    </w:lvlOverride>
  </w:num>
  <w:num w:numId="48" w16cid:durableId="1006521807">
    <w:abstractNumId w:val="22"/>
    <w:lvlOverride w:ilvl="0">
      <w:startOverride w:val="7"/>
    </w:lvlOverride>
  </w:num>
  <w:num w:numId="49" w16cid:durableId="1008365808">
    <w:abstractNumId w:val="22"/>
    <w:lvlOverride w:ilvl="0">
      <w:startOverride w:val="8"/>
    </w:lvlOverride>
  </w:num>
  <w:num w:numId="50" w16cid:durableId="2022512228">
    <w:abstractNumId w:val="22"/>
    <w:lvlOverride w:ilvl="0">
      <w:startOverride w:val="9"/>
    </w:lvlOverride>
  </w:num>
  <w:num w:numId="51" w16cid:durableId="1738505943">
    <w:abstractNumId w:val="22"/>
    <w:lvlOverride w:ilvl="0">
      <w:startOverride w:val="10"/>
    </w:lvlOverride>
  </w:num>
  <w:num w:numId="52" w16cid:durableId="661853557">
    <w:abstractNumId w:val="4"/>
    <w:lvlOverride w:ilvl="0">
      <w:startOverride w:val="2"/>
    </w:lvlOverride>
  </w:num>
  <w:num w:numId="53" w16cid:durableId="1059205981">
    <w:abstractNumId w:val="26"/>
    <w:lvlOverride w:ilvl="0">
      <w:startOverride w:val="2"/>
    </w:lvlOverride>
  </w:num>
  <w:num w:numId="54" w16cid:durableId="894857718">
    <w:abstractNumId w:val="26"/>
    <w:lvlOverride w:ilvl="0">
      <w:startOverride w:val="3"/>
    </w:lvlOverride>
  </w:num>
  <w:num w:numId="55" w16cid:durableId="570698495">
    <w:abstractNumId w:val="8"/>
    <w:lvlOverride w:ilvl="0">
      <w:startOverride w:val="2"/>
    </w:lvlOverride>
  </w:num>
  <w:num w:numId="56" w16cid:durableId="1265532898">
    <w:abstractNumId w:val="8"/>
    <w:lvlOverride w:ilvl="0">
      <w:startOverride w:val="3"/>
    </w:lvlOverride>
  </w:num>
  <w:num w:numId="57" w16cid:durableId="479688890">
    <w:abstractNumId w:val="23"/>
    <w:lvlOverride w:ilvl="0">
      <w:startOverride w:val="2"/>
    </w:lvlOverride>
  </w:num>
  <w:num w:numId="58" w16cid:durableId="282926314">
    <w:abstractNumId w:val="23"/>
    <w:lvlOverride w:ilvl="0">
      <w:startOverride w:val="3"/>
    </w:lvlOverride>
  </w:num>
  <w:num w:numId="59" w16cid:durableId="1993486008">
    <w:abstractNumId w:val="18"/>
    <w:lvlOverride w:ilvl="0">
      <w:startOverride w:val="2"/>
    </w:lvlOverride>
  </w:num>
  <w:num w:numId="60" w16cid:durableId="684861431">
    <w:abstractNumId w:val="28"/>
  </w:num>
  <w:num w:numId="61" w16cid:durableId="56707749">
    <w:abstractNumId w:val="24"/>
  </w:num>
  <w:num w:numId="62" w16cid:durableId="513541487">
    <w:abstractNumId w:val="25"/>
  </w:num>
  <w:num w:numId="63" w16cid:durableId="1259866586">
    <w:abstractNumId w:val="11"/>
  </w:num>
  <w:num w:numId="64" w16cid:durableId="868879850">
    <w:abstractNumId w:val="14"/>
  </w:num>
  <w:num w:numId="65" w16cid:durableId="495271226">
    <w:abstractNumId w:val="12"/>
  </w:num>
  <w:num w:numId="66" w16cid:durableId="1063287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92"/>
    <w:rsid w:val="001F4766"/>
    <w:rsid w:val="00302F77"/>
    <w:rsid w:val="00424C78"/>
    <w:rsid w:val="004D5492"/>
    <w:rsid w:val="008A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F164"/>
  <w15:chartTrackingRefBased/>
  <w15:docId w15:val="{428AA580-E786-4D76-8CDC-0BB4AAF5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ba.vlex.com/vid/decreto-ley-no-356-825316509" TargetMode="External"/><Relationship Id="rId13" Type="http://schemas.openxmlformats.org/officeDocument/2006/relationships/hyperlink" Target="https://cuba.vlex.com/vid/constitucion-republica-cuba-6306997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ba.vlex.com/vid/decreto-ley-no-356-825316509" TargetMode="External"/><Relationship Id="rId12" Type="http://schemas.openxmlformats.org/officeDocument/2006/relationships/hyperlink" Target="https://cuba.vlex.com/vid/decreto-ley-no-356-8253165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ba.vlex.com/vid/decreto-ley-no-356-825316509" TargetMode="External"/><Relationship Id="rId11" Type="http://schemas.openxmlformats.org/officeDocument/2006/relationships/hyperlink" Target="https://cuba.vlex.com/vid/codigo-trabajo-630700331" TargetMode="External"/><Relationship Id="rId5" Type="http://schemas.openxmlformats.org/officeDocument/2006/relationships/hyperlink" Target="https://cuba.vlex.com/vid/codigo-trabajo-6307003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uba.vlex.com/vid/codigo-trabajo-630700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ba.vlex.com/vid/decreto-ley-no-356-8253165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3672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Baldomero Perez</dc:creator>
  <cp:keywords/>
  <dc:description/>
  <cp:lastModifiedBy>Baldomero Perez</cp:lastModifiedBy>
  <cp:revision>1</cp:revision>
  <dcterms:created xsi:type="dcterms:W3CDTF">2026-02-18T12:58:00Z</dcterms:created>
  <dcterms:modified xsi:type="dcterms:W3CDTF">2026-02-18T13:11:00Z</dcterms:modified>
</cp:coreProperties>
</file>