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04" w:rsidRPr="00261B04" w:rsidRDefault="00261B04" w:rsidP="00261B04">
      <w:pPr>
        <w:autoSpaceDE w:val="0"/>
        <w:autoSpaceDN w:val="0"/>
        <w:adjustRightInd w:val="0"/>
        <w:spacing w:after="0" w:line="360" w:lineRule="auto"/>
        <w:jc w:val="both"/>
        <w:rPr>
          <w:rFonts w:ascii="Arial" w:hAnsi="Arial" w:cs="Arial"/>
          <w:lang w:val="es-MX"/>
        </w:rPr>
      </w:pPr>
      <w:bookmarkStart w:id="0" w:name="_GoBack"/>
      <w:r w:rsidRPr="00261B04">
        <w:rPr>
          <w:rFonts w:ascii="Arial" w:hAnsi="Arial" w:cs="Arial"/>
          <w:b/>
          <w:bCs/>
          <w:lang w:val="es-MX"/>
        </w:rPr>
        <w:t>CONSEJO GENERAL DEL PODER JUDICIAL</w:t>
      </w:r>
    </w:p>
    <w:p w:rsidR="00261B04" w:rsidRPr="00261B04" w:rsidRDefault="00261B04" w:rsidP="00261B04">
      <w:pPr>
        <w:autoSpaceDE w:val="0"/>
        <w:autoSpaceDN w:val="0"/>
        <w:adjustRightInd w:val="0"/>
        <w:spacing w:after="0" w:line="360" w:lineRule="auto"/>
        <w:jc w:val="both"/>
        <w:rPr>
          <w:rFonts w:ascii="Arial" w:hAnsi="Arial" w:cs="Arial"/>
          <w:b/>
          <w:bCs/>
          <w:lang w:val="es-MX"/>
        </w:rPr>
      </w:pPr>
      <w:r w:rsidRPr="00261B04">
        <w:rPr>
          <w:rFonts w:ascii="Arial" w:hAnsi="Arial" w:cs="Arial"/>
          <w:lang w:val="es-MX"/>
        </w:rPr>
        <w:t>      </w:t>
      </w:r>
      <w:r w:rsidRPr="00261B04">
        <w:rPr>
          <w:rFonts w:ascii="Arial" w:hAnsi="Arial" w:cs="Arial"/>
          <w:b/>
          <w:bCs/>
          <w:lang w:val="es-MX"/>
        </w:rPr>
        <w:t xml:space="preserve"> El sistema de responsabilidad en el nuevo Código Penal</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b/>
          <w:bCs/>
          <w:lang w:val="es-MX"/>
        </w:rPr>
        <w:t>      </w:t>
      </w:r>
    </w:p>
    <w:p w:rsidR="00261B04" w:rsidRPr="00261B04" w:rsidRDefault="00261B04" w:rsidP="00261B04">
      <w:pPr>
        <w:autoSpaceDE w:val="0"/>
        <w:autoSpaceDN w:val="0"/>
        <w:adjustRightInd w:val="0"/>
        <w:spacing w:after="0" w:line="360" w:lineRule="auto"/>
        <w:jc w:val="both"/>
        <w:rPr>
          <w:rFonts w:ascii="Arial" w:hAnsi="Arial" w:cs="Arial"/>
          <w:b/>
          <w:bCs/>
          <w:lang w:val="es-MX"/>
        </w:rPr>
      </w:pPr>
      <w:r w:rsidRPr="00261B04">
        <w:rPr>
          <w:rFonts w:ascii="Arial" w:hAnsi="Arial" w:cs="Arial"/>
          <w:lang w:val="es-MX"/>
        </w:rPr>
        <w:t>      </w:t>
      </w:r>
      <w:r w:rsidRPr="00261B04">
        <w:rPr>
          <w:rFonts w:ascii="Arial" w:hAnsi="Arial" w:cs="Arial"/>
          <w:b/>
          <w:bCs/>
          <w:lang w:val="es-MX"/>
        </w:rPr>
        <w:t xml:space="preserve"> Cerezo Mir, José</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b/>
          <w:bCs/>
          <w:lang w:val="es-MX"/>
        </w:rPr>
        <w:t>      </w:t>
      </w:r>
      <w:r w:rsidRPr="00261B04">
        <w:rPr>
          <w:rFonts w:ascii="Arial" w:hAnsi="Arial" w:cs="Arial"/>
          <w:lang w:val="es-MX"/>
        </w:rPr>
        <w:t xml:space="preserve"> Catedrático de Derecho Penal Universidad de Zaragoza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b/>
          <w:bCs/>
          <w:lang w:val="es-MX"/>
        </w:rPr>
      </w:pPr>
      <w:r w:rsidRPr="00261B04">
        <w:rPr>
          <w:rFonts w:ascii="Arial" w:hAnsi="Arial" w:cs="Arial"/>
          <w:lang w:val="es-MX"/>
        </w:rPr>
        <w:t>      </w:t>
      </w:r>
      <w:r w:rsidRPr="00261B04">
        <w:rPr>
          <w:rFonts w:ascii="Arial" w:hAnsi="Arial" w:cs="Arial"/>
          <w:b/>
          <w:bCs/>
          <w:lang w:val="es-MX"/>
        </w:rPr>
        <w:t xml:space="preserve"> LAS EXIMENTES DE CULPABILIDAD</w:t>
      </w:r>
    </w:p>
    <w:p w:rsidR="00261B04" w:rsidRPr="00261B04" w:rsidRDefault="00261B04" w:rsidP="00261B04">
      <w:pPr>
        <w:autoSpaceDE w:val="0"/>
        <w:autoSpaceDN w:val="0"/>
        <w:adjustRightInd w:val="0"/>
        <w:spacing w:after="0" w:line="360" w:lineRule="auto"/>
        <w:jc w:val="both"/>
        <w:rPr>
          <w:rFonts w:ascii="Arial" w:hAnsi="Arial" w:cs="Arial"/>
          <w:b/>
          <w:bCs/>
          <w:lang w:val="es-MX"/>
        </w:rPr>
      </w:pPr>
      <w:r w:rsidRPr="00261B04">
        <w:rPr>
          <w:rFonts w:ascii="Arial" w:hAnsi="Arial" w:cs="Arial"/>
          <w:b/>
          <w:bCs/>
          <w:lang w:val="es-MX"/>
        </w:rPr>
        <w:t xml:space="preserve">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b/>
          <w:bCs/>
          <w:lang w:val="es-MX"/>
        </w:rPr>
        <w:t>      </w:t>
      </w:r>
      <w:r w:rsidRPr="00261B04">
        <w:rPr>
          <w:rFonts w:ascii="Arial" w:hAnsi="Arial" w:cs="Arial"/>
          <w:lang w:val="es-MX"/>
        </w:rPr>
        <w:t xml:space="preserve"> Ponencia</w:t>
      </w:r>
    </w:p>
    <w:p w:rsidR="00261B04" w:rsidRPr="00261B04" w:rsidRDefault="00261B04" w:rsidP="00261B04">
      <w:pPr>
        <w:autoSpaceDE w:val="0"/>
        <w:autoSpaceDN w:val="0"/>
        <w:adjustRightInd w:val="0"/>
        <w:spacing w:after="0" w:line="360" w:lineRule="auto"/>
        <w:jc w:val="both"/>
        <w:rPr>
          <w:rFonts w:ascii="Arial" w:hAnsi="Arial" w:cs="Arial"/>
          <w:i/>
          <w:iCs/>
          <w:lang w:val="es-MX"/>
        </w:rPr>
      </w:pPr>
      <w:r w:rsidRPr="00261B04">
        <w:rPr>
          <w:rFonts w:ascii="Arial" w:hAnsi="Arial" w:cs="Arial"/>
          <w:lang w:val="es-MX"/>
        </w:rPr>
        <w:t xml:space="preserve">       Serie: </w:t>
      </w:r>
      <w:r w:rsidRPr="00261B04">
        <w:rPr>
          <w:rFonts w:ascii="Arial" w:hAnsi="Arial" w:cs="Arial"/>
          <w:i/>
          <w:iCs/>
          <w:lang w:val="es-MX"/>
        </w:rPr>
        <w:t xml:space="preserve"> Penal</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i/>
          <w:iCs/>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b/>
          <w:bCs/>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b/>
          <w:bCs/>
          <w:lang w:val="es-MX"/>
        </w:rPr>
        <w:t xml:space="preserve">      VOCES: </w:t>
      </w:r>
      <w:r w:rsidRPr="00261B04">
        <w:rPr>
          <w:rFonts w:ascii="Arial" w:hAnsi="Arial" w:cs="Arial"/>
          <w:lang w:val="es-MX"/>
        </w:rPr>
        <w:t xml:space="preserve"> TEORIA DEL DELITO. IMPUTABILIDAD. CULPABILIDAD. CIRCUNSTANCIAS MODIFICATIVAS. EXIMENTES. ESTADO DE NECESIDAD. MIEDO INSUPERABLE. ERROR DE PROHIBICION.</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w:t>
      </w:r>
      <w:r w:rsidRPr="00261B04">
        <w:rPr>
          <w:rFonts w:ascii="Arial" w:hAnsi="Arial" w:cs="Arial"/>
          <w:b/>
          <w:bCs/>
          <w:lang w:val="es-MX"/>
        </w:rPr>
        <w:t>ÍNDICE</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w:t>
      </w:r>
      <w:r w:rsidRPr="00261B04">
        <w:rPr>
          <w:rFonts w:ascii="Arial" w:hAnsi="Arial" w:cs="Arial"/>
          <w:b/>
          <w:bCs/>
          <w:lang w:val="es-MX"/>
        </w:rPr>
        <w:t>TEXTO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En la Ciencia del Derecho Penal se distinguen las causas de inculpabilidad en sentido amplio y en sentido estricto. En sentido amplio comprenden las causas de inimputabilidad, es decir de exclusión de la capacidad de culpabilidad y las causas de inculpabilidad en sentido estricto. Las causas de inimputabilidad en el nuevo Código Penal español son la anomalía o alteración psíquica (n.º 1.º del art. 20), la intoxicación plena por el consumo de bebidas alcohólicas, drogas tóxicas, estupefacientes, sustancias psicotrópicas u otras que produzcan efectos análogos, o hallarse bajo la influencia de un síndrome de abstinencia (n.º 2.º del art. 20) y, por último, la grave alteración de la conciencia de la realidad, por sufrir alteraciones en la percepción desde el nacimiento o desde la infancia (n.º 3.º del art. 20). Causas de inculpabilidad en sentido estricto son, según la opinión </w:t>
      </w:r>
      <w:r w:rsidRPr="00261B04">
        <w:rPr>
          <w:rFonts w:ascii="Arial" w:hAnsi="Arial" w:cs="Arial"/>
          <w:lang w:val="es-MX"/>
        </w:rPr>
        <w:lastRenderedPageBreak/>
        <w:t>dominante en la Ciencia del Derecho Penal española, el estado de necesidad en caso de conflicto de bienes iguales (n.º 5.º del art. 20, del nuevo Código Penal), el miedo insuperable (n.º 6.º del art. 20) y el error de prohibición invencible (art. 14.3, también del nuevo Código Penal).</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Si comparamos estas eximentes con las correspondientes del viejo Código Penal, observamos, que las modificaciones en las causas de inculpabilidad en sentido estricto son, en general, de menor trascendencia que las introducidas en las causas de inimputabilidad.</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En la eximente de estado de necesidad se ha suprimido únicamente la exigencia de que el sujeto actúe impulsado por el estado de necesidad. La trascendencia de esta modificación es escasa, pues no obstante debe concurrir un elemento subjetivo: el sujeto ha de lesionar un bien jurídico o infringir un deber "para evitar un mal propio o ajeno", lo que implica el conocimiento de la situación de necesidad y, además, la persecución del mencionado fin. La única diferencia entre la regulación de la eximente de estado de necesidad en el n.º 5.º del art. 20 del nuevo Código Penal y en el n.º 7.º del art. 8.º del viejo Código consiste en que ahora no es preciso que el ánimo o voluntad de evitar un mal propio o ajeno sea el motivo desencadenante de la acción y, mucho menos que fuera el único motivo, como exigió el Tribunal Supremo en algunas sentencias (1).</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La modificación en la regulación del error de prohibición invencible, en el art. 14.3, en relación con la del párrafo tercero del art. 6.º bis a) del viejo Código Penal, tiene también escasa trascendencia. La nueva redacción es, sin duda, técnicamente más correcta. La "creencia errónea e invencible de estar obrando lícitamente", podía deberse, en principio, a la concurrencia de un error invencible sobre un elemento del tipo. Ahora se dice, con mayor precisión, que: "El error invencible sobre la ilicitud del hecho constitutivo de la infracción penal excluye la responsabilidad criminal". Por otra parte, la nueva fórmula comprende no solo los casos de suposición errónea de la licitud, sino también los de falta de conciencia de la antijuridicidad por no haber reflexionado siquiera el sujeto sobre la licitud o ilicitud de la conducta. En caso de duda sobre la ilicitud de la conducta, si el sujeto confía en que sea conforme a Derecho, se encuentra en un error de prohibición, que puede ser vencible o invencible, pero en rigor no puede decirse que creyera en la licitud de su conducta.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De gran trascendencia es, en cambio, la supresión, en la regulación de la eximente de miedo insuperable, del requisito de que el sujeto actúe impulsado por miedo insuperable "de un mal igual o mayor". Se trataba de un límite objetivo, que se introducía en la eximente de miedo insuperable del n.º 10 del art. 8.º del viejo Código Penal. El Tribunal Supremo exigía, incluso, en jurisprudencia constante, que ese mal, igual o superior, fuese un mal real (2). Pero aunque se estimase, como creo más correcto, que </w:t>
      </w:r>
      <w:r w:rsidRPr="00261B04">
        <w:rPr>
          <w:rFonts w:ascii="Arial" w:hAnsi="Arial" w:cs="Arial"/>
          <w:lang w:val="es-MX"/>
        </w:rPr>
        <w:lastRenderedPageBreak/>
        <w:t>el mal podía ser real o imaginario (3), en todo caso la valoración de los males debía llevarse a cabo, como en el estado de necesidad, con arreglo a un criterio objetivo, concretamente con arreglo a las valoraciones del Derecho (4). Se trataba de una limitación a la vigencia del principio de culpabilidad en aras de las exigencias de la prevención general. Podía dar lugar a la exclusión de la eximente de aquellas personas que supervaloraran el mal que les amenazaba o que, aun valorándolo correctamente como menor, obraron en virtud de un miedo insuperable.</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Las modificaciones en la regulación de las causas de inimputabilidad son trascendentales . En primer lugar no se incluye una eximente de menor edad. En el art. 19 se declara únicamente que los menores de dieciocho años "no serán responsables criminalmente con arreglo a este Código". En el segundo párrafo del mismo artículo se prevé que: "Cuando un menor de dicha edad cometa un hecho delictivo podrá ser responsable con arreglo a lo dispuesto en la Ley que regule la responsabilidad penal del menor". La mayoría de edad penal no viene fijada con arreglo al criterio de la imputabilidad o la capacidad de culpabilidad, sino en virtud de consideraciones político-criminales, en función del tratamiento penal que se considera más adecuado a cada edad. El límite mínimo de edad que se fije para la responsabilidad penal del menor, en la futura Ley (trece, o catorce años), sí guardará relación con la capacidad de culpabilidad y no solo con consideraciones político-criminales, si se establecen en dicha Ley penas y no solamente medidas de seguridad o medidas tutelares de carácter administrativo (educativas, sanitarias, etc).</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De una enorme trascendencia es la refundición de las antiguas eximentes de enajenación mental y trastorno mental transitorio, del n.º 1.º del art. 8.º, del viejo Código Penal, en la nueva eximente de anomalía o alteración psíquica (n.º 1.º del art. 20 del nuevo Código). Dicha refundición me parece un acierto, dada la dificultad de deslindar la enajenación mental y el trastorno mental transitorio en los supuestos en que existiera un fondo patológico y en los trastornos mentales y de la conducta debidos al consumo del alcohol, drogas tóxicas, estupefacientes o sustancias psicotrópicas. Únicamente se mantiene la diferencia entre los trastornos mentales de carácter permanente o duradero, de los de carácter transitorio, a efectos de la regulación de la </w:t>
      </w:r>
      <w:r w:rsidRPr="00261B04">
        <w:rPr>
          <w:rFonts w:ascii="Arial" w:hAnsi="Arial" w:cs="Arial"/>
          <w:i/>
          <w:iCs/>
          <w:lang w:val="es-MX"/>
        </w:rPr>
        <w:t xml:space="preserve">actio libera in causa. </w:t>
      </w:r>
      <w:r w:rsidRPr="00261B04">
        <w:rPr>
          <w:rFonts w:ascii="Arial" w:hAnsi="Arial" w:cs="Arial"/>
          <w:lang w:val="es-MX"/>
        </w:rPr>
        <w:t>En el párrafo segundo del n.º 1.º del art. 20 se establece que:" El trastorno mental transitorio no eximirá de pena cuando hubiese sido provocado por el sujeto con el propósito de cometer el delito o hubiera previsto o debido prever su comisión". No se establecen diferencias, como antes, a efectos de aplicación de las medidas de seguridad, en el art. 101. En el n.º 1.º del art. 8.º del viejo Código Penal se establecían únicamente medidas de seguridad para los enajenados. Ello constituía, sin duda, un defecto (5), que ha sido subsanado en la nueva regulación legal.</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lastRenderedPageBreak/>
        <w:t>       A diferencia de lo que sucedía en la regulación de las eximentes de enajenación mental y trastorno mental transitorio, en el n.º 1.º del art. 8.º del viejo Código Penal, en que se adoptaba una fórmula psiquiátrica o biológica, en la nueva eximente de anomalía o alteración psíquica se utiliza una fórmula mixta psiquiátrico psicológica, o biopsicológica. Según el n.º 1.º del art. 20, está exento de responsabilidad criminal: "El que al tiempo de cometer la infracción penal, a causa de cualquier anomalía o alteración psíquica, no pueda comprender la ilicitud del hecho o actuar conforme a esa comprensión". Me parece un acierto la adopción de esta fórmula que, al conectar con el concepto de imputabilidad, permite llegar a resultados más satisfactorios desde el punto de vista del principio de culpabilidad. La anomalía o alteración psíquica podrían no guardar relación con el hecho delictivo, o no haber privado al sujeto por completo, en el momento del hecho, de la capacidad de conocer la ilicitud de su conducta, o de obrar conforme a ese conocimiento. Desde el punto de vista de la práctica la innovación no es tan trascendente, pues el Tribunal Supremo, en jurisprudencia constante, había transformado, mediante una interpretación restrictiva, la antigua fórmula psiquiátrica o biológica, en una fórmula mixta psiquiatrico-psicológica. El Tribunal Supremo exigía, para la apreciación de las eximentes de enajenación mental o trastorno mental transitorio, que el sujeto se hubiera visto privado por completo de la capacidad de entender o de querer o de la capacidad de conocer la ilicitud de la conducta o de obrar conforme a ese conocimiento. Afortunadamente en el nuevo Código no se concibe la imputabilidad como capacidad de entender y de querer, pues si el sujeto estuviera privado por completo de dicha capacidad, quedarían ya excluidas la acción y la omisión como primer elemento del delito y no solamente la capacidad de culpabilidad (6).</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En la nueva eximente se ha prescindido del término enajenado. El termino enajenado, como es sabido, fue introducido en la reforma parcial de nuestro viejo Código Penal en 1932, a propuesta del famoso psiquiatra </w:t>
      </w:r>
      <w:r w:rsidRPr="00261B04">
        <w:rPr>
          <w:rFonts w:ascii="Arial" w:hAnsi="Arial" w:cs="Arial"/>
          <w:b/>
          <w:bCs/>
          <w:lang w:val="es-MX"/>
        </w:rPr>
        <w:t>SANCHIS BANÚS</w:t>
      </w:r>
      <w:r w:rsidRPr="00261B04">
        <w:rPr>
          <w:rFonts w:ascii="Arial" w:hAnsi="Arial" w:cs="Arial"/>
          <w:lang w:val="es-MX"/>
        </w:rPr>
        <w:t xml:space="preserve">. No se trata de un término psiquiátrico. </w:t>
      </w:r>
      <w:r w:rsidRPr="00261B04">
        <w:rPr>
          <w:rFonts w:ascii="Arial" w:hAnsi="Arial" w:cs="Arial"/>
          <w:b/>
          <w:bCs/>
          <w:lang w:val="es-MX"/>
        </w:rPr>
        <w:t xml:space="preserve">LóPEZ IBOR </w:t>
      </w:r>
      <w:r w:rsidRPr="00261B04">
        <w:rPr>
          <w:rFonts w:ascii="Arial" w:hAnsi="Arial" w:cs="Arial"/>
          <w:lang w:val="es-MX"/>
        </w:rPr>
        <w:t xml:space="preserve">fue quien mejor precisó el sentido del término enajenado: "Cuando se enajena una propiedad, ésta deja de ser mía y pasa a ser de otro. El enajenamiento supone pues, que algo deja de pertenecer a uno mismo. En el hombre que se enajena, ese algo que deja de pertenecer a él son sus actos propios; porque no le pertenecen el Código le declara irresponsable" (7). Estamos ante un concepto predominantemente normativo (8), pero que contenía una directriz o criterio para delimitar su contenido. La ciencia del Derecho Penal española y la jurisprudencia del Tribunal Supremo se habían esforzado en determinar en qué supuestos de enfermedad o anomalía mental puede decirse que los actos no le pertenecen al sujeto. En el marco de la psiquiatría tradicional [cuya clasificación de las enfermedades mentales se basa en las investigaciones de </w:t>
      </w:r>
      <w:r w:rsidRPr="00261B04">
        <w:rPr>
          <w:rFonts w:ascii="Arial" w:hAnsi="Arial" w:cs="Arial"/>
          <w:b/>
          <w:bCs/>
          <w:lang w:val="es-MX"/>
        </w:rPr>
        <w:t xml:space="preserve">KRAEPELIN </w:t>
      </w:r>
      <w:r w:rsidRPr="00261B04">
        <w:rPr>
          <w:rFonts w:ascii="Arial" w:hAnsi="Arial" w:cs="Arial"/>
          <w:lang w:val="es-MX"/>
        </w:rPr>
        <w:t xml:space="preserve">(9)], la opinión dominante estimaba (10) que estaban </w:t>
      </w:r>
      <w:r w:rsidRPr="00261B04">
        <w:rPr>
          <w:rFonts w:ascii="Arial" w:hAnsi="Arial" w:cs="Arial"/>
          <w:lang w:val="es-MX"/>
        </w:rPr>
        <w:lastRenderedPageBreak/>
        <w:t xml:space="preserve">comprendidas en la enajenación las psicosis (que eran consideradas las enfermedades mentales en sentido estricto) (11) y las formas más graves de oligofrenia, es decir de insuficiente desarrollo de la inteligencia, por causas congénitas, o enfermedades o traumatismos en la infancia (en la terminología tradicional, la idiocia y las formas más acusadas de imbecilidad). El Tribunal Supremo exigía, en jurisprudencia constante, que el hecho delictivo guardase relación con la enfermedad o anomalía mental y que éstas hubieran privado al sujeto por completo de su capacidad de entender o de querer, o de comprender el carácter ilícito de su conducta o de obrar conforme a ese conocimiento. Negaba, por ello, la apreciación de la eximente completa de enajenación en las neurosis (reacciones vivenciales anormales) (12) y sólo la aplicó en una ocasión en las psicopatías (anomalías de carácter o de la personalidad) (13), en un supuesto en que se trataba de una personalidad psicopática muy pronunciada (14). Se puso en duda, con razón, la aptitud del término enajenación para comprender la oligofrenia (15) y las psicopatías (16). El término enajenación adolece, además, sin duda, de imprecisión (17), y por ello se explica que se haya prescindido del mismo, como había propuesto </w:t>
      </w:r>
      <w:r w:rsidRPr="00261B04">
        <w:rPr>
          <w:rFonts w:ascii="Arial" w:hAnsi="Arial" w:cs="Arial"/>
          <w:b/>
          <w:bCs/>
          <w:lang w:val="es-MX"/>
        </w:rPr>
        <w:t>TORÍO</w:t>
      </w:r>
      <w:r w:rsidRPr="00261B04">
        <w:rPr>
          <w:rFonts w:ascii="Arial" w:hAnsi="Arial" w:cs="Arial"/>
          <w:lang w:val="es-MX"/>
        </w:rPr>
        <w:t xml:space="preserve"> (18).</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La nueva fórmula, "cualquier anomalía o alteración psíquica", permite, sin duda comprender los supuestos de retraso mental y de psicopatía, pero adolece de una imprecisión mucho mayor que el término enajenación. No se determinan en absoluto los presupuestos psiquiátricos o psíquicos de aplicación de la eximente. Solo el requisito psicológico de que el sujeto se hubiera visto privado de la capacidad de comprender la ilicitud del hecho o de actuar conforme a esa comprensión, limita el contenido de la eximente. Ello supone un grave quebranto de la seguridad jurídica. Me parece obligado ya, por ello, hacer una propuesta de </w:t>
      </w:r>
      <w:r w:rsidRPr="00261B04">
        <w:rPr>
          <w:rFonts w:ascii="Arial" w:hAnsi="Arial" w:cs="Arial"/>
          <w:i/>
          <w:iCs/>
          <w:lang w:val="es-MX"/>
        </w:rPr>
        <w:t xml:space="preserve">lege ferenda. </w:t>
      </w:r>
      <w:r w:rsidRPr="00261B04">
        <w:rPr>
          <w:rFonts w:ascii="Arial" w:hAnsi="Arial" w:cs="Arial"/>
          <w:lang w:val="es-MX"/>
        </w:rPr>
        <w:t>La fórmula definitiva debería ser objeto de consulta y consenso con los psiquiatras y los expertos en medicina legal, pero de modo provisional sugeriría la siguiente: "Está exento de responsabilidad criminal el que, como consecuencia de enfermedad o retraso mental (19), o de una perturbación no morbosa de la mente, estuviera privado de la capacidad de comprender el carácter ilícito de su conducta o de obrar conforme a ese conocimiento".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En la nueva eximente de anomalía o alteración psíquica estarán comprendidas todas las enfermedades mentales incluidas en la clasificación de la OMS (CIE 10) (20), o de la asociación psiquiátrica americana (DSM IV) (21), con excepción de los trastornos mentales y de conducta debidos al uso de sustancias psicoactivas, como el alcohol y las drogas, que estarán comprendidos en la eximente del n.º 2.º del art. 20, cuando se den sus requisitos.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Estarán comprendidos, por tanto, en la eximente de anomalía o alteración psíquica, los trastornos mentales orgánicos, denominados también psicosis exógenas [entre los que se debe incluir la epilepsia (22), la esquizofrenia y los trastornos delirantes </w:t>
      </w:r>
      <w:r w:rsidRPr="00261B04">
        <w:rPr>
          <w:rFonts w:ascii="Arial" w:hAnsi="Arial" w:cs="Arial"/>
          <w:lang w:val="es-MX"/>
        </w:rPr>
        <w:lastRenderedPageBreak/>
        <w:t>persistentes (paranoia)], como prototipo de psicosis endógenas, los trastornos del humor o afectivos, entre los que destaca la psicosis maniaco-depresiva, las neurosis, las psicopatías y el retraso mental. El límite vendrá determinado, en cada caso, como señalaba anteriormente, por la exclusión de la capacidad de comprender el carácter ilícito de la conducta o de obrar conforme a ese conocimiento.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En la eximente estarán incluidos también, en principio, los estados emotivos o pasionales, aunque no es fácil que priven por completo al sujeto de la capacidad de comprender el carácter ilícito de la conducta o de obrar conforme a ese conocimiento. No cabe alegar en contra de esta inclusión la existencia en nuestro Código Penal de la atenuante de arrebato u obcecación (3.ª del art. 21), pues ello no impide que si la emoción o la pasión fueran de gran intensidad puedan afectar a la imputabilidad del sujeto, dando lugar a la aplicación de la eximente (completa, incompleta o una atenuante por analogía) de anomalía o alteración psíquica.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En la eximente del n.º 1.º del art. 20 estarán comprendidos también los supuestos de sugestión hipnótica o de narcosis (23), siempre que el sujeto se hubiera visto privado por completo de la capacidad de comprender la ilicitud del hecho o de obrar conforme a esa comprensión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Como señalaba anteriormente, sólo en la regulación de la </w:t>
      </w:r>
      <w:r w:rsidRPr="00261B04">
        <w:rPr>
          <w:rFonts w:ascii="Arial" w:hAnsi="Arial" w:cs="Arial"/>
          <w:i/>
          <w:iCs/>
          <w:lang w:val="es-MX"/>
        </w:rPr>
        <w:t xml:space="preserve">actio libera in causa </w:t>
      </w:r>
      <w:r w:rsidRPr="00261B04">
        <w:rPr>
          <w:rFonts w:ascii="Arial" w:hAnsi="Arial" w:cs="Arial"/>
          <w:lang w:val="es-MX"/>
        </w:rPr>
        <w:t>se hace referencia a la distinción entre los trastornos mentales permanentes o duraderos y el trastorno mental transitorio. De acuerdo con lo dispuesto en el párrafo segundo del n.º 1.º del art. 20: "El trastorno mental transitorio no eximirá de pena cuando hubiese sido provocado por el sujeto con el propósito de cometer el delito o hubiera previsto o debido prever su comisión".</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El Tribunal Supremo entendía por trastorno mental transitorio, una perturbación mental pasajera, de aparición más o menos brusca, producida por causas inmediatas y exógenas. No exigía ya, en su moderna jurisprudencia, la existencia de un fondo patológico (24). Esta exigencia no tendría ya, evidentemente, sentido alguno.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Para la aplicación de la eximente de anomalía o alteración psíquica, en los supuestos de trastorno mental transitorio, es preciso no sólo que el sujeto esté privado por completo de la capacidad de comprender el carácter ilícito de la conducta o de obrar conforme a ese conocimiento, sino también que el trastorno mental transitorio no "hubiese sido provocado por el sujeto con el propósito de cometer el delito o hubiera previsto o debido prever su comisión" . Este requisito negativo de la eximente alude a las llamadas acciones libres en la causa </w:t>
      </w:r>
      <w:r w:rsidRPr="00261B04">
        <w:rPr>
          <w:rFonts w:ascii="Arial" w:hAnsi="Arial" w:cs="Arial"/>
          <w:i/>
          <w:iCs/>
          <w:lang w:val="es-MX"/>
        </w:rPr>
        <w:t xml:space="preserve">(actiones liberae in causa). </w:t>
      </w:r>
      <w:r w:rsidRPr="00261B04">
        <w:rPr>
          <w:rFonts w:ascii="Arial" w:hAnsi="Arial" w:cs="Arial"/>
          <w:lang w:val="es-MX"/>
        </w:rPr>
        <w:t xml:space="preserve">El sujeto es inimputable en el momento de realizar la acción u omisión típica y antijurídica, pero no lo era en un momento anterior, cuando se provocó el trastorno mental transitorio. Se establece, pues, aquí, una excepción al principio de que el sujeto ha de ser imputable en el momento de realizar la </w:t>
      </w:r>
      <w:r w:rsidRPr="00261B04">
        <w:rPr>
          <w:rFonts w:ascii="Arial" w:hAnsi="Arial" w:cs="Arial"/>
          <w:lang w:val="es-MX"/>
        </w:rPr>
        <w:lastRenderedPageBreak/>
        <w:t>acción u omisión típica y antijurídica (25). El requisito es perfectamente compatible, sin embargo, con el principio de culpabilidad por el hecho, pues en el juicio de reproche se tienen en cuenta no sólo las circunstancias del mismo, sino también la conducta anterior del sujeto en la medida en que sea relevante para determinar si la acción u omisión típica y antijurídica realizada le era o no, o en qué medida le era reprochable al sujeto (26).</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Aunque la cuestión es dudosa, entiendo que se hace referencia únicamente a los supuestos en que la provocación del trastorno mental transitorio, por el sujeto, es voluntaria, con el propósito de cometer el delito, o habiendo previsto o debido prever que en esta situación podía cometerlo. La palabra "propósito" debe ser interpretada, a mi juicio, como sinónima de dolo, es decir en el mismo sentido que tenía el término "de propósito" cuando era utilizado en el viejo Código Penal para designar el dolo (27). Quedan fuera de la eximente, por tanto, no sólo los supuestos en que el sujeto se provocó el trastorno mental transitorio con el fin de cometer un delito, sino también cuando se representó la comisión del delito como necesariamente unida a la provocación del trastorno mental transitorio, o cuando habiendo previsto la posibilidad de cometer un delito durante el mismo contase con dicha posibilidad. El término delito está utilizado aquí en sentido amplio, es decir comprende no sólo los delitos en sentido estricto, sino también las faltas (28). Quedan fuera de la eximente por tanto, todos los supuestos de la llamada </w:t>
      </w:r>
      <w:r w:rsidRPr="00261B04">
        <w:rPr>
          <w:rFonts w:ascii="Arial" w:hAnsi="Arial" w:cs="Arial"/>
          <w:i/>
          <w:iCs/>
          <w:lang w:val="es-MX"/>
        </w:rPr>
        <w:t xml:space="preserve">actio libera in causa </w:t>
      </w:r>
      <w:r w:rsidRPr="00261B04">
        <w:rPr>
          <w:rFonts w:ascii="Arial" w:hAnsi="Arial" w:cs="Arial"/>
          <w:lang w:val="es-MX"/>
        </w:rPr>
        <w:t>dolosa.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No cabe ver en la conducta provocadora del trastorno mental transitorio un principio de ejecución del delito de acción doloso cometido durante dicho trastorno mental, pues el principio de ejecución viene marcado por el comienzo de realización de la acción típica (29). El intento de fundamentar la responsabilidad penal, en los supuestos de </w:t>
      </w:r>
      <w:r w:rsidRPr="00261B04">
        <w:rPr>
          <w:rFonts w:ascii="Arial" w:hAnsi="Arial" w:cs="Arial"/>
          <w:i/>
          <w:iCs/>
          <w:lang w:val="es-MX"/>
        </w:rPr>
        <w:t xml:space="preserve">actio libera in causa, </w:t>
      </w:r>
      <w:r w:rsidRPr="00261B04">
        <w:rPr>
          <w:rFonts w:ascii="Arial" w:hAnsi="Arial" w:cs="Arial"/>
          <w:lang w:val="es-MX"/>
        </w:rPr>
        <w:t>en la existencia de un principio de ejecución en la acción precedente recibe en la Ciencia del Derecho Penal alemana el nombre de solución del tipo (30).</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En nuestro país ha sugerido otra solución de los problemas que plantea la </w:t>
      </w:r>
      <w:r w:rsidRPr="00261B04">
        <w:rPr>
          <w:rFonts w:ascii="Arial" w:hAnsi="Arial" w:cs="Arial"/>
          <w:i/>
          <w:iCs/>
          <w:lang w:val="es-MX"/>
        </w:rPr>
        <w:t xml:space="preserve">actio libera in causa, </w:t>
      </w:r>
      <w:r w:rsidRPr="00261B04">
        <w:rPr>
          <w:rFonts w:ascii="Arial" w:hAnsi="Arial" w:cs="Arial"/>
          <w:b/>
          <w:bCs/>
          <w:lang w:val="es-MX"/>
        </w:rPr>
        <w:t>UJALA JOSHI JUBERT (</w:t>
      </w:r>
      <w:r w:rsidRPr="00261B04">
        <w:rPr>
          <w:rFonts w:ascii="Arial" w:hAnsi="Arial" w:cs="Arial"/>
          <w:lang w:val="es-MX"/>
        </w:rPr>
        <w:t xml:space="preserve">31). De acuerdo con su propuesta, el fundamento de la imputación será la provocación relevante de la situación de incapacidad de culpabilidad, pero el objeto de la misma sera la acción típica. La provocación de la situación de incapacidad de culpabilidad será relevante si crea un peligro concreto para un bien jurídico protegido por el Derecho Penal (perspectiva </w:t>
      </w:r>
      <w:r w:rsidRPr="00261B04">
        <w:rPr>
          <w:rFonts w:ascii="Arial" w:hAnsi="Arial" w:cs="Arial"/>
          <w:i/>
          <w:iCs/>
          <w:lang w:val="es-MX"/>
        </w:rPr>
        <w:t xml:space="preserve">ex ante), </w:t>
      </w:r>
      <w:r w:rsidRPr="00261B04">
        <w:rPr>
          <w:rFonts w:ascii="Arial" w:hAnsi="Arial" w:cs="Arial"/>
          <w:lang w:val="es-MX"/>
        </w:rPr>
        <w:t xml:space="preserve">si la acción típica realiza el peligro creado por la provocación (perspectiva </w:t>
      </w:r>
      <w:r w:rsidRPr="00261B04">
        <w:rPr>
          <w:rFonts w:ascii="Arial" w:hAnsi="Arial" w:cs="Arial"/>
          <w:i/>
          <w:iCs/>
          <w:lang w:val="es-MX"/>
        </w:rPr>
        <w:t xml:space="preserve">ex post) </w:t>
      </w:r>
      <w:r w:rsidRPr="00261B04">
        <w:rPr>
          <w:rFonts w:ascii="Arial" w:hAnsi="Arial" w:cs="Arial"/>
          <w:lang w:val="es-MX"/>
        </w:rPr>
        <w:t xml:space="preserve">(no será este el caso si la provocación es dolosa y la acción imprudente, o viceversa), si con la provocación el sujeto se coloca en una situación en la que después le resultaría imposible, o prácticamente imposible, controlar el peligro por él creado y, por último, si el sujeto ha previsto o podido prever que su comportamiento pone en concreto peligro un bien jurídico protegido y elimina su capacidad de culpabilidad, de modo que no podrá evitar, llegado el momento, la lesión </w:t>
      </w:r>
      <w:r w:rsidRPr="00261B04">
        <w:rPr>
          <w:rFonts w:ascii="Arial" w:hAnsi="Arial" w:cs="Arial"/>
          <w:lang w:val="es-MX"/>
        </w:rPr>
        <w:lastRenderedPageBreak/>
        <w:t xml:space="preserve">del bien jurídico. Según </w:t>
      </w:r>
      <w:r w:rsidRPr="00261B04">
        <w:rPr>
          <w:rFonts w:ascii="Arial" w:hAnsi="Arial" w:cs="Arial"/>
          <w:b/>
          <w:bCs/>
          <w:lang w:val="es-MX"/>
        </w:rPr>
        <w:t>JOSHI JUBERT,</w:t>
      </w:r>
      <w:r w:rsidRPr="00261B04">
        <w:rPr>
          <w:rFonts w:ascii="Arial" w:hAnsi="Arial" w:cs="Arial"/>
          <w:lang w:val="es-MX"/>
        </w:rPr>
        <w:t xml:space="preserve"> cuando concurren estos requisitos se da una identidad estructural entre la </w:t>
      </w:r>
      <w:r w:rsidRPr="00261B04">
        <w:rPr>
          <w:rFonts w:ascii="Arial" w:hAnsi="Arial" w:cs="Arial"/>
          <w:i/>
          <w:iCs/>
          <w:lang w:val="es-MX"/>
        </w:rPr>
        <w:t xml:space="preserve">actio libera in causa </w:t>
      </w:r>
      <w:r w:rsidRPr="00261B04">
        <w:rPr>
          <w:rFonts w:ascii="Arial" w:hAnsi="Arial" w:cs="Arial"/>
          <w:lang w:val="es-MX"/>
        </w:rPr>
        <w:t xml:space="preserve">y la </w:t>
      </w:r>
      <w:r w:rsidRPr="00261B04">
        <w:rPr>
          <w:rFonts w:ascii="Arial" w:hAnsi="Arial" w:cs="Arial"/>
          <w:i/>
          <w:iCs/>
          <w:lang w:val="es-MX"/>
        </w:rPr>
        <w:t xml:space="preserve">actio libera in se. </w:t>
      </w:r>
      <w:r w:rsidRPr="00261B04">
        <w:rPr>
          <w:rFonts w:ascii="Arial" w:hAnsi="Arial" w:cs="Arial"/>
          <w:lang w:val="es-MX"/>
        </w:rPr>
        <w:t xml:space="preserve">La </w:t>
      </w:r>
      <w:r w:rsidRPr="00261B04">
        <w:rPr>
          <w:rFonts w:ascii="Arial" w:hAnsi="Arial" w:cs="Arial"/>
          <w:i/>
          <w:iCs/>
          <w:lang w:val="es-MX"/>
        </w:rPr>
        <w:t xml:space="preserve">actio libera in causa </w:t>
      </w:r>
      <w:r w:rsidRPr="00261B04">
        <w:rPr>
          <w:rFonts w:ascii="Arial" w:hAnsi="Arial" w:cs="Arial"/>
          <w:lang w:val="es-MX"/>
        </w:rPr>
        <w:t xml:space="preserve">infringe, según ella, en esos casos, la norma primaria, es decir la prohibición (o el mandato) del Derecho Penal: "Es decir prohibiciones y mandatos tienen como contenido las conductas directa e inmediatamente encaminadas a lesionar el bien jurídico al cual se quiere proteger; pero incluyen también aquellas otras conductas a través de las cuales el sujeto elimina la posibilidad de ser un receptor adecuado de la norma" (32). La tesis me parece discutible, pero en todo caso la infracción de la norma primaria (prohibición o mandato) no permite la punibilidad de la conducta si no está previamente declarada en una ley. No tiene en cuenta aquí, </w:t>
      </w:r>
      <w:r w:rsidRPr="00261B04">
        <w:rPr>
          <w:rFonts w:ascii="Arial" w:hAnsi="Arial" w:cs="Arial"/>
          <w:b/>
          <w:bCs/>
          <w:lang w:val="es-MX"/>
        </w:rPr>
        <w:t>JOSHI JUBERT,</w:t>
      </w:r>
      <w:r w:rsidRPr="00261B04">
        <w:rPr>
          <w:rFonts w:ascii="Arial" w:hAnsi="Arial" w:cs="Arial"/>
          <w:lang w:val="es-MX"/>
        </w:rPr>
        <w:t xml:space="preserve"> la distinción entre norma y ley penal, cuya transcendencia se advierte, en la delimitación de la punibilidad de la tentativa o frustración, o de las acciones u omisiones imprudentes.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En el nuevo Código Penal quedan excluidos también de la eximente de anomalía o alteración psíquica (a diferencia de lo que sucedía en la eximente de trastorno mental transitorio, del n.º 1.º del art. 8.º, del viejo Código Penal), los supuestos más graves de la </w:t>
      </w:r>
      <w:r w:rsidRPr="00261B04">
        <w:rPr>
          <w:rFonts w:ascii="Arial" w:hAnsi="Arial" w:cs="Arial"/>
          <w:i/>
          <w:iCs/>
          <w:lang w:val="es-MX"/>
        </w:rPr>
        <w:t xml:space="preserve">actio libera in causa </w:t>
      </w:r>
      <w:r w:rsidRPr="00261B04">
        <w:rPr>
          <w:rFonts w:ascii="Arial" w:hAnsi="Arial" w:cs="Arial"/>
          <w:lang w:val="es-MX"/>
        </w:rPr>
        <w:t>imprudente, es decir aquellos casos en que la provocación del trastorno mental transitorio es voluntaria, habiendo previsto el sujeto o debido prever que en esta situación podía cometer el delito. En los restantes casos (cuando la provocación del trastorno mental transitorio fue por imprudencia o negligencia) sería aplicable la eximente en relación con el hecho delictivo cometido durante el trastorno mental transitorio, pudiendo incurrir, no obstante, el sujeto en responsabilidad por un delito imprudente de resultado (33), si la provocación del trastorno mental transitorio supone una infracción del cuidado objetivamente debido para evitar la producción del resultado delictivo, la conducta imprudente está sancionada por la Ley expresamente (34) y se dan los restantes elementos del tipo de lo injusto de los delitos imprudentes: que el resultado se hubiera producido precisamente como consecuencia de la inobservancia del cuidado objetivamente debido y fuera uno de los que trataba de evitar la norma de cuidado infringida (35). No podrá incurrir en responsabilidad, sin embargo, en los delitos de simple actividad, pues la conducta realizada al provocar el trastorno mental transitorio no representa aún un comienzo de la acción típica del delito imprudente (36).</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Queda clara, por otra parte, en el n.º 1.º del art. 20 del nuevo Código Penal, la referencia del propósito, de la previsión o del deber de previsión a la acción u omisión típica y antijurídica realizada por el sujeto. En el n.º 1.º del art. 8.º del viejo Código Penal se excluía la eximente de trastorno mental transitorio, cuando éste hubiera sido buscado de propósito para delinquir. Planteándose el problema de si la eximente quedaba o no excluida cuando el delito cometido, en el estado de trastorno mental transitorio, fuera diferente de aquél para cuya comisión el sujeto se hubiera provocado el trastorno.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lastRenderedPageBreak/>
        <w:t xml:space="preserve">       La eximente del n.º 2.º del art. 20, de intoxicación plena por el consumo de bebidas alcohólicas, drogas tóxicas, estupefacientes, sustancias psicotrópicas, u otras que produzcan análogos efectos, o hallarse el sujeto bajo la influencia del síndrome de abstinencia, podría considerarse superflua, pues se trata, sin duda, de supuestos comprendidos en la eximente de anomalía o alteración psíquica, de carácter transitorio o permanente (psicosis alcohólica, drogadicción). Pero, aunque sea superflua desde el punto de vista estrictamente dogmático, no lo es desde el punto de vista práctico, pues el Tribunal Supremo solía exigir que la embriaguez fuera no sólo plena, sino además fortuita, para aplicar la eximente de trastorno mental transitorio (37), requisito de fortuidad que extendió, incluso en alguna ocasión a la intoxicación por drogas tóxicas, estupefacientes o sustancias psicotrópicas (38). Dicho requisito suponía una grave limitación de la vigencia del principio de culpabilidad. En la nueva eximente del n.º 2.º del art. 20 es indiferente que la embriaguez plena, o la intoxicación plena por el consumo de drogas, sea fortuita, imprudente, o voluntaria (siempre que no se trate de uno de los supuestos de </w:t>
      </w:r>
      <w:r w:rsidRPr="00261B04">
        <w:rPr>
          <w:rFonts w:ascii="Arial" w:hAnsi="Arial" w:cs="Arial"/>
          <w:i/>
          <w:iCs/>
          <w:lang w:val="es-MX"/>
        </w:rPr>
        <w:t xml:space="preserve">actio libera in causa </w:t>
      </w:r>
      <w:r w:rsidRPr="00261B04">
        <w:rPr>
          <w:rFonts w:ascii="Arial" w:hAnsi="Arial" w:cs="Arial"/>
          <w:lang w:val="es-MX"/>
        </w:rPr>
        <w:t>previstos expresamente en la misma).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En cuanto a la regulación de la </w:t>
      </w:r>
      <w:r w:rsidRPr="00261B04">
        <w:rPr>
          <w:rFonts w:ascii="Arial" w:hAnsi="Arial" w:cs="Arial"/>
          <w:i/>
          <w:iCs/>
          <w:lang w:val="es-MX"/>
        </w:rPr>
        <w:t>actio libera in causa</w:t>
      </w:r>
      <w:r w:rsidRPr="00261B04">
        <w:rPr>
          <w:rFonts w:ascii="Arial" w:hAnsi="Arial" w:cs="Arial"/>
          <w:lang w:val="es-MX"/>
        </w:rPr>
        <w:t xml:space="preserve"> en el n.º 2.º del art. 20, no presenta diferencias sustanciales respecto a la regulación de la misma en la eximente de anomalía o alteración psíquica. Ahora se dice "siempre que (el estado de intoxicación plena) no hubiera sido buscado", en lugar de provocado. Si se estima, como creo debe hacerse, que la provocación ha de ser voluntaria, en el n.º 1.º del art. 20, las dos regulaciones serían coincidentes.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Llama la atención que queda excluido de la salvedad de la </w:t>
      </w:r>
      <w:r w:rsidRPr="00261B04">
        <w:rPr>
          <w:rFonts w:ascii="Arial" w:hAnsi="Arial" w:cs="Arial"/>
          <w:i/>
          <w:iCs/>
          <w:lang w:val="es-MX"/>
        </w:rPr>
        <w:t xml:space="preserve">actio libera in causa </w:t>
      </w:r>
      <w:r w:rsidRPr="00261B04">
        <w:rPr>
          <w:rFonts w:ascii="Arial" w:hAnsi="Arial" w:cs="Arial"/>
          <w:lang w:val="es-MX"/>
        </w:rPr>
        <w:t xml:space="preserve">el síndrome de abstinencia. Si el sujeto espera consciente y voluntariamente a que aparezca, sin acudir a un centro de deshabituación, con el propósito de cometer la infracción penal, o habiendo previsto o debido prever su comisión, podría invocar la eximente del n.º 2.º del art. 20, siempre que hubiera quedado excluida su capacidad de comprender la ilicitud del hecho o de obrar conforme a ese conocimiento. La exclusión de la eximente en estos casos supondría analogía </w:t>
      </w:r>
      <w:r w:rsidRPr="00261B04">
        <w:rPr>
          <w:rFonts w:ascii="Arial" w:hAnsi="Arial" w:cs="Arial"/>
          <w:i/>
          <w:iCs/>
          <w:lang w:val="es-MX"/>
        </w:rPr>
        <w:t xml:space="preserve">in malam partem. </w:t>
      </w:r>
      <w:r w:rsidRPr="00261B04">
        <w:rPr>
          <w:rFonts w:ascii="Arial" w:hAnsi="Arial" w:cs="Arial"/>
          <w:lang w:val="es-MX"/>
        </w:rPr>
        <w:t>Estamos ante un grave defecto de la regulación legal (39). El sujeto podría incurrir en responsabilidad, no obstante, en los delitos de resultado, por un delito de comisión por omisión, cuando se den sus requisitos (art. 11 del nuevo Código Penal) (40).</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Por último, hay que señalar que la eximente de alteraciones en la percepción (n.º 3.º del art. 20), no experimenta modificación alguna. Debería haberse adoptado también en ella una fórmula mixta, psiquiatrico-psicológica, como la utilizada en las eximentes de anomalía o alteración psíquica y la de intoxicación plena por bebidas alcohólicas, drogas tóxicas, estupefacientes, sustancias psicotrópicas u otras que produzcan efectos análogos o hallarse el sujeto bajo la influencia de un síndrome de abstinencia. Es posible, </w:t>
      </w:r>
      <w:r w:rsidRPr="00261B04">
        <w:rPr>
          <w:rFonts w:ascii="Arial" w:hAnsi="Arial" w:cs="Arial"/>
          <w:lang w:val="es-MX"/>
        </w:rPr>
        <w:lastRenderedPageBreak/>
        <w:t>sin embargo, exigir el requisito psicológico, de que el sujeto se hubiera visto privado de la capacidad de comprender el carácter ilícito de su conducta o de obrar conforme a ese conocimiento, no solo mediante una interpretación sistemática, sino también mediante una interpretación teleológica-restrictiva, inspirada en el concepto de imputabilidad.</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Notas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(1) Véase, por ejemplo, las sentencias de 15 de marzo de 1952, (Ar. 420), 13 de abril de 1984 (Ar. 2351), 9 de diciembre de 1985 (Ar. 6008) y 21 de enero de 1986, (Ar. 163).</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 En este sentido también, Rodríguez Devesa-Serrano Gómez: </w:t>
      </w:r>
      <w:r w:rsidRPr="00261B04">
        <w:rPr>
          <w:rFonts w:ascii="Arial" w:hAnsi="Arial" w:cs="Arial"/>
          <w:i/>
          <w:iCs/>
          <w:lang w:val="es-MX"/>
        </w:rPr>
        <w:t>Derecho Penal español. Parte general,</w:t>
      </w:r>
      <w:r w:rsidRPr="00261B04">
        <w:rPr>
          <w:rFonts w:ascii="Arial" w:hAnsi="Arial" w:cs="Arial"/>
          <w:lang w:val="es-MX"/>
        </w:rPr>
        <w:t xml:space="preserve"> 18 ed., Dykinson, Madrid, 1995, pág. 647; Mir Puig: </w:t>
      </w:r>
      <w:r w:rsidRPr="00261B04">
        <w:rPr>
          <w:rFonts w:ascii="Arial" w:hAnsi="Arial" w:cs="Arial"/>
          <w:i/>
          <w:iCs/>
          <w:lang w:val="es-MX"/>
        </w:rPr>
        <w:t>Derecho Penal. Parte general,</w:t>
      </w:r>
      <w:r w:rsidRPr="00261B04">
        <w:rPr>
          <w:rFonts w:ascii="Arial" w:hAnsi="Arial" w:cs="Arial"/>
          <w:lang w:val="es-MX"/>
        </w:rPr>
        <w:t xml:space="preserve"> 3ª ed., PPU, Barcelona, 1990, págs. 654-655, y J. F. Higuera Guimerá: </w:t>
      </w:r>
      <w:r w:rsidRPr="00261B04">
        <w:rPr>
          <w:rFonts w:ascii="Arial" w:hAnsi="Arial" w:cs="Arial"/>
          <w:i/>
          <w:iCs/>
          <w:lang w:val="es-MX"/>
        </w:rPr>
        <w:t xml:space="preserve">La eximente de miedo insuperable en el Derecho Penal común y militar español, </w:t>
      </w:r>
      <w:r w:rsidRPr="00261B04">
        <w:rPr>
          <w:rFonts w:ascii="Arial" w:hAnsi="Arial" w:cs="Arial"/>
          <w:lang w:val="es-MX"/>
        </w:rPr>
        <w:t>Bosch, Casa Editorial, S.A., Barcelona, 1991, pág. 123 (que señala que los casos de miedo a un mal imaginario "deben ser reconducidos por la vía del error").</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(3) Véase, en este sentido, Antón Oneca: </w:t>
      </w:r>
      <w:r w:rsidRPr="00261B04">
        <w:rPr>
          <w:rFonts w:ascii="Arial" w:hAnsi="Arial" w:cs="Arial"/>
          <w:i/>
          <w:iCs/>
          <w:lang w:val="es-MX"/>
        </w:rPr>
        <w:t>Derecho Penal. Parte general,</w:t>
      </w:r>
      <w:r w:rsidRPr="00261B04">
        <w:rPr>
          <w:rFonts w:ascii="Arial" w:hAnsi="Arial" w:cs="Arial"/>
          <w:lang w:val="es-MX"/>
        </w:rPr>
        <w:t xml:space="preserve"> Madrid, 1949, pág. 282; Córdoba Roda, en Córdoba Roda-Rodríguez Mourullo: </w:t>
      </w:r>
      <w:r w:rsidRPr="00261B04">
        <w:rPr>
          <w:rFonts w:ascii="Arial" w:hAnsi="Arial" w:cs="Arial"/>
          <w:i/>
          <w:iCs/>
          <w:lang w:val="es-MX"/>
        </w:rPr>
        <w:t>Comentarios al Código Penal,</w:t>
      </w:r>
      <w:r w:rsidRPr="00261B04">
        <w:rPr>
          <w:rFonts w:ascii="Arial" w:hAnsi="Arial" w:cs="Arial"/>
          <w:lang w:val="es-MX"/>
        </w:rPr>
        <w:t xml:space="preserve"> I, Ariel, Barcelona, 1972, págs. 351-352, y Cobo del Rosal-Vives Antón: </w:t>
      </w:r>
      <w:r w:rsidRPr="00261B04">
        <w:rPr>
          <w:rFonts w:ascii="Arial" w:hAnsi="Arial" w:cs="Arial"/>
          <w:i/>
          <w:iCs/>
          <w:lang w:val="es-MX"/>
        </w:rPr>
        <w:t xml:space="preserve">Derecho Penal. Parte general, </w:t>
      </w:r>
      <w:r w:rsidRPr="00261B04">
        <w:rPr>
          <w:rFonts w:ascii="Arial" w:hAnsi="Arial" w:cs="Arial"/>
          <w:lang w:val="es-MX"/>
        </w:rPr>
        <w:t>3.ª ed., Tirant lo Blanch, Valencia, 1990, pág. 531.</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(4) De otra opinión, Córdoba Roda, en Córdoba Roda-Rodríguez Mourullo: </w:t>
      </w:r>
      <w:r w:rsidRPr="00261B04">
        <w:rPr>
          <w:rFonts w:ascii="Arial" w:hAnsi="Arial" w:cs="Arial"/>
          <w:i/>
          <w:iCs/>
          <w:lang w:val="es-MX"/>
        </w:rPr>
        <w:t xml:space="preserve">Comentarios al Código Penal, </w:t>
      </w:r>
      <w:r w:rsidRPr="00261B04">
        <w:rPr>
          <w:rFonts w:ascii="Arial" w:hAnsi="Arial" w:cs="Arial"/>
          <w:lang w:val="es-MX"/>
        </w:rPr>
        <w:t xml:space="preserve">1, págs 354-355, y J. F. Higuera Guimerá: </w:t>
      </w:r>
      <w:r w:rsidRPr="00261B04">
        <w:rPr>
          <w:rFonts w:ascii="Arial" w:hAnsi="Arial" w:cs="Arial"/>
          <w:i/>
          <w:iCs/>
          <w:lang w:val="es-MX"/>
        </w:rPr>
        <w:t xml:space="preserve">La eximente de miedo insuperable en el Derecho Penal común y militar español, </w:t>
      </w:r>
      <w:r w:rsidRPr="00261B04">
        <w:rPr>
          <w:rFonts w:ascii="Arial" w:hAnsi="Arial" w:cs="Arial"/>
          <w:lang w:val="es-MX"/>
        </w:rPr>
        <w:t>págs. 128-129, que, apartándose de la opinión dominante, consideraban que en la ponderación de los males había que atenerse a la valoración del sujeto.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(5) Como se puso de manifiesto con frecuencia en la Ciencia del Derecho Penal española; véase, por ejemplo, Pérez-Vitoria: </w:t>
      </w:r>
      <w:r w:rsidRPr="00261B04">
        <w:rPr>
          <w:rFonts w:ascii="Arial" w:hAnsi="Arial" w:cs="Arial"/>
          <w:i/>
          <w:iCs/>
          <w:lang w:val="es-MX"/>
        </w:rPr>
        <w:t xml:space="preserve">El "trastorno mental transitorio" como causa de inimputabilidad en el Código Penal español, </w:t>
      </w:r>
      <w:r w:rsidRPr="00261B04">
        <w:rPr>
          <w:rFonts w:ascii="Arial" w:hAnsi="Arial" w:cs="Arial"/>
          <w:lang w:val="es-MX"/>
        </w:rPr>
        <w:t xml:space="preserve">Anuario de Derecho Penal y Ciencias Penales, 1952, fas. 1.º, pág. 31; Gimbernat: </w:t>
      </w:r>
      <w:r w:rsidRPr="00261B04">
        <w:rPr>
          <w:rFonts w:ascii="Arial" w:hAnsi="Arial" w:cs="Arial"/>
          <w:i/>
          <w:iCs/>
          <w:lang w:val="es-MX"/>
        </w:rPr>
        <w:t xml:space="preserve">Introducción a la Parte General del Derecho Penal español, </w:t>
      </w:r>
      <w:r w:rsidRPr="00261B04">
        <w:rPr>
          <w:rFonts w:ascii="Arial" w:hAnsi="Arial" w:cs="Arial"/>
          <w:lang w:val="es-MX"/>
        </w:rPr>
        <w:t xml:space="preserve">Universidad Complutense, Madrid, 1979, págs. 74-75; Terradillos: </w:t>
      </w:r>
      <w:r w:rsidRPr="00261B04">
        <w:rPr>
          <w:rFonts w:ascii="Arial" w:hAnsi="Arial" w:cs="Arial"/>
          <w:i/>
          <w:iCs/>
          <w:lang w:val="es-MX"/>
        </w:rPr>
        <w:t xml:space="preserve">Tratamiento jurídico-penal de la enajenación, </w:t>
      </w:r>
      <w:r w:rsidRPr="00261B04">
        <w:rPr>
          <w:rFonts w:ascii="Arial" w:hAnsi="Arial" w:cs="Arial"/>
          <w:lang w:val="es-MX"/>
        </w:rPr>
        <w:t xml:space="preserve">en Comentarios a la Legislación Penal, La reforma penal de 1983, tomo V, Vol. 1.º, Edersa, Madrid, 1985, pág. 139, y Romeo Casabona: </w:t>
      </w:r>
      <w:r w:rsidRPr="00261B04">
        <w:rPr>
          <w:rFonts w:ascii="Arial" w:hAnsi="Arial" w:cs="Arial"/>
          <w:i/>
          <w:iCs/>
          <w:lang w:val="es-MX"/>
        </w:rPr>
        <w:t xml:space="preserve">Peligrosidad y Derecho Penal preventivo, </w:t>
      </w:r>
      <w:r w:rsidRPr="00261B04">
        <w:rPr>
          <w:rFonts w:ascii="Arial" w:hAnsi="Arial" w:cs="Arial"/>
          <w:lang w:val="es-MX"/>
        </w:rPr>
        <w:t>Bosch, Barcelona, 1986, pág. 138. Excepcionalmente el Tribunal Supremo admitió la aplicación de medidas de seguridad en supuestos de trastorno mental transitorio (eximente incompleta), en la sentencia de 14 de abril de 1993 (Ar. 3333).</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(6) Véase, en este sentido, Rodríguez Devesa-Serrano Gómez: </w:t>
      </w:r>
      <w:r w:rsidRPr="00261B04">
        <w:rPr>
          <w:rFonts w:ascii="Arial" w:hAnsi="Arial" w:cs="Arial"/>
          <w:i/>
          <w:iCs/>
          <w:lang w:val="es-MX"/>
        </w:rPr>
        <w:t xml:space="preserve">Derecho Penal español. Parte general, </w:t>
      </w:r>
      <w:r w:rsidRPr="00261B04">
        <w:rPr>
          <w:rFonts w:ascii="Arial" w:hAnsi="Arial" w:cs="Arial"/>
          <w:lang w:val="es-MX"/>
        </w:rPr>
        <w:t xml:space="preserve">págs. 582-583; Córdoba Roda, en Córdoba Roda-Rodríguez </w:t>
      </w:r>
      <w:r w:rsidRPr="00261B04">
        <w:rPr>
          <w:rFonts w:ascii="Arial" w:hAnsi="Arial" w:cs="Arial"/>
          <w:lang w:val="es-MX"/>
        </w:rPr>
        <w:lastRenderedPageBreak/>
        <w:t xml:space="preserve">Mourullo: </w:t>
      </w:r>
      <w:r w:rsidRPr="00261B04">
        <w:rPr>
          <w:rFonts w:ascii="Arial" w:hAnsi="Arial" w:cs="Arial"/>
          <w:i/>
          <w:iCs/>
          <w:lang w:val="es-MX"/>
        </w:rPr>
        <w:t xml:space="preserve">Comentarios al Código Penal, </w:t>
      </w:r>
      <w:r w:rsidRPr="00261B04">
        <w:rPr>
          <w:rFonts w:ascii="Arial" w:hAnsi="Arial" w:cs="Arial"/>
          <w:lang w:val="es-MX"/>
        </w:rPr>
        <w:t xml:space="preserve">I, págs. 208 y siguientes, y Mir Puig: </w:t>
      </w:r>
      <w:r w:rsidRPr="00261B04">
        <w:rPr>
          <w:rFonts w:ascii="Arial" w:hAnsi="Arial" w:cs="Arial"/>
          <w:i/>
          <w:iCs/>
          <w:lang w:val="es-MX"/>
        </w:rPr>
        <w:t>Derecho Penal. Parte general</w:t>
      </w:r>
      <w:r w:rsidRPr="00261B04">
        <w:rPr>
          <w:rFonts w:ascii="Arial" w:hAnsi="Arial" w:cs="Arial"/>
          <w:lang w:val="es-MX"/>
        </w:rPr>
        <w:t>, 4.ª ed., PPU, Barcelona, 1996, pág. 571.</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(7) Véase Juan José López Ibor: </w:t>
      </w:r>
      <w:r w:rsidRPr="00261B04">
        <w:rPr>
          <w:rFonts w:ascii="Arial" w:hAnsi="Arial" w:cs="Arial"/>
          <w:i/>
          <w:iCs/>
          <w:lang w:val="es-MX"/>
        </w:rPr>
        <w:t xml:space="preserve">La responsabilidad penal del enfermo mental, </w:t>
      </w:r>
      <w:r w:rsidRPr="00261B04">
        <w:rPr>
          <w:rFonts w:ascii="Arial" w:hAnsi="Arial" w:cs="Arial"/>
          <w:lang w:val="es-MX"/>
        </w:rPr>
        <w:t>Discurso de ingreso en la Real Academia de Medicina, Madrid, Cosano, 1951, pág. 13.</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(8) Véase, en este sentido, Torío: </w:t>
      </w:r>
      <w:r w:rsidRPr="00261B04">
        <w:rPr>
          <w:rFonts w:ascii="Arial" w:hAnsi="Arial" w:cs="Arial"/>
          <w:i/>
          <w:iCs/>
          <w:lang w:val="es-MX"/>
        </w:rPr>
        <w:t>Las fórmulas legislativas sobre la enfermedad mental.</w:t>
      </w:r>
      <w:r w:rsidRPr="00261B04">
        <w:rPr>
          <w:rFonts w:ascii="Arial" w:hAnsi="Arial" w:cs="Arial"/>
          <w:lang w:val="es-MX"/>
        </w:rPr>
        <w:t xml:space="preserve"> Discusión del concepto de "enajenación", en Estudios Jurídicos en honor del profesor Octavio Pérez-Vitoria, II, Bosch, Barcelona, 1983, págs. 970 y ss.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(9) Véase, a este respecto, Amadeo Sánchez Blanque: </w:t>
      </w:r>
      <w:r w:rsidRPr="00261B04">
        <w:rPr>
          <w:rFonts w:ascii="Arial" w:hAnsi="Arial" w:cs="Arial"/>
          <w:i/>
          <w:iCs/>
          <w:lang w:val="es-MX"/>
        </w:rPr>
        <w:t xml:space="preserve">Clasificación de las enfermedades mentales, </w:t>
      </w:r>
      <w:r w:rsidRPr="00261B04">
        <w:rPr>
          <w:rFonts w:ascii="Arial" w:hAnsi="Arial" w:cs="Arial"/>
          <w:lang w:val="es-MX"/>
        </w:rPr>
        <w:t>y</w:t>
      </w:r>
      <w:r w:rsidRPr="00261B04">
        <w:rPr>
          <w:rFonts w:ascii="Arial" w:hAnsi="Arial" w:cs="Arial"/>
          <w:i/>
          <w:iCs/>
          <w:lang w:val="es-MX"/>
        </w:rPr>
        <w:t xml:space="preserve"> </w:t>
      </w:r>
      <w:r w:rsidRPr="00261B04">
        <w:rPr>
          <w:rFonts w:ascii="Arial" w:hAnsi="Arial" w:cs="Arial"/>
          <w:lang w:val="es-MX"/>
        </w:rPr>
        <w:t xml:space="preserve">J. A. Gisbert Calabuig: </w:t>
      </w:r>
      <w:r w:rsidRPr="00261B04">
        <w:rPr>
          <w:rFonts w:ascii="Arial" w:hAnsi="Arial" w:cs="Arial"/>
          <w:i/>
          <w:iCs/>
          <w:lang w:val="es-MX"/>
        </w:rPr>
        <w:t xml:space="preserve">Medicina legal y toxicología, </w:t>
      </w:r>
      <w:r w:rsidRPr="00261B04">
        <w:rPr>
          <w:rFonts w:ascii="Arial" w:hAnsi="Arial" w:cs="Arial"/>
          <w:lang w:val="es-MX"/>
        </w:rPr>
        <w:t>4.ª ed., Masson-Salvat Medicina, 1991, págs. 848-849.</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(10) Véase Cuello Calón-Camargo: </w:t>
      </w:r>
      <w:r w:rsidRPr="00261B04">
        <w:rPr>
          <w:rFonts w:ascii="Arial" w:hAnsi="Arial" w:cs="Arial"/>
          <w:i/>
          <w:iCs/>
          <w:lang w:val="es-MX"/>
        </w:rPr>
        <w:t xml:space="preserve">Derecho Penal, I, Parte general, </w:t>
      </w:r>
      <w:r w:rsidRPr="00261B04">
        <w:rPr>
          <w:rFonts w:ascii="Arial" w:hAnsi="Arial" w:cs="Arial"/>
          <w:lang w:val="es-MX"/>
        </w:rPr>
        <w:t xml:space="preserve">Vol. 2.º, 18ª ed., Bosch, Barcelona, 1981, págs. 509 y ss.; AntÓn Oneca: </w:t>
      </w:r>
      <w:r w:rsidRPr="00261B04">
        <w:rPr>
          <w:rFonts w:ascii="Arial" w:hAnsi="Arial" w:cs="Arial"/>
          <w:i/>
          <w:iCs/>
          <w:lang w:val="es-MX"/>
        </w:rPr>
        <w:t>Derecho Penal. Parte general</w:t>
      </w:r>
      <w:r w:rsidRPr="00261B04">
        <w:rPr>
          <w:rFonts w:ascii="Arial" w:hAnsi="Arial" w:cs="Arial"/>
          <w:lang w:val="es-MX"/>
        </w:rPr>
        <w:t xml:space="preserve">, págs. 294 y ss.; Quintano Ripollés: Curso de Derecho Penal, I, Ed. Rta. de Derecho Privado, Madrid, 1963, págs. 325-326; Rodríguez Devesa-Serrano Gómez: </w:t>
      </w:r>
      <w:r w:rsidRPr="00261B04">
        <w:rPr>
          <w:rFonts w:ascii="Arial" w:hAnsi="Arial" w:cs="Arial"/>
          <w:i/>
          <w:iCs/>
          <w:lang w:val="es-MX"/>
        </w:rPr>
        <w:t>Derecho Penal español. Parte general,</w:t>
      </w:r>
      <w:r w:rsidRPr="00261B04">
        <w:rPr>
          <w:rFonts w:ascii="Arial" w:hAnsi="Arial" w:cs="Arial"/>
          <w:lang w:val="es-MX"/>
        </w:rPr>
        <w:t xml:space="preserve"> págs. 586 y ss. y 594 y ss.; Córdoba Roda, en Córdoba Roda-Rodríguez Mourullo: </w:t>
      </w:r>
      <w:r w:rsidRPr="00261B04">
        <w:rPr>
          <w:rFonts w:ascii="Arial" w:hAnsi="Arial" w:cs="Arial"/>
          <w:i/>
          <w:iCs/>
          <w:lang w:val="es-MX"/>
        </w:rPr>
        <w:t xml:space="preserve">Comentarios al Código Penal, </w:t>
      </w:r>
      <w:r w:rsidRPr="00261B04">
        <w:rPr>
          <w:rFonts w:ascii="Arial" w:hAnsi="Arial" w:cs="Arial"/>
          <w:lang w:val="es-MX"/>
        </w:rPr>
        <w:t xml:space="preserve">I, págs. 212 y ss.; Gimbernat Ordeig: </w:t>
      </w:r>
      <w:r w:rsidRPr="00261B04">
        <w:rPr>
          <w:rFonts w:ascii="Arial" w:hAnsi="Arial" w:cs="Arial"/>
          <w:i/>
          <w:iCs/>
          <w:lang w:val="es-MX"/>
        </w:rPr>
        <w:t xml:space="preserve">Introducción a la Parte General del Derecho Penal español, </w:t>
      </w:r>
      <w:r w:rsidRPr="00261B04">
        <w:rPr>
          <w:rFonts w:ascii="Arial" w:hAnsi="Arial" w:cs="Arial"/>
          <w:lang w:val="es-MX"/>
        </w:rPr>
        <w:t xml:space="preserve">págs. 72-73; Cobo del Rosal-Vives Antón: </w:t>
      </w:r>
      <w:r w:rsidRPr="00261B04">
        <w:rPr>
          <w:rFonts w:ascii="Arial" w:hAnsi="Arial" w:cs="Arial"/>
          <w:i/>
          <w:iCs/>
          <w:lang w:val="es-MX"/>
        </w:rPr>
        <w:t>Derecho Penal. Parte general,</w:t>
      </w:r>
      <w:r w:rsidRPr="00261B04">
        <w:rPr>
          <w:rFonts w:ascii="Arial" w:hAnsi="Arial" w:cs="Arial"/>
          <w:lang w:val="es-MX"/>
        </w:rPr>
        <w:t xml:space="preserve"> págs. 439-440, y Mir Puig: </w:t>
      </w:r>
      <w:r w:rsidRPr="00261B04">
        <w:rPr>
          <w:rFonts w:ascii="Arial" w:hAnsi="Arial" w:cs="Arial"/>
          <w:i/>
          <w:iCs/>
          <w:lang w:val="es-MX"/>
        </w:rPr>
        <w:t xml:space="preserve">Derecho Penal. Parte general, </w:t>
      </w:r>
      <w:r w:rsidRPr="00261B04">
        <w:rPr>
          <w:rFonts w:ascii="Arial" w:hAnsi="Arial" w:cs="Arial"/>
          <w:lang w:val="es-MX"/>
        </w:rPr>
        <w:t>3.ª ed., págs. 604 y ss.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(11) Según la conocida definición de Alberca, se entendía "por psicosis la irrupción de un trastorno mental que ocurre desde dentro del sujeto o por motivos exógenos, prende en un sujeto hasta entonces sano o casi y transforma profundamente hasta las raices de la persona y acarrea un defecto masivo que alcanza, por lo común, a las estructuras nerviosas y a menudo al organismo entero"; véase Román Alberca Lorente: Comentario al n.º 1.º del art. 8.º,</w:t>
      </w:r>
      <w:r w:rsidRPr="00261B04">
        <w:rPr>
          <w:rFonts w:ascii="Arial" w:hAnsi="Arial" w:cs="Arial"/>
          <w:i/>
          <w:iCs/>
          <w:lang w:val="es-MX"/>
        </w:rPr>
        <w:t xml:space="preserve"> </w:t>
      </w:r>
      <w:r w:rsidRPr="00261B04">
        <w:rPr>
          <w:rFonts w:ascii="Arial" w:hAnsi="Arial" w:cs="Arial"/>
          <w:lang w:val="es-MX"/>
        </w:rPr>
        <w:t xml:space="preserve">en los </w:t>
      </w:r>
      <w:r w:rsidRPr="00261B04">
        <w:rPr>
          <w:rFonts w:ascii="Arial" w:hAnsi="Arial" w:cs="Arial"/>
          <w:i/>
          <w:iCs/>
          <w:lang w:val="es-MX"/>
        </w:rPr>
        <w:t>Comentarios al Código Penal</w:t>
      </w:r>
      <w:r w:rsidRPr="00261B04">
        <w:rPr>
          <w:rFonts w:ascii="Arial" w:hAnsi="Arial" w:cs="Arial"/>
          <w:lang w:val="es-MX"/>
        </w:rPr>
        <w:t xml:space="preserve">, de Ferrer Sama, I, Murcia, 1946, pág. 119. Se incluía en las psicosis, por ejemplo, la esquizofrenia, la paranoia, la psicosis maniaco-depresiva, la parálisis general progresiva, la epilepsia, la demencia senil y la psicosis alcohólica. Véase, a este respecto, Alberca, ob. cit., págs. 119 y ss.; López Ibor: </w:t>
      </w:r>
      <w:r w:rsidRPr="00261B04">
        <w:rPr>
          <w:rFonts w:ascii="Arial" w:hAnsi="Arial" w:cs="Arial"/>
          <w:i/>
          <w:iCs/>
          <w:lang w:val="es-MX"/>
        </w:rPr>
        <w:t xml:space="preserve">La responsabilidad penal del enfermo mental, </w:t>
      </w:r>
      <w:r w:rsidRPr="00261B04">
        <w:rPr>
          <w:rFonts w:ascii="Arial" w:hAnsi="Arial" w:cs="Arial"/>
          <w:lang w:val="es-MX"/>
        </w:rPr>
        <w:t xml:space="preserve">págs. 35 y ss.; y J. M.ª Codón e Ignacio López Saiz: </w:t>
      </w:r>
      <w:r w:rsidRPr="00261B04">
        <w:rPr>
          <w:rFonts w:ascii="Arial" w:hAnsi="Arial" w:cs="Arial"/>
          <w:i/>
          <w:iCs/>
          <w:lang w:val="es-MX"/>
        </w:rPr>
        <w:t xml:space="preserve">Psiquiatría jurídica penal y civil, </w:t>
      </w:r>
      <w:r w:rsidRPr="00261B04">
        <w:rPr>
          <w:rFonts w:ascii="Arial" w:hAnsi="Arial" w:cs="Arial"/>
          <w:lang w:val="es-MX"/>
        </w:rPr>
        <w:t>I, 3.ª ed., Aldecoa, Burgos, 1968, págs. 120 y ss. y 243 y ss.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(12) Véase, a este respecto, López Ibor: </w:t>
      </w:r>
      <w:r w:rsidRPr="00261B04">
        <w:rPr>
          <w:rFonts w:ascii="Arial" w:hAnsi="Arial" w:cs="Arial"/>
          <w:i/>
          <w:iCs/>
          <w:lang w:val="es-MX"/>
        </w:rPr>
        <w:t xml:space="preserve">La responsabilidad penal del enfermo mental, </w:t>
      </w:r>
      <w:r w:rsidRPr="00261B04">
        <w:rPr>
          <w:rFonts w:ascii="Arial" w:hAnsi="Arial" w:cs="Arial"/>
          <w:lang w:val="es-MX"/>
        </w:rPr>
        <w:t xml:space="preserve">págs. 16 y ss.; Codón-López Saiz: </w:t>
      </w:r>
      <w:r w:rsidRPr="00261B04">
        <w:rPr>
          <w:rFonts w:ascii="Arial" w:hAnsi="Arial" w:cs="Arial"/>
          <w:i/>
          <w:iCs/>
          <w:lang w:val="es-MX"/>
        </w:rPr>
        <w:t xml:space="preserve">Psiquiatría jurídica penal y civil, </w:t>
      </w:r>
      <w:r w:rsidRPr="00261B04">
        <w:rPr>
          <w:rFonts w:ascii="Arial" w:hAnsi="Arial" w:cs="Arial"/>
          <w:lang w:val="es-MX"/>
        </w:rPr>
        <w:t xml:space="preserve">II, 3.ª ed., Aldecoa, Burgos, 1969, págs. 511 y ss., y Joan B. Mengual i Lull, en J. C. Carbonell Mateu, J. L. Gómez Colomer, y J. B. Mengual i Lull: </w:t>
      </w:r>
      <w:r w:rsidRPr="00261B04">
        <w:rPr>
          <w:rFonts w:ascii="Arial" w:hAnsi="Arial" w:cs="Arial"/>
          <w:i/>
          <w:iCs/>
          <w:lang w:val="es-MX"/>
        </w:rPr>
        <w:t xml:space="preserve">Enfermedad mental y delito. Aspectos psiquiátricos, penales y procesales. </w:t>
      </w:r>
      <w:r w:rsidRPr="00261B04">
        <w:rPr>
          <w:rFonts w:ascii="Arial" w:hAnsi="Arial" w:cs="Arial"/>
          <w:lang w:val="es-MX"/>
        </w:rPr>
        <w:t xml:space="preserve">Cívitas, Madrid, 1987, págs. 243 y ss. Aunque en alguna ocasión el carácter neurótico dio lugar a una exención de responsabilidad criminal </w:t>
      </w:r>
      <w:r w:rsidRPr="00261B04">
        <w:rPr>
          <w:rFonts w:ascii="Arial" w:hAnsi="Arial" w:cs="Arial"/>
          <w:lang w:val="es-MX"/>
        </w:rPr>
        <w:lastRenderedPageBreak/>
        <w:t>por aplicación de la eximente de trastorno mental transitorio; véanse, por ejemplo, las sentencias del Tribunal Supremo de 23 de enero de 1946 y 10 de marzo de 1947.</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(13) Véase, a este respecto, Alberca: Comentario al n.º 1.º del art 8.º, lug. cit., págs. 115 y ss.; López Ibor: </w:t>
      </w:r>
      <w:r w:rsidRPr="00261B04">
        <w:rPr>
          <w:rFonts w:ascii="Arial" w:hAnsi="Arial" w:cs="Arial"/>
          <w:i/>
          <w:iCs/>
          <w:lang w:val="es-MX"/>
        </w:rPr>
        <w:t xml:space="preserve">La responsabilidad penal del enfermo mental, </w:t>
      </w:r>
      <w:r w:rsidRPr="00261B04">
        <w:rPr>
          <w:rFonts w:ascii="Arial" w:hAnsi="Arial" w:cs="Arial"/>
          <w:lang w:val="es-MX"/>
        </w:rPr>
        <w:t xml:space="preserve">págs. 20 y ss., y Codón-López Saiz: </w:t>
      </w:r>
      <w:r w:rsidRPr="00261B04">
        <w:rPr>
          <w:rFonts w:ascii="Arial" w:hAnsi="Arial" w:cs="Arial"/>
          <w:i/>
          <w:iCs/>
          <w:lang w:val="es-MX"/>
        </w:rPr>
        <w:t xml:space="preserve">Psiquiatría jurídica penal y civil, </w:t>
      </w:r>
      <w:r w:rsidRPr="00261B04">
        <w:rPr>
          <w:rFonts w:ascii="Arial" w:hAnsi="Arial" w:cs="Arial"/>
          <w:lang w:val="es-MX"/>
        </w:rPr>
        <w:t>II, págs. 561 y ss.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(14) Véase la sentencia de 27 de febrero de 1936, de la que fue ponente D. José Antón Oneca.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(15) Antón Oneca consideraba que enajenación, "en el lenguaje vulgar, significa alteración de la personalidad -estar fuera de sí-" y "las oligofrenias suponen una personalidad morbosa congénita o adquirida desde la infancia"; véase Antón Oneca: </w:t>
      </w:r>
      <w:r w:rsidRPr="00261B04">
        <w:rPr>
          <w:rFonts w:ascii="Arial" w:hAnsi="Arial" w:cs="Arial"/>
          <w:i/>
          <w:iCs/>
          <w:lang w:val="es-MX"/>
        </w:rPr>
        <w:t xml:space="preserve">Derecho Penal: Parte general, </w:t>
      </w:r>
      <w:r w:rsidRPr="00261B04">
        <w:rPr>
          <w:rFonts w:ascii="Arial" w:hAnsi="Arial" w:cs="Arial"/>
          <w:lang w:val="es-MX"/>
        </w:rPr>
        <w:t xml:space="preserve">pág. 294, y, en el mismo sentido, Mir Puig: </w:t>
      </w:r>
      <w:r w:rsidRPr="00261B04">
        <w:rPr>
          <w:rFonts w:ascii="Arial" w:hAnsi="Arial" w:cs="Arial"/>
          <w:i/>
          <w:iCs/>
          <w:lang w:val="es-MX"/>
        </w:rPr>
        <w:t>Derecho Penal. Parte general</w:t>
      </w:r>
      <w:r w:rsidRPr="00261B04">
        <w:rPr>
          <w:rFonts w:ascii="Arial" w:hAnsi="Arial" w:cs="Arial"/>
          <w:lang w:val="es-MX"/>
        </w:rPr>
        <w:t>, 3.ª ed., págs. 604-605 y 611.</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(16) Véase, en este sentido, Mir Puig: </w:t>
      </w:r>
      <w:r w:rsidRPr="00261B04">
        <w:rPr>
          <w:rFonts w:ascii="Arial" w:hAnsi="Arial" w:cs="Arial"/>
          <w:i/>
          <w:iCs/>
          <w:lang w:val="es-MX"/>
        </w:rPr>
        <w:t>Derecho Penal. Parte general,</w:t>
      </w:r>
      <w:r w:rsidRPr="00261B04">
        <w:rPr>
          <w:rFonts w:ascii="Arial" w:hAnsi="Arial" w:cs="Arial"/>
          <w:lang w:val="es-MX"/>
        </w:rPr>
        <w:t xml:space="preserve"> 3.ª ed., pág. 612.</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(17) Véase,ya, en este sentido, Antón Oneca: </w:t>
      </w:r>
      <w:r w:rsidRPr="00261B04">
        <w:rPr>
          <w:rFonts w:ascii="Arial" w:hAnsi="Arial" w:cs="Arial"/>
          <w:i/>
          <w:iCs/>
          <w:lang w:val="es-MX"/>
        </w:rPr>
        <w:t>Derecho Penal. Parte general,</w:t>
      </w:r>
      <w:r w:rsidRPr="00261B04">
        <w:rPr>
          <w:rFonts w:ascii="Arial" w:hAnsi="Arial" w:cs="Arial"/>
          <w:lang w:val="es-MX"/>
        </w:rPr>
        <w:t xml:space="preserve"> pág. 292, y Torío: </w:t>
      </w:r>
      <w:r w:rsidRPr="00261B04">
        <w:rPr>
          <w:rFonts w:ascii="Arial" w:hAnsi="Arial" w:cs="Arial"/>
          <w:i/>
          <w:iCs/>
          <w:lang w:val="es-MX"/>
        </w:rPr>
        <w:t xml:space="preserve">Las fórmulas legislativas sobre la enfermedad mental, </w:t>
      </w:r>
      <w:r w:rsidRPr="00261B04">
        <w:rPr>
          <w:rFonts w:ascii="Arial" w:hAnsi="Arial" w:cs="Arial"/>
          <w:lang w:val="es-MX"/>
        </w:rPr>
        <w:t>págs. 979-980.</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(18) Véase Torío: </w:t>
      </w:r>
      <w:r w:rsidRPr="00261B04">
        <w:rPr>
          <w:rFonts w:ascii="Arial" w:hAnsi="Arial" w:cs="Arial"/>
          <w:i/>
          <w:iCs/>
          <w:lang w:val="es-MX"/>
        </w:rPr>
        <w:t xml:space="preserve">Las fórmulas legislativas sobre la enfermedad mental, </w:t>
      </w:r>
      <w:r w:rsidRPr="00261B04">
        <w:rPr>
          <w:rFonts w:ascii="Arial" w:hAnsi="Arial" w:cs="Arial"/>
          <w:lang w:val="es-MX"/>
        </w:rPr>
        <w:t>págs. 979-980.</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(19) El retraso mental está incluido en las clasificaciones de las enfermedades mentales de la OMS (CIE 10) y de la Asociación Psiquiátrica americana (DSM IV), pero tiene perfiles propios y su mención expresa sirve a las exigencias de la seguridad jurídica.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(20) Véase CIE 10 (Décima revisión de la clasificación internacional de las enfermedades), </w:t>
      </w:r>
      <w:r w:rsidRPr="00261B04">
        <w:rPr>
          <w:rFonts w:ascii="Arial" w:hAnsi="Arial" w:cs="Arial"/>
          <w:i/>
          <w:iCs/>
          <w:lang w:val="es-MX"/>
        </w:rPr>
        <w:t>Trastornos mentales y del comportamiento. Descripciones clínicas y pautas para el diagnóstico</w:t>
      </w:r>
      <w:r w:rsidRPr="00261B04">
        <w:rPr>
          <w:rFonts w:ascii="Arial" w:hAnsi="Arial" w:cs="Arial"/>
          <w:lang w:val="es-MX"/>
        </w:rPr>
        <w:t>, Meditor, Madrid, 1992.</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(21) DSM IV, </w:t>
      </w:r>
      <w:r w:rsidRPr="00261B04">
        <w:rPr>
          <w:rFonts w:ascii="Arial" w:hAnsi="Arial" w:cs="Arial"/>
          <w:i/>
          <w:iCs/>
          <w:lang w:val="es-MX"/>
        </w:rPr>
        <w:t xml:space="preserve">Manual diagnóstico y estadístico de los trastornos mentales, </w:t>
      </w:r>
      <w:r w:rsidRPr="00261B04">
        <w:rPr>
          <w:rFonts w:ascii="Arial" w:hAnsi="Arial" w:cs="Arial"/>
          <w:lang w:val="es-MX"/>
        </w:rPr>
        <w:t>Masson, Barcelona, 1995.</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(22) Gisbert Calabuig y Sánchez Blanque incluyen la epilepsia en el apartado de los trastornos mentales orgánicos, a pesar de que tanto en la CIE 10 como en la DSM IV, no se incluye a la epilepsia dentro de las enfermedades mentales, por tratarse de una enfermedad neurológica y las manifestaciones epilépticas que van acompañadas o dan lugar a cuadros específicos son objeto de estudio al tratar de diversas enfermedades mentales. A pesar de ello, los autores mencionados señalan que la epilepsia tiene una gran tradición psiquiátrica, sigue siendo objeto de tratamiento por los psiquiatras clínicos y, por otra parte, tiene una gran trascendencia médico legal y en su conocimiento han tenido gran importancia las aportaciones de los médicos forenses y los criminólogos. Véase Gisbert Calabuig y Sánchez Blanque, en J. A. Gisbert Calabuig: </w:t>
      </w:r>
      <w:r w:rsidRPr="00261B04">
        <w:rPr>
          <w:rFonts w:ascii="Arial" w:hAnsi="Arial" w:cs="Arial"/>
          <w:i/>
          <w:iCs/>
          <w:lang w:val="es-MX"/>
        </w:rPr>
        <w:t xml:space="preserve">Medicina legal y toxicología, </w:t>
      </w:r>
      <w:r w:rsidRPr="00261B04">
        <w:rPr>
          <w:rFonts w:ascii="Arial" w:hAnsi="Arial" w:cs="Arial"/>
          <w:lang w:val="es-MX"/>
        </w:rPr>
        <w:t>pág. 887.</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lastRenderedPageBreak/>
        <w:t xml:space="preserve">      (23) Pues en ellos no queda excluida, a mi juicio, la acción, o la omisión, como primer elemento del delito; véase, mi </w:t>
      </w:r>
      <w:r w:rsidRPr="00261B04">
        <w:rPr>
          <w:rFonts w:ascii="Arial" w:hAnsi="Arial" w:cs="Arial"/>
          <w:i/>
          <w:iCs/>
          <w:lang w:val="es-MX"/>
        </w:rPr>
        <w:t>Curso de Derecho Penal Español, Parte General</w:t>
      </w:r>
      <w:r w:rsidRPr="00261B04">
        <w:rPr>
          <w:rFonts w:ascii="Arial" w:hAnsi="Arial" w:cs="Arial"/>
          <w:lang w:val="es-MX"/>
        </w:rPr>
        <w:t>, II. Teoría jurídica del delito /1, 5.ª ed., Tecnos, Madrid, 1997, págs. 64-65.</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(24) Véanse, por ejemplo, las sentencias de 4 de abril y 30 de mayo de 1968, 24 de junio y 25 de septiembre de 1970, 1 de abril de 1971, 11 de julio de 1981, 18 de noviembre de 1986 (Ar. 6973), 5 de abril de 1988 (Ar. 2721), 21 de enero de 1993 (Ar. 283), 8 de marzo de 1993 (Ar. 2376), 15 de junio de 1993 (Ar. 5111), 30 de septiembre de 1993 (Ar. 7023) y 8 de mayo de 1994 (Ar. 3957).</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(25) Véase, a este respecto, Ignacio Muñagorri Laguía: </w:t>
      </w:r>
      <w:r w:rsidRPr="00261B04">
        <w:rPr>
          <w:rFonts w:ascii="Arial" w:hAnsi="Arial" w:cs="Arial"/>
          <w:i/>
          <w:iCs/>
          <w:lang w:val="es-MX"/>
        </w:rPr>
        <w:t xml:space="preserve">Sobre la presencia de la "actio libera in causa" en el art. 8.1 del Código Penal, </w:t>
      </w:r>
      <w:r w:rsidRPr="00261B04">
        <w:rPr>
          <w:rFonts w:ascii="Arial" w:hAnsi="Arial" w:cs="Arial"/>
          <w:lang w:val="es-MX"/>
        </w:rPr>
        <w:t>Anuario de Derecho Penal y Ciencias Penales, 1991, fasc. 2.º, págs. 437 y ss.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(26) Véase mi artículo, </w:t>
      </w:r>
      <w:r w:rsidRPr="00261B04">
        <w:rPr>
          <w:rFonts w:ascii="Arial" w:hAnsi="Arial" w:cs="Arial"/>
          <w:i/>
          <w:iCs/>
          <w:lang w:val="es-MX"/>
        </w:rPr>
        <w:t>El delito como acción culpable,</w:t>
      </w:r>
      <w:r w:rsidRPr="00261B04">
        <w:rPr>
          <w:rFonts w:ascii="Arial" w:hAnsi="Arial" w:cs="Arial"/>
          <w:lang w:val="es-MX"/>
        </w:rPr>
        <w:t xml:space="preserve"> de próxima publicación en el Anuario de Derecho Penal y Ciencias Penales.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(27) Véase, a este respecto, mi </w:t>
      </w:r>
      <w:r w:rsidRPr="00261B04">
        <w:rPr>
          <w:rFonts w:ascii="Arial" w:hAnsi="Arial" w:cs="Arial"/>
          <w:i/>
          <w:iCs/>
          <w:lang w:val="es-MX"/>
        </w:rPr>
        <w:t xml:space="preserve">Curso de Derecho Penal Español, Parte General. </w:t>
      </w:r>
      <w:r w:rsidRPr="00261B04">
        <w:rPr>
          <w:rFonts w:ascii="Arial" w:hAnsi="Arial" w:cs="Arial"/>
          <w:lang w:val="es-MX"/>
        </w:rPr>
        <w:t>Introducción. Teoría jurídica del delito /1, 4.ª ed. Tecnos, Madrid, 1994, pág. 393.</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(28) Véase también, en este sentido, Mir Puig: </w:t>
      </w:r>
      <w:r w:rsidRPr="00261B04">
        <w:rPr>
          <w:rFonts w:ascii="Arial" w:hAnsi="Arial" w:cs="Arial"/>
          <w:i/>
          <w:iCs/>
          <w:lang w:val="es-MX"/>
        </w:rPr>
        <w:t>Derecho Penal. Parte general,</w:t>
      </w:r>
      <w:r w:rsidRPr="00261B04">
        <w:rPr>
          <w:rFonts w:ascii="Arial" w:hAnsi="Arial" w:cs="Arial"/>
          <w:lang w:val="es-MX"/>
        </w:rPr>
        <w:t xml:space="preserve"> 4.ª ed., págs. 595-596.</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(29) Niegan también la existencia de un principio de ejecución en estos casos, Mercedes Alonso Alamo: </w:t>
      </w:r>
      <w:r w:rsidRPr="00261B04">
        <w:rPr>
          <w:rFonts w:ascii="Arial" w:hAnsi="Arial" w:cs="Arial"/>
          <w:i/>
          <w:iCs/>
          <w:lang w:val="es-MX"/>
        </w:rPr>
        <w:t xml:space="preserve">La acción "libera in causa", </w:t>
      </w:r>
      <w:r w:rsidRPr="00261B04">
        <w:rPr>
          <w:rFonts w:ascii="Arial" w:hAnsi="Arial" w:cs="Arial"/>
          <w:lang w:val="es-MX"/>
        </w:rPr>
        <w:t>Anuario de</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Derecho Penal y Ciencias Penales, 1989, fasc. 1.º, págs. 57 y ss. y 82-83 (así como en los supuestos de omisión libre en la causa; págs. 91 y ss.) e Ignacio Muñagorri Laguía: </w:t>
      </w:r>
      <w:r w:rsidRPr="00261B04">
        <w:rPr>
          <w:rFonts w:ascii="Arial" w:hAnsi="Arial" w:cs="Arial"/>
          <w:i/>
          <w:iCs/>
          <w:lang w:val="es-MX"/>
        </w:rPr>
        <w:t xml:space="preserve">Sobre la presencia de la "actio libera in causa" en el art 8.1 del Código Penal, </w:t>
      </w:r>
      <w:r w:rsidRPr="00261B04">
        <w:rPr>
          <w:rFonts w:ascii="Arial" w:hAnsi="Arial" w:cs="Arial"/>
          <w:lang w:val="es-MX"/>
        </w:rPr>
        <w:t xml:space="preserve">págs. 445 y ss. Interpreta también la salvedad en la eximente de trastorno mental transitorio (del n.º 1.º del art. 8.º y en la atenuante de embriaguez del n.º 2.º del art 9.º del viejo Código Penal) de acuerdo con la llamada fórmula de la excepción, Silva Sánchez: </w:t>
      </w:r>
      <w:r w:rsidRPr="00261B04">
        <w:rPr>
          <w:rFonts w:ascii="Arial" w:hAnsi="Arial" w:cs="Arial"/>
          <w:i/>
          <w:iCs/>
          <w:lang w:val="es-MX"/>
        </w:rPr>
        <w:t xml:space="preserve">La embriaguez atenuante y eximente en el delito del art. 340 bis a), </w:t>
      </w:r>
      <w:r w:rsidRPr="00261B04">
        <w:rPr>
          <w:rFonts w:ascii="Arial" w:hAnsi="Arial" w:cs="Arial"/>
          <w:lang w:val="es-MX"/>
        </w:rPr>
        <w:t>1.º (A la vez, algunas observaciones sobre la doctrina de la "actio libera in causa"), en Revista de Derecho de la Circulación, 4/88, págs. 170 y ss y nota 30, pág. 174 (por estimar que no cabría apreciar un principio de ejecución en los delitos de acción dolosos de propia mano o de medios determinados, ni cabría fundamentar una responsabilidad por delito consumado en los supuestos en que pudiera apreciarse un principio de ejecución).</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(30) Véase, en favor de ella, en nuestro país, Cobo del Rosal-Vives Antón: </w:t>
      </w:r>
      <w:r w:rsidRPr="00261B04">
        <w:rPr>
          <w:rFonts w:ascii="Arial" w:hAnsi="Arial" w:cs="Arial"/>
          <w:i/>
          <w:iCs/>
          <w:lang w:val="es-MX"/>
        </w:rPr>
        <w:t xml:space="preserve">Derecho Penal. Parte general, </w:t>
      </w:r>
      <w:r w:rsidRPr="00261B04">
        <w:rPr>
          <w:rFonts w:ascii="Arial" w:hAnsi="Arial" w:cs="Arial"/>
          <w:lang w:val="es-MX"/>
        </w:rPr>
        <w:t xml:space="preserve">pág. 450 y la sentencia del Tribunal Supremo de 14 de abril de 1993 (Ar. 3333) (en un </w:t>
      </w:r>
      <w:r w:rsidRPr="00261B04">
        <w:rPr>
          <w:rFonts w:ascii="Arial" w:hAnsi="Arial" w:cs="Arial"/>
          <w:i/>
          <w:iCs/>
          <w:lang w:val="es-MX"/>
        </w:rPr>
        <w:t xml:space="preserve">obiter dicta), </w:t>
      </w:r>
      <w:r w:rsidRPr="00261B04">
        <w:rPr>
          <w:rFonts w:ascii="Arial" w:hAnsi="Arial" w:cs="Arial"/>
          <w:lang w:val="es-MX"/>
        </w:rPr>
        <w:t xml:space="preserve">de la que fue ponente Enrique Bacigalupo, que establece un paralelismo entre estos supuestos y los de autoría mediata. Pero el autor mediato tampoco realiza, a mi juicio, la acción típica, sino que ésta es llevada a cabo por la persona utilizada como instrumento. Sobre los llamados modelos de la excepción y del tipo, véase </w:t>
      </w:r>
      <w:r w:rsidRPr="00261B04">
        <w:rPr>
          <w:rFonts w:ascii="Arial" w:hAnsi="Arial" w:cs="Arial"/>
          <w:lang w:val="es-MX"/>
        </w:rPr>
        <w:lastRenderedPageBreak/>
        <w:t xml:space="preserve">Jescheck-Weigend, </w:t>
      </w:r>
      <w:r w:rsidRPr="00261B04">
        <w:rPr>
          <w:rFonts w:ascii="Arial" w:hAnsi="Arial" w:cs="Arial"/>
          <w:i/>
          <w:iCs/>
          <w:lang w:val="es-MX"/>
        </w:rPr>
        <w:t>Lehrbuch des Strafrechts, Allgemeiner Teil,</w:t>
      </w:r>
      <w:r w:rsidRPr="00261B04">
        <w:rPr>
          <w:rFonts w:ascii="Arial" w:hAnsi="Arial" w:cs="Arial"/>
          <w:lang w:val="es-MX"/>
        </w:rPr>
        <w:t xml:space="preserve"> 5.ª ed., Duncker Humblot,</w:t>
      </w:r>
      <w:r w:rsidRPr="00261B04">
        <w:rPr>
          <w:rFonts w:ascii="Arial" w:hAnsi="Arial" w:cs="Arial"/>
          <w:b/>
          <w:bCs/>
          <w:lang w:val="es-MX"/>
        </w:rPr>
        <w:t xml:space="preserve"> </w:t>
      </w:r>
      <w:r w:rsidRPr="00261B04">
        <w:rPr>
          <w:rFonts w:ascii="Arial" w:hAnsi="Arial" w:cs="Arial"/>
          <w:lang w:val="es-MX"/>
        </w:rPr>
        <w:t>Berlin, 1996, págs. 445 y ss. (</w:t>
      </w:r>
      <w:r w:rsidRPr="00261B04">
        <w:rPr>
          <w:rFonts w:ascii="Arial" w:hAnsi="Arial" w:cs="Arial"/>
          <w:i/>
          <w:iCs/>
          <w:lang w:val="es-MX"/>
        </w:rPr>
        <w:t>Tratado de Derecho Penal, Parte General</w:t>
      </w:r>
      <w:r w:rsidRPr="00261B04">
        <w:rPr>
          <w:rFonts w:ascii="Arial" w:hAnsi="Arial" w:cs="Arial"/>
          <w:lang w:val="es-MX"/>
        </w:rPr>
        <w:t>, trad. de la 4.ª ed. por J. L. Manzanares Samaniego, Editorial Comares, Granada, 1993, págs. 403 y ss.), que se inclina por el modelo de la excepción y Roxin, Strafrecht, Allgemeiner Teil, I, Grundlagen. Der Aufbau der Verbrechenslehre, 2.ª ed., Verlag C.H. Beck, Munich, 1994, págs. 754 y ss. y Observaciones sobre la "actio libera in causa", Anuario de Derecho Penal y Ciencias Penales, 1988, fasc. 1.º, págs. 21 y ss., que defiende el modelo o solución del tipo.</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(31) Véase Ujala Joshi Jubert: </w:t>
      </w:r>
      <w:r w:rsidRPr="00261B04">
        <w:rPr>
          <w:rFonts w:ascii="Arial" w:hAnsi="Arial" w:cs="Arial"/>
          <w:i/>
          <w:iCs/>
          <w:lang w:val="es-MX"/>
        </w:rPr>
        <w:t>Actio libera in causa y delitos cometidos bajo la influencia de las drogas: Una nueva orientación en la jurisprudencia del Tribunal Supremo</w:t>
      </w:r>
      <w:r w:rsidRPr="00261B04">
        <w:rPr>
          <w:rFonts w:ascii="Arial" w:hAnsi="Arial" w:cs="Arial"/>
          <w:lang w:val="es-MX"/>
        </w:rPr>
        <w:t xml:space="preserve">, La Ley, año XV, n.º 3475, 11 de marzo de 1994, págs. </w:t>
      </w:r>
      <w:r>
        <w:rPr>
          <w:rFonts w:ascii="Arial" w:hAnsi="Arial" w:cs="Arial"/>
        </w:rPr>
        <w:t xml:space="preserve">4-5, </w:t>
      </w:r>
      <w:r>
        <w:rPr>
          <w:rFonts w:ascii="Arial" w:hAnsi="Arial" w:cs="Arial"/>
          <w:i/>
          <w:iCs/>
        </w:rPr>
        <w:t>Actio libera in causa: Ordentliche oder ausserordentliche Zurechnung?, Jahrbuch für Recht und Ethik,</w:t>
      </w:r>
      <w:r>
        <w:rPr>
          <w:rFonts w:ascii="Arial" w:hAnsi="Arial" w:cs="Arial"/>
        </w:rPr>
        <w:t xml:space="preserve"> Band 2, 1994, Duncker-Humblot, Berlín, págs. </w:t>
      </w:r>
      <w:r w:rsidRPr="00261B04">
        <w:rPr>
          <w:rFonts w:ascii="Arial" w:hAnsi="Arial" w:cs="Arial"/>
          <w:lang w:val="es-MX"/>
        </w:rPr>
        <w:t xml:space="preserve">335 y ss. y ya antes, en su magnífica monografía, </w:t>
      </w:r>
      <w:r w:rsidRPr="00261B04">
        <w:rPr>
          <w:rFonts w:ascii="Arial" w:hAnsi="Arial" w:cs="Arial"/>
          <w:i/>
          <w:iCs/>
          <w:lang w:val="es-MX"/>
        </w:rPr>
        <w:t>La doctrina de la "actio libera in causa" en Derecho Penal (Ausencia de acción o inimputabilidad provocadas por el sujeto</w:t>
      </w:r>
      <w:r w:rsidRPr="00261B04">
        <w:rPr>
          <w:rFonts w:ascii="Arial" w:hAnsi="Arial" w:cs="Arial"/>
          <w:lang w:val="es-MX"/>
        </w:rPr>
        <w:t>), J. Mª Bosch Editor S.A., Barcelona, 1992 (véanse especialmente págs. 272 y ss. y 407 y ss.).</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(32) Véase Ujala Joshi Jubert:</w:t>
      </w:r>
      <w:r w:rsidRPr="00261B04">
        <w:rPr>
          <w:rFonts w:ascii="Arial" w:hAnsi="Arial" w:cs="Arial"/>
          <w:i/>
          <w:iCs/>
          <w:lang w:val="es-MX"/>
        </w:rPr>
        <w:t xml:space="preserve"> Actio libera in causa y delitos cometidos bajo la influencia de drogas..., </w:t>
      </w:r>
      <w:r w:rsidRPr="00261B04">
        <w:rPr>
          <w:rFonts w:ascii="Arial" w:hAnsi="Arial" w:cs="Arial"/>
          <w:lang w:val="es-MX"/>
        </w:rPr>
        <w:t>pág. 4.</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(33) Véase ya, en este sentido, Antón Oneca: </w:t>
      </w:r>
      <w:r w:rsidRPr="00261B04">
        <w:rPr>
          <w:rFonts w:ascii="Arial" w:hAnsi="Arial" w:cs="Arial"/>
          <w:i/>
          <w:iCs/>
          <w:lang w:val="es-MX"/>
        </w:rPr>
        <w:t>Derecho Penal. Parte general,</w:t>
      </w:r>
      <w:r w:rsidRPr="00261B04">
        <w:rPr>
          <w:rFonts w:ascii="Arial" w:hAnsi="Arial" w:cs="Arial"/>
          <w:lang w:val="es-MX"/>
        </w:rPr>
        <w:t xml:space="preserve"> pág. 302; Cobo del Rosal-Vives Antón, </w:t>
      </w:r>
      <w:r w:rsidRPr="00261B04">
        <w:rPr>
          <w:rFonts w:ascii="Arial" w:hAnsi="Arial" w:cs="Arial"/>
          <w:i/>
          <w:iCs/>
          <w:lang w:val="es-MX"/>
        </w:rPr>
        <w:t>Derecho Penal. Parte general,</w:t>
      </w:r>
      <w:r w:rsidRPr="00261B04">
        <w:rPr>
          <w:rFonts w:ascii="Arial" w:hAnsi="Arial" w:cs="Arial"/>
          <w:lang w:val="es-MX"/>
        </w:rPr>
        <w:t xml:space="preserve"> págs. 450-451; Mir Puig: </w:t>
      </w:r>
      <w:r w:rsidRPr="00261B04">
        <w:rPr>
          <w:rFonts w:ascii="Arial" w:hAnsi="Arial" w:cs="Arial"/>
          <w:i/>
          <w:iCs/>
          <w:lang w:val="es-MX"/>
        </w:rPr>
        <w:t>Derecho Penal. Parte general</w:t>
      </w:r>
      <w:r w:rsidRPr="00261B04">
        <w:rPr>
          <w:rFonts w:ascii="Arial" w:hAnsi="Arial" w:cs="Arial"/>
          <w:lang w:val="es-MX"/>
        </w:rPr>
        <w:t xml:space="preserve">, 4.ª ed., pág. 596; Muñoz Conde: </w:t>
      </w:r>
      <w:r w:rsidRPr="00261B04">
        <w:rPr>
          <w:rFonts w:ascii="Arial" w:hAnsi="Arial" w:cs="Arial"/>
          <w:i/>
          <w:iCs/>
          <w:lang w:val="es-MX"/>
        </w:rPr>
        <w:t>Teoría general del delito,</w:t>
      </w:r>
      <w:r w:rsidRPr="00261B04">
        <w:rPr>
          <w:rFonts w:ascii="Arial" w:hAnsi="Arial" w:cs="Arial"/>
          <w:lang w:val="es-MX"/>
        </w:rPr>
        <w:t xml:space="preserve"> págs. 140-141; Silva Sánchez: </w:t>
      </w:r>
      <w:r w:rsidRPr="00261B04">
        <w:rPr>
          <w:rFonts w:ascii="Arial" w:hAnsi="Arial" w:cs="Arial"/>
          <w:i/>
          <w:iCs/>
          <w:lang w:val="es-MX"/>
        </w:rPr>
        <w:t xml:space="preserve">La embriaguez atenuante o eximente en el delito del art. 340 bis a), 1.º </w:t>
      </w:r>
      <w:r w:rsidRPr="00261B04">
        <w:rPr>
          <w:rFonts w:ascii="Arial" w:hAnsi="Arial" w:cs="Arial"/>
          <w:lang w:val="es-MX"/>
        </w:rPr>
        <w:t>(A la vez, algunas observaciones sobre la doctrina de la "actio libera in causa"), pág. 171 y las sentencias del Tribunal Supremo de 24 de noviembre de 1949 y 13 de junio de 1978 (Ar. 2394).</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(34) Pues en el nuevo Código Penal rige el principio de la excepcionalidad del castigo de las acciones u omisiones imprudentes (art. 12).</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(35) Véase </w:t>
      </w:r>
      <w:r w:rsidRPr="00261B04">
        <w:rPr>
          <w:rFonts w:ascii="Arial" w:hAnsi="Arial" w:cs="Arial"/>
          <w:i/>
          <w:iCs/>
          <w:lang w:val="es-MX"/>
        </w:rPr>
        <w:t>Curso de Derecho Penal Español, Parte General</w:t>
      </w:r>
      <w:r w:rsidRPr="00261B04">
        <w:rPr>
          <w:rFonts w:ascii="Arial" w:hAnsi="Arial" w:cs="Arial"/>
          <w:lang w:val="es-MX"/>
        </w:rPr>
        <w:t>, II. Teoría jurídica del delito/1, págs. 169 y ss. y 172-173. Será preciso también, por supuesto, en el plano de la culpabilidad, que el sujeto conociera o pudiera conocer cuál era el cuidado objetivamente debido y le fuera exigible su observancia.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(36) Delitos imprudentes de simple actividad son, por ejemplo, el delito de deslealtad profesional del abogado o procurador por imprudencia grave, del párrafo último del art. 467, en relación con la figura delictiva del apartado primero del mismo artículo. En el apartado primero del art. 467 se castiga "al abogado o procurador que, habiendo asesorado o tomado la defensa o representación de alguna persona, sin el consentimiento de ésta defienda o represente en el mismo asunto a quien tenga intereses contrarios". </w:t>
      </w:r>
      <w:r w:rsidRPr="00261B04">
        <w:rPr>
          <w:rFonts w:ascii="Arial" w:hAnsi="Arial" w:cs="Arial"/>
          <w:lang w:val="es-MX"/>
        </w:rPr>
        <w:lastRenderedPageBreak/>
        <w:t>Son también delitos imprudentes de simple actividad los delitos de peligro abstracto de los arts. 359, 360, 364 y 365 realizados por imprudencia grave y sancionados en el art. 367. En los delitos imprudentes de resultado es típica, en cambio, toda acción que infrinja el cuidado objetivamente debido y contribuya causalmente a la producción del resultado delictivo, siempre que el resultado se haya producido precisamente como consecuencia de la inobservancia del cuidado objetivamente debido y sea uno de los que trataba de evitar la norma de cuidado infringida.</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(37) Véase, a este respecto, Díaz Palos:</w:t>
      </w:r>
      <w:r w:rsidRPr="00261B04">
        <w:rPr>
          <w:rFonts w:ascii="Arial" w:hAnsi="Arial" w:cs="Arial"/>
          <w:i/>
          <w:iCs/>
          <w:lang w:val="es-MX"/>
        </w:rPr>
        <w:t xml:space="preserve"> La jurisprudencia penal ante la dogmática jurídica y la política criminal, </w:t>
      </w:r>
      <w:r w:rsidRPr="00261B04">
        <w:rPr>
          <w:rFonts w:ascii="Arial" w:hAnsi="Arial" w:cs="Arial"/>
          <w:lang w:val="es-MX"/>
        </w:rPr>
        <w:t>Colex, Madrid, 1991, pág. 94 y las sentencias del Tribunal Supremo de 10 de febrero y 20 de diciembre de 1949, 6 de febrero de 1951, 5 de noviembre de 1955, 30 de octubre de 1959, 30 de junio de 1961 (Ar. 2690 y 2692), 17 de diciembre de 1963, 2 de diciembre de 1964, 9 de abril, 4, 9 y 14 de noviembre y 9 de diciembre de 1970, 1 de abril, 14 de mayo y 9 de junio de 1971, 17 y 20 de abril de 1972, 16 de febrero de 1993 (Ar. 1144), 22 de febrero de 1993 (Ar. 1390), 30 de abril de 1993 (Ar. 3299), 18 de enero de 1994 (Ar. 75), Auto de 12 de enero de 1994 (Ar. 479), Auto de 2 de febrero de 1994 (Ar. 767), sentencia de 9 de febrero de 1994 (Ar. 682), 14 de septiembre de 1994 (Ar. 7213) y 31 de octubre de 1994 (Ar. 8342).</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(38) Véase, por ejemplo, la sentencia del Tribunal Supremo de 26 de enero de 1984 (Ar. 418).</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(39) Advertido por mis discípulos Mariano Melendo Pardos y Miguel Ángel Boldova Pasamar, en el Seminario de profesores de Derecho Penal de la Universidad de Zaragoza sobre el nuevo Código Penal, realizado en el pasado curso 1995-1996.</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xml:space="preserve">      (40) Sobre la </w:t>
      </w:r>
      <w:r w:rsidRPr="00261B04">
        <w:rPr>
          <w:rFonts w:ascii="Arial" w:hAnsi="Arial" w:cs="Arial"/>
          <w:i/>
          <w:iCs/>
          <w:lang w:val="es-MX"/>
        </w:rPr>
        <w:t xml:space="preserve">actio libera in causa in omittendo, </w:t>
      </w:r>
      <w:r w:rsidRPr="00261B04">
        <w:rPr>
          <w:rFonts w:ascii="Arial" w:hAnsi="Arial" w:cs="Arial"/>
          <w:lang w:val="es-MX"/>
        </w:rPr>
        <w:t xml:space="preserve">véase Silva Sánchez: </w:t>
      </w:r>
      <w:r w:rsidRPr="00261B04">
        <w:rPr>
          <w:rFonts w:ascii="Arial" w:hAnsi="Arial" w:cs="Arial"/>
          <w:i/>
          <w:iCs/>
          <w:lang w:val="es-MX"/>
        </w:rPr>
        <w:t xml:space="preserve">La estructura de la "actio libera in causa" en los delitos cometidos bajo un síndrome de abstinencia de drogas, </w:t>
      </w:r>
      <w:r w:rsidRPr="00261B04">
        <w:rPr>
          <w:rFonts w:ascii="Arial" w:hAnsi="Arial" w:cs="Arial"/>
          <w:lang w:val="es-MX"/>
        </w:rPr>
        <w:t>La Ley, Año IX, núm 1889, 22 de enero de 1988, pág. 4.</w:t>
      </w:r>
    </w:p>
    <w:p w:rsidR="00261B04" w:rsidRPr="00261B04" w:rsidRDefault="00261B04" w:rsidP="00261B04">
      <w:pPr>
        <w:autoSpaceDE w:val="0"/>
        <w:autoSpaceDN w:val="0"/>
        <w:adjustRightInd w:val="0"/>
        <w:spacing w:after="0" w:line="360" w:lineRule="auto"/>
        <w:jc w:val="both"/>
        <w:rPr>
          <w:rFonts w:ascii="Arial" w:hAnsi="Arial" w:cs="Arial"/>
          <w:lang w:val="es-MX"/>
        </w:rPr>
      </w:pPr>
      <w:r w:rsidRPr="00261B04">
        <w:rPr>
          <w:rFonts w:ascii="Arial" w:hAnsi="Arial" w:cs="Arial"/>
          <w:lang w:val="es-MX"/>
        </w:rPr>
        <w:t>      </w:t>
      </w:r>
    </w:p>
    <w:p w:rsidR="00261B04" w:rsidRPr="00261B04" w:rsidRDefault="00261B04" w:rsidP="00261B04">
      <w:pPr>
        <w:autoSpaceDE w:val="0"/>
        <w:autoSpaceDN w:val="0"/>
        <w:adjustRightInd w:val="0"/>
        <w:spacing w:after="0" w:line="360" w:lineRule="auto"/>
        <w:jc w:val="both"/>
        <w:rPr>
          <w:rFonts w:ascii="Arial" w:hAnsi="Arial" w:cs="Arial"/>
          <w:lang w:val="es-MX"/>
        </w:rPr>
      </w:pPr>
    </w:p>
    <w:bookmarkEnd w:id="0"/>
    <w:p w:rsidR="001B75BC" w:rsidRPr="00261B04" w:rsidRDefault="001B75BC" w:rsidP="00261B04">
      <w:pPr>
        <w:spacing w:line="360" w:lineRule="auto"/>
        <w:jc w:val="both"/>
        <w:rPr>
          <w:lang w:val="es-MX"/>
        </w:rPr>
      </w:pPr>
    </w:p>
    <w:sectPr w:rsidR="001B75BC" w:rsidRPr="00261B04" w:rsidSect="006C17EB">
      <w:pgSz w:w="11906" w:h="16838"/>
      <w:pgMar w:top="1440" w:right="180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04"/>
    <w:rsid w:val="001B75BC"/>
    <w:rsid w:val="0026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68FB9-C07E-43EC-B319-35037F83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6390</Words>
  <Characters>36427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Eliecer</dc:creator>
  <cp:keywords/>
  <dc:description/>
  <cp:lastModifiedBy>Eliecer</cp:lastModifiedBy>
  <cp:revision>1</cp:revision>
  <dcterms:created xsi:type="dcterms:W3CDTF">2015-07-16T01:58:00Z</dcterms:created>
  <dcterms:modified xsi:type="dcterms:W3CDTF">2015-07-16T01:58:00Z</dcterms:modified>
</cp:coreProperties>
</file>