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851" w:rsidRDefault="00DD6851" w:rsidP="00DD6851">
      <w:pPr>
        <w:jc w:val="both"/>
        <w:rPr>
          <w:rFonts w:ascii="Arial" w:hAnsi="Arial" w:cs="Arial"/>
          <w:b/>
          <w:sz w:val="22"/>
          <w:szCs w:val="22"/>
        </w:rPr>
      </w:pPr>
      <w:bookmarkStart w:id="0" w:name="_GoBack"/>
      <w:bookmarkEnd w:id="0"/>
    </w:p>
    <w:p w:rsidR="00DD6851" w:rsidRDefault="00DD6851" w:rsidP="00DD6851">
      <w:pPr>
        <w:jc w:val="both"/>
        <w:rPr>
          <w:rFonts w:ascii="Arial" w:hAnsi="Arial" w:cs="Arial"/>
          <w:b/>
          <w:sz w:val="22"/>
          <w:szCs w:val="22"/>
        </w:rPr>
      </w:pPr>
    </w:p>
    <w:p w:rsidR="00DD6851" w:rsidRPr="00DD6851" w:rsidRDefault="00DD6851" w:rsidP="00DD6851">
      <w:pPr>
        <w:jc w:val="both"/>
        <w:rPr>
          <w:rFonts w:ascii="Arial" w:hAnsi="Arial" w:cs="Arial"/>
          <w:b/>
          <w:sz w:val="22"/>
          <w:szCs w:val="22"/>
        </w:rPr>
      </w:pPr>
    </w:p>
    <w:p w:rsidR="00DD6851" w:rsidRPr="00DD6851" w:rsidRDefault="00DD6851" w:rsidP="00DD6851">
      <w:pPr>
        <w:jc w:val="both"/>
        <w:rPr>
          <w:rFonts w:ascii="Arial" w:hAnsi="Arial" w:cs="Arial"/>
          <w:i/>
          <w:sz w:val="32"/>
          <w:szCs w:val="32"/>
        </w:rPr>
      </w:pPr>
      <w:r w:rsidRPr="00DD6851">
        <w:rPr>
          <w:rFonts w:ascii="Arial" w:hAnsi="Arial" w:cs="Arial"/>
          <w:b/>
          <w:sz w:val="32"/>
          <w:szCs w:val="32"/>
        </w:rPr>
        <w:t xml:space="preserve">Asignatura: </w:t>
      </w:r>
      <w:r w:rsidRPr="00DD6851">
        <w:rPr>
          <w:rFonts w:ascii="Arial" w:hAnsi="Arial" w:cs="Arial"/>
          <w:i/>
          <w:sz w:val="32"/>
          <w:szCs w:val="32"/>
        </w:rPr>
        <w:t>Medicina Legal.</w:t>
      </w:r>
    </w:p>
    <w:p w:rsidR="00DD6851" w:rsidRPr="00DD6851" w:rsidRDefault="00DD6851" w:rsidP="00DD6851">
      <w:pPr>
        <w:jc w:val="both"/>
        <w:rPr>
          <w:rFonts w:ascii="Arial" w:hAnsi="Arial" w:cs="Arial"/>
          <w:i/>
          <w:sz w:val="22"/>
          <w:szCs w:val="22"/>
        </w:rPr>
      </w:pPr>
      <w:r w:rsidRPr="00DD6851">
        <w:rPr>
          <w:rFonts w:ascii="Arial" w:hAnsi="Arial" w:cs="Arial"/>
          <w:i/>
          <w:sz w:val="22"/>
          <w:szCs w:val="22"/>
        </w:rPr>
        <w:t>.</w:t>
      </w:r>
    </w:p>
    <w:p w:rsidR="00DD6851" w:rsidRPr="00DD6851" w:rsidRDefault="00DD6851" w:rsidP="00DD6851">
      <w:pPr>
        <w:jc w:val="both"/>
        <w:rPr>
          <w:rFonts w:ascii="Arial" w:hAnsi="Arial" w:cs="Arial"/>
          <w:sz w:val="22"/>
          <w:szCs w:val="22"/>
        </w:rPr>
      </w:pPr>
    </w:p>
    <w:p w:rsidR="00DD6851" w:rsidRPr="00DD6851" w:rsidRDefault="00DD6851" w:rsidP="00DD6851">
      <w:pPr>
        <w:jc w:val="both"/>
        <w:rPr>
          <w:rFonts w:ascii="Arial" w:hAnsi="Arial" w:cs="Arial"/>
          <w:b/>
          <w:sz w:val="22"/>
          <w:szCs w:val="22"/>
        </w:rPr>
      </w:pPr>
      <w:r w:rsidRPr="00DD6851">
        <w:rPr>
          <w:rFonts w:ascii="Arial" w:hAnsi="Arial" w:cs="Arial"/>
          <w:b/>
          <w:sz w:val="22"/>
          <w:szCs w:val="22"/>
        </w:rPr>
        <w:t xml:space="preserve">1. FUNDAMENTACIÓN: </w:t>
      </w:r>
    </w:p>
    <w:p w:rsidR="00DD6851" w:rsidRPr="00DD6851" w:rsidRDefault="00DD6851" w:rsidP="00DD6851">
      <w:pPr>
        <w:jc w:val="both"/>
        <w:rPr>
          <w:rFonts w:ascii="Arial" w:hAnsi="Arial" w:cs="Arial"/>
          <w:sz w:val="22"/>
          <w:szCs w:val="22"/>
          <w:lang w:val="es-ES_tradnl"/>
        </w:rPr>
      </w:pPr>
      <w:r w:rsidRPr="00DD6851">
        <w:rPr>
          <w:rFonts w:ascii="Arial" w:hAnsi="Arial" w:cs="Arial"/>
          <w:sz w:val="22"/>
          <w:szCs w:val="22"/>
          <w:lang w:val="es-ES_tradnl"/>
        </w:rPr>
        <w:t xml:space="preserve">Los contenidos correspondientes a esta asignatura aparecen incorporados en los planes de estudio de la carrera de Derecho desde la época colonial bajo la denominación de “Práctica Forense”; más tarde, durante </w:t>
      </w:r>
      <w:smartTag w:uri="urn:schemas-microsoft-com:office:smarttags" w:element="PersonName">
        <w:smartTagPr>
          <w:attr w:name="ProductID" w:val="la Rep￺blica"/>
        </w:smartTagPr>
        <w:r w:rsidRPr="00DD6851">
          <w:rPr>
            <w:rFonts w:ascii="Arial" w:hAnsi="Arial" w:cs="Arial"/>
            <w:sz w:val="22"/>
            <w:szCs w:val="22"/>
            <w:lang w:val="es-ES_tradnl"/>
          </w:rPr>
          <w:t>la República</w:t>
        </w:r>
      </w:smartTag>
      <w:r w:rsidRPr="00DD6851">
        <w:rPr>
          <w:rFonts w:ascii="Arial" w:hAnsi="Arial" w:cs="Arial"/>
          <w:sz w:val="22"/>
          <w:szCs w:val="22"/>
          <w:lang w:val="es-ES_tradnl"/>
        </w:rPr>
        <w:t xml:space="preserve"> intervenida, fueron agrupados e impartidos en una asignatura que se identificaba como “Antropología Jurídica”.</w:t>
      </w:r>
    </w:p>
    <w:p w:rsidR="00DD6851" w:rsidRPr="00DD6851" w:rsidRDefault="00DD6851" w:rsidP="00DD6851">
      <w:pPr>
        <w:jc w:val="both"/>
        <w:rPr>
          <w:rFonts w:ascii="Arial" w:hAnsi="Arial" w:cs="Arial"/>
          <w:sz w:val="22"/>
          <w:szCs w:val="22"/>
          <w:lang w:val="es-ES_tradnl"/>
        </w:rPr>
      </w:pPr>
      <w:r w:rsidRPr="00DD6851">
        <w:rPr>
          <w:rFonts w:ascii="Arial" w:hAnsi="Arial" w:cs="Arial"/>
          <w:sz w:val="22"/>
          <w:szCs w:val="22"/>
          <w:lang w:val="es-ES_tradnl"/>
        </w:rPr>
        <w:t>Es con posterioridad al proceso revolucionario que adquiere el estatus y nomenclatura actuales dentro del currículo d</w:t>
      </w:r>
      <w:r>
        <w:rPr>
          <w:rFonts w:ascii="Arial" w:hAnsi="Arial" w:cs="Arial"/>
          <w:sz w:val="22"/>
          <w:szCs w:val="22"/>
          <w:lang w:val="es-ES_tradnl"/>
        </w:rPr>
        <w:t xml:space="preserve">e esta especialidad, es decir, </w:t>
      </w:r>
      <w:r w:rsidRPr="00DD6851">
        <w:rPr>
          <w:rFonts w:ascii="Arial" w:hAnsi="Arial" w:cs="Arial"/>
          <w:sz w:val="22"/>
          <w:szCs w:val="22"/>
          <w:lang w:val="es-ES_tradnl"/>
        </w:rPr>
        <w:t>que pasa a ser una asignatura independiente bajo la rúbrica correcta de Medicina Legal.</w:t>
      </w:r>
    </w:p>
    <w:p w:rsidR="00DD6851" w:rsidRPr="00DD6851" w:rsidRDefault="00DD6851" w:rsidP="00DD6851">
      <w:pPr>
        <w:jc w:val="both"/>
        <w:rPr>
          <w:rFonts w:ascii="Arial" w:hAnsi="Arial" w:cs="Arial"/>
          <w:sz w:val="22"/>
          <w:szCs w:val="22"/>
          <w:lang w:val="es-ES_tradnl"/>
        </w:rPr>
      </w:pPr>
      <w:r w:rsidRPr="00DD6851">
        <w:rPr>
          <w:rFonts w:ascii="Arial" w:hAnsi="Arial" w:cs="Arial"/>
          <w:sz w:val="22"/>
          <w:szCs w:val="22"/>
          <w:lang w:val="es-ES_tradnl"/>
        </w:rPr>
        <w:t xml:space="preserve">Su objeto de estudio es amplio, complejo y polimorfo, pues son muy variadas las áreas del saber humano en las que se apoya, tanto en la propia medicina y en el mismo conocimiento jurídico, como en otras ciencias (química, física, biología, </w:t>
      </w:r>
      <w:proofErr w:type="spellStart"/>
      <w:r w:rsidRPr="00DD6851">
        <w:rPr>
          <w:rFonts w:ascii="Arial" w:hAnsi="Arial" w:cs="Arial"/>
          <w:sz w:val="22"/>
          <w:szCs w:val="22"/>
          <w:lang w:val="es-ES_tradnl"/>
        </w:rPr>
        <w:t>etc</w:t>
      </w:r>
      <w:proofErr w:type="spellEnd"/>
      <w:r w:rsidRPr="00DD6851">
        <w:rPr>
          <w:rFonts w:ascii="Arial" w:hAnsi="Arial" w:cs="Arial"/>
          <w:sz w:val="22"/>
          <w:szCs w:val="22"/>
          <w:lang w:val="es-ES_tradnl"/>
        </w:rPr>
        <w:t xml:space="preserve">). </w:t>
      </w:r>
    </w:p>
    <w:p w:rsidR="00DD6851" w:rsidRPr="00DD6851" w:rsidRDefault="00DD6851" w:rsidP="00DD6851">
      <w:pPr>
        <w:jc w:val="both"/>
        <w:rPr>
          <w:rFonts w:ascii="Arial" w:hAnsi="Arial" w:cs="Arial"/>
          <w:sz w:val="22"/>
          <w:szCs w:val="22"/>
          <w:lang w:val="es-ES_tradnl"/>
        </w:rPr>
      </w:pPr>
      <w:r w:rsidRPr="00DD6851">
        <w:rPr>
          <w:rFonts w:ascii="Arial" w:hAnsi="Arial" w:cs="Arial"/>
          <w:sz w:val="22"/>
          <w:szCs w:val="22"/>
          <w:lang w:val="es-ES_tradnl"/>
        </w:rPr>
        <w:t>La necesidad de su inclusión en el currículo básico de la carrera de Derecho está avalada por lo ineludible que resulta la peritación médico legal para esclarecer, explicar y determinar en muchos casos las responsabilidades legales correspondientes. Por eso, si bien no se persigue con ella formar las habilidades de un profesional que desempeñe estas funciones, si es menester que los estudiantes dominen por qué y cuándo se requiere de la intervención de éste.</w:t>
      </w:r>
    </w:p>
    <w:p w:rsidR="00DD6851" w:rsidRPr="00DD6851" w:rsidRDefault="00DD6851" w:rsidP="00DD6851">
      <w:pPr>
        <w:jc w:val="both"/>
        <w:rPr>
          <w:rFonts w:ascii="Arial" w:hAnsi="Arial" w:cs="Arial"/>
          <w:sz w:val="22"/>
          <w:szCs w:val="22"/>
          <w:lang w:val="es-ES_tradnl"/>
        </w:rPr>
      </w:pPr>
      <w:r w:rsidRPr="00DD6851">
        <w:rPr>
          <w:rFonts w:ascii="Arial" w:hAnsi="Arial" w:cs="Arial"/>
          <w:sz w:val="22"/>
          <w:szCs w:val="22"/>
          <w:lang w:val="es-ES_tradnl"/>
        </w:rPr>
        <w:t>La diversidad y amplitud de sus fines desborda el estrecho marco del campo de acción de la jurisdicción penal. Dictámenes de esta naturaleza se requieren lo mismo para determinar las causas de la muerte en un delito de homicidio, que para resolver sobre la capacidad legal de una persona en un proceso sucesorio o para precisar la edad en una reclamación de jubilación por vejez en un asunto de seguridad social. No obstante, por su mayor vincula</w:t>
      </w:r>
      <w:r w:rsidR="00FA62FF">
        <w:rPr>
          <w:rFonts w:ascii="Arial" w:hAnsi="Arial" w:cs="Arial"/>
          <w:sz w:val="22"/>
          <w:szCs w:val="22"/>
          <w:lang w:val="es-ES_tradnl"/>
        </w:rPr>
        <w:t xml:space="preserve">ción en términos cuantitativos </w:t>
      </w:r>
      <w:r w:rsidRPr="00DD6851">
        <w:rPr>
          <w:rFonts w:ascii="Arial" w:hAnsi="Arial" w:cs="Arial"/>
          <w:sz w:val="22"/>
          <w:szCs w:val="22"/>
          <w:lang w:val="es-ES_tradnl"/>
        </w:rPr>
        <w:t xml:space="preserve">en la investigación y solución de conflictos delictivos, se ha entendido conveniente su ubicación en </w:t>
      </w:r>
      <w:smartTag w:uri="urn:schemas-microsoft-com:office:smarttags" w:element="PersonName">
        <w:smartTagPr>
          <w:attr w:name="ProductID" w:val="la Disciplina Ciencias"/>
        </w:smartTagPr>
        <w:smartTag w:uri="urn:schemas-microsoft-com:office:smarttags" w:element="PersonName">
          <w:smartTagPr>
            <w:attr w:name="ProductID" w:val="la Disciplina"/>
          </w:smartTagPr>
          <w:r w:rsidRPr="00DD6851">
            <w:rPr>
              <w:rFonts w:ascii="Arial" w:hAnsi="Arial" w:cs="Arial"/>
              <w:sz w:val="22"/>
              <w:szCs w:val="22"/>
              <w:lang w:val="es-ES_tradnl"/>
            </w:rPr>
            <w:t>la Disciplina</w:t>
          </w:r>
        </w:smartTag>
        <w:r w:rsidRPr="00DD6851">
          <w:rPr>
            <w:rFonts w:ascii="Arial" w:hAnsi="Arial" w:cs="Arial"/>
            <w:sz w:val="22"/>
            <w:szCs w:val="22"/>
            <w:lang w:val="es-ES_tradnl"/>
          </w:rPr>
          <w:t xml:space="preserve"> Ciencias</w:t>
        </w:r>
      </w:smartTag>
      <w:r w:rsidRPr="00DD6851">
        <w:rPr>
          <w:rFonts w:ascii="Arial" w:hAnsi="Arial" w:cs="Arial"/>
          <w:sz w:val="22"/>
          <w:szCs w:val="22"/>
          <w:lang w:val="es-ES_tradnl"/>
        </w:rPr>
        <w:t xml:space="preserve"> Penales y Criminológicas.</w:t>
      </w:r>
    </w:p>
    <w:p w:rsidR="00DD6851" w:rsidRPr="00DD6851" w:rsidRDefault="00DD6851" w:rsidP="00DD6851">
      <w:pPr>
        <w:jc w:val="both"/>
        <w:rPr>
          <w:rFonts w:ascii="Arial" w:hAnsi="Arial" w:cs="Arial"/>
          <w:b/>
          <w:sz w:val="22"/>
          <w:szCs w:val="22"/>
          <w:lang w:val="es-ES_tradnl"/>
        </w:rPr>
      </w:pPr>
    </w:p>
    <w:p w:rsidR="00DD6851" w:rsidRPr="00DD6851" w:rsidRDefault="00DD6851" w:rsidP="00DD6851">
      <w:pPr>
        <w:jc w:val="both"/>
        <w:rPr>
          <w:rFonts w:ascii="Arial" w:hAnsi="Arial" w:cs="Arial"/>
          <w:b/>
          <w:sz w:val="22"/>
          <w:szCs w:val="22"/>
          <w:lang w:val="es-ES_tradnl"/>
        </w:rPr>
      </w:pPr>
    </w:p>
    <w:p w:rsidR="00DD6851" w:rsidRPr="00DD6851" w:rsidRDefault="00DD6851" w:rsidP="00DD6851">
      <w:pPr>
        <w:jc w:val="both"/>
        <w:rPr>
          <w:rFonts w:ascii="Arial" w:hAnsi="Arial" w:cs="Arial"/>
          <w:b/>
          <w:sz w:val="22"/>
          <w:szCs w:val="22"/>
        </w:rPr>
      </w:pPr>
      <w:r w:rsidRPr="00DD6851">
        <w:rPr>
          <w:rFonts w:ascii="Arial" w:hAnsi="Arial" w:cs="Arial"/>
          <w:b/>
          <w:sz w:val="22"/>
          <w:szCs w:val="22"/>
        </w:rPr>
        <w:t>2. OBJETIVO GENERAL:</w:t>
      </w:r>
    </w:p>
    <w:p w:rsidR="00DD6851" w:rsidRPr="00DD6851" w:rsidRDefault="00DD6851" w:rsidP="00DD6851">
      <w:pPr>
        <w:tabs>
          <w:tab w:val="num" w:pos="540"/>
        </w:tabs>
        <w:jc w:val="both"/>
        <w:rPr>
          <w:rFonts w:ascii="Arial" w:hAnsi="Arial" w:cs="Arial"/>
          <w:sz w:val="22"/>
          <w:szCs w:val="22"/>
        </w:rPr>
      </w:pPr>
      <w:r w:rsidRPr="00DD6851">
        <w:rPr>
          <w:rFonts w:ascii="Arial" w:hAnsi="Arial" w:cs="Arial"/>
          <w:sz w:val="22"/>
          <w:szCs w:val="22"/>
        </w:rPr>
        <w:t xml:space="preserve">Dominar las distintas situaciones en que procede reclamar la intervención de la medicina legal, así como su alcance y terminología, de modo que permita evaluar su procedencia como medio de prueba en los procesos judiciales e interpretar </w:t>
      </w:r>
      <w:r w:rsidRPr="00DD6851">
        <w:rPr>
          <w:rFonts w:ascii="Arial" w:eastAsia="MS Mincho" w:hAnsi="Arial" w:cs="Arial"/>
          <w:sz w:val="22"/>
          <w:szCs w:val="22"/>
        </w:rPr>
        <w:t xml:space="preserve">cualquier informe pericial médico legal o documentos médicos de interés, conscientes de su función en </w:t>
      </w:r>
      <w:r w:rsidRPr="00DD6851">
        <w:rPr>
          <w:rFonts w:ascii="Arial" w:hAnsi="Arial" w:cs="Arial"/>
          <w:sz w:val="22"/>
          <w:szCs w:val="22"/>
        </w:rPr>
        <w:t>la erradicación de la criminalidad y en el desarrollo de la justicia social.</w:t>
      </w:r>
    </w:p>
    <w:p w:rsidR="00DD6851" w:rsidRPr="00DD6851" w:rsidRDefault="00DD6851" w:rsidP="00DD6851">
      <w:pPr>
        <w:jc w:val="both"/>
        <w:rPr>
          <w:rFonts w:ascii="Arial" w:hAnsi="Arial" w:cs="Arial"/>
          <w:sz w:val="22"/>
          <w:szCs w:val="22"/>
        </w:rPr>
      </w:pPr>
    </w:p>
    <w:p w:rsidR="00DD6851" w:rsidRPr="00DD6851" w:rsidRDefault="00DD6851" w:rsidP="00DD6851">
      <w:pPr>
        <w:jc w:val="both"/>
        <w:rPr>
          <w:rFonts w:ascii="Arial" w:hAnsi="Arial" w:cs="Arial"/>
          <w:b/>
          <w:sz w:val="22"/>
          <w:szCs w:val="22"/>
        </w:rPr>
      </w:pPr>
      <w:r w:rsidRPr="00DD6851">
        <w:rPr>
          <w:rFonts w:ascii="Arial" w:hAnsi="Arial" w:cs="Arial"/>
          <w:b/>
          <w:sz w:val="22"/>
          <w:szCs w:val="22"/>
        </w:rPr>
        <w:t>3. CONTENIDOS</w:t>
      </w:r>
    </w:p>
    <w:p w:rsidR="00DD6851" w:rsidRPr="00DD6851" w:rsidRDefault="00DD6851" w:rsidP="00DD6851">
      <w:pPr>
        <w:jc w:val="both"/>
        <w:rPr>
          <w:rFonts w:ascii="Arial" w:hAnsi="Arial" w:cs="Arial"/>
          <w:b/>
          <w:sz w:val="22"/>
          <w:szCs w:val="22"/>
          <w:u w:val="single"/>
        </w:rPr>
      </w:pPr>
    </w:p>
    <w:p w:rsidR="00DD6851" w:rsidRPr="00DD6851" w:rsidRDefault="00DD6851" w:rsidP="00DD6851">
      <w:pPr>
        <w:jc w:val="both"/>
        <w:rPr>
          <w:rFonts w:ascii="Arial" w:hAnsi="Arial" w:cs="Arial"/>
          <w:b/>
          <w:sz w:val="22"/>
          <w:szCs w:val="22"/>
        </w:rPr>
      </w:pPr>
      <w:r w:rsidRPr="00DD6851">
        <w:rPr>
          <w:rFonts w:ascii="Arial" w:hAnsi="Arial" w:cs="Arial"/>
          <w:b/>
          <w:sz w:val="22"/>
          <w:szCs w:val="22"/>
        </w:rPr>
        <w:t>3.1. SISTEMA DE CONOCIMIENTOS:</w:t>
      </w:r>
    </w:p>
    <w:p w:rsidR="00DD6851" w:rsidRPr="00DD6851" w:rsidRDefault="00DD6851" w:rsidP="00DD6851">
      <w:pPr>
        <w:numPr>
          <w:ilvl w:val="0"/>
          <w:numId w:val="2"/>
        </w:numPr>
        <w:jc w:val="both"/>
        <w:rPr>
          <w:rFonts w:ascii="Arial" w:hAnsi="Arial" w:cs="Arial"/>
          <w:b/>
          <w:sz w:val="22"/>
          <w:szCs w:val="22"/>
        </w:rPr>
      </w:pPr>
      <w:r w:rsidRPr="00DD6851">
        <w:rPr>
          <w:rFonts w:ascii="Arial" w:hAnsi="Arial" w:cs="Arial"/>
          <w:sz w:val="22"/>
          <w:szCs w:val="22"/>
        </w:rPr>
        <w:t>Nociones de anatomía humana. Regiones anatómicas. Terminología médica de uso más frecue</w:t>
      </w:r>
      <w:r>
        <w:rPr>
          <w:rFonts w:ascii="Arial" w:hAnsi="Arial" w:cs="Arial"/>
          <w:sz w:val="22"/>
          <w:szCs w:val="22"/>
        </w:rPr>
        <w:t xml:space="preserve">nte en los informes periciales </w:t>
      </w:r>
      <w:r w:rsidRPr="00DD6851">
        <w:rPr>
          <w:rFonts w:ascii="Arial" w:hAnsi="Arial" w:cs="Arial"/>
          <w:sz w:val="22"/>
          <w:szCs w:val="22"/>
        </w:rPr>
        <w:t>médico-legales.</w:t>
      </w:r>
    </w:p>
    <w:p w:rsidR="00DD6851" w:rsidRPr="00DD6851" w:rsidRDefault="00DD6851" w:rsidP="00DD6851">
      <w:pPr>
        <w:numPr>
          <w:ilvl w:val="0"/>
          <w:numId w:val="2"/>
        </w:numPr>
        <w:jc w:val="both"/>
        <w:rPr>
          <w:rFonts w:ascii="Arial" w:hAnsi="Arial" w:cs="Arial"/>
          <w:b/>
          <w:sz w:val="22"/>
          <w:szCs w:val="22"/>
        </w:rPr>
      </w:pPr>
      <w:r w:rsidRPr="00DD6851">
        <w:rPr>
          <w:rFonts w:ascii="Arial" w:hAnsi="Arial" w:cs="Arial"/>
          <w:sz w:val="22"/>
          <w:szCs w:val="22"/>
        </w:rPr>
        <w:t>Actuaciones médico-legales con personas y con cadáveres. Los informes periciales médico-legales en las distintas esferas jurídicas.</w:t>
      </w:r>
    </w:p>
    <w:p w:rsidR="00DD6851" w:rsidRPr="00DD6851" w:rsidRDefault="00DD6851" w:rsidP="00DD6851">
      <w:pPr>
        <w:jc w:val="both"/>
        <w:rPr>
          <w:rFonts w:ascii="Arial" w:hAnsi="Arial" w:cs="Arial"/>
          <w:sz w:val="22"/>
          <w:szCs w:val="22"/>
        </w:rPr>
      </w:pPr>
    </w:p>
    <w:p w:rsidR="00DD6851" w:rsidRPr="00DD6851" w:rsidRDefault="00DD6851" w:rsidP="00DD6851">
      <w:pPr>
        <w:jc w:val="both"/>
        <w:rPr>
          <w:rFonts w:ascii="Arial" w:hAnsi="Arial" w:cs="Arial"/>
          <w:b/>
          <w:sz w:val="22"/>
          <w:szCs w:val="22"/>
        </w:rPr>
      </w:pPr>
      <w:r w:rsidRPr="00DD6851">
        <w:rPr>
          <w:rFonts w:ascii="Arial" w:hAnsi="Arial" w:cs="Arial"/>
          <w:b/>
          <w:sz w:val="22"/>
          <w:szCs w:val="22"/>
        </w:rPr>
        <w:t>3.2. SISTEMA DE HABILIDADES:</w:t>
      </w:r>
    </w:p>
    <w:p w:rsidR="00DD6851" w:rsidRPr="00DD6851" w:rsidRDefault="00DD6851" w:rsidP="00DD6851">
      <w:pPr>
        <w:pStyle w:val="Textosinformato"/>
        <w:numPr>
          <w:ilvl w:val="0"/>
          <w:numId w:val="3"/>
        </w:numPr>
        <w:tabs>
          <w:tab w:val="clear" w:pos="720"/>
          <w:tab w:val="num" w:pos="360"/>
        </w:tabs>
        <w:ind w:left="360"/>
        <w:jc w:val="both"/>
        <w:rPr>
          <w:rFonts w:ascii="Arial" w:eastAsia="MS Mincho" w:hAnsi="Arial" w:cs="Arial"/>
          <w:sz w:val="22"/>
          <w:szCs w:val="22"/>
        </w:rPr>
      </w:pPr>
      <w:r w:rsidRPr="00DD6851">
        <w:rPr>
          <w:rFonts w:ascii="Arial" w:eastAsia="MS Mincho" w:hAnsi="Arial" w:cs="Arial"/>
          <w:sz w:val="22"/>
          <w:szCs w:val="22"/>
        </w:rPr>
        <w:t>Desarrollar en los alumnos la capacidad de análisis que les permita dominar cuándo y cómo se solicitan las diversas actuaciones médico legales.</w:t>
      </w:r>
    </w:p>
    <w:p w:rsidR="00DD6851" w:rsidRPr="00DD6851" w:rsidRDefault="00DD6851" w:rsidP="00DD6851">
      <w:pPr>
        <w:pStyle w:val="Textosinformato"/>
        <w:numPr>
          <w:ilvl w:val="0"/>
          <w:numId w:val="3"/>
        </w:numPr>
        <w:tabs>
          <w:tab w:val="clear" w:pos="720"/>
          <w:tab w:val="num" w:pos="360"/>
        </w:tabs>
        <w:ind w:left="360"/>
        <w:jc w:val="both"/>
        <w:rPr>
          <w:rFonts w:ascii="Arial" w:eastAsia="MS Mincho" w:hAnsi="Arial" w:cs="Arial"/>
          <w:sz w:val="22"/>
          <w:szCs w:val="22"/>
        </w:rPr>
      </w:pPr>
      <w:r w:rsidRPr="00DD6851">
        <w:rPr>
          <w:rFonts w:ascii="Arial" w:eastAsia="MS Mincho" w:hAnsi="Arial" w:cs="Arial"/>
          <w:sz w:val="22"/>
          <w:szCs w:val="22"/>
        </w:rPr>
        <w:lastRenderedPageBreak/>
        <w:t xml:space="preserve">Interpretar cualquier informe pericial médico legal o documentos médicos de interés de los órganos de Instrucción, Fiscalía y administración de justicia cuyas solicitudes y peritajes pueden incluir conocimientos de las múltiples áreas de </w:t>
      </w:r>
      <w:smartTag w:uri="urn:schemas-microsoft-com:office:smarttags" w:element="PersonName">
        <w:smartTagPr>
          <w:attr w:name="ProductID" w:val="la Medicina Legal."/>
        </w:smartTagPr>
        <w:r w:rsidRPr="00DD6851">
          <w:rPr>
            <w:rFonts w:ascii="Arial" w:eastAsia="MS Mincho" w:hAnsi="Arial" w:cs="Arial"/>
            <w:sz w:val="22"/>
            <w:szCs w:val="22"/>
          </w:rPr>
          <w:t>la Medicina Legal.</w:t>
        </w:r>
      </w:smartTag>
      <w:r w:rsidRPr="00DD6851">
        <w:rPr>
          <w:rFonts w:ascii="Arial" w:eastAsia="MS Mincho" w:hAnsi="Arial" w:cs="Arial"/>
          <w:sz w:val="22"/>
          <w:szCs w:val="22"/>
        </w:rPr>
        <w:t xml:space="preserve"> </w:t>
      </w:r>
    </w:p>
    <w:p w:rsidR="00DD6851" w:rsidRPr="00DD6851" w:rsidRDefault="00DD6851" w:rsidP="00DD6851">
      <w:pPr>
        <w:pStyle w:val="Textosinformato"/>
        <w:numPr>
          <w:ilvl w:val="0"/>
          <w:numId w:val="3"/>
        </w:numPr>
        <w:tabs>
          <w:tab w:val="clear" w:pos="720"/>
          <w:tab w:val="num" w:pos="360"/>
        </w:tabs>
        <w:ind w:left="360"/>
        <w:jc w:val="both"/>
        <w:rPr>
          <w:rFonts w:ascii="Arial" w:eastAsia="MS Mincho" w:hAnsi="Arial" w:cs="Arial"/>
          <w:sz w:val="22"/>
          <w:szCs w:val="22"/>
        </w:rPr>
      </w:pPr>
      <w:r w:rsidRPr="00DD6851">
        <w:rPr>
          <w:rFonts w:ascii="Arial" w:eastAsia="MS Mincho" w:hAnsi="Arial" w:cs="Arial"/>
          <w:sz w:val="22"/>
          <w:szCs w:val="22"/>
        </w:rPr>
        <w:t>Expresarse adecuadamente de forma verbal o escrita al referirse a las actuaciones médico legales.</w:t>
      </w:r>
    </w:p>
    <w:p w:rsidR="00DD6851" w:rsidRPr="00DD6851" w:rsidRDefault="00DD6851" w:rsidP="00DD6851">
      <w:pPr>
        <w:pStyle w:val="Textosinformato"/>
        <w:jc w:val="both"/>
        <w:rPr>
          <w:rFonts w:ascii="Arial" w:eastAsia="MS Mincho" w:hAnsi="Arial" w:cs="Arial"/>
          <w:sz w:val="22"/>
          <w:szCs w:val="22"/>
        </w:rPr>
      </w:pPr>
    </w:p>
    <w:p w:rsidR="00DD6851" w:rsidRPr="00DD6851" w:rsidRDefault="00DD6851" w:rsidP="00DD6851">
      <w:pPr>
        <w:pStyle w:val="Textosinformato"/>
        <w:jc w:val="both"/>
        <w:rPr>
          <w:rFonts w:ascii="Arial" w:eastAsia="MS Mincho" w:hAnsi="Arial" w:cs="Arial"/>
          <w:sz w:val="22"/>
          <w:szCs w:val="22"/>
        </w:rPr>
      </w:pPr>
    </w:p>
    <w:p w:rsidR="00DD6851" w:rsidRPr="00DD6851" w:rsidRDefault="00DD6851" w:rsidP="00DD6851">
      <w:pPr>
        <w:jc w:val="both"/>
        <w:rPr>
          <w:rFonts w:ascii="Arial" w:hAnsi="Arial" w:cs="Arial"/>
          <w:b/>
          <w:sz w:val="22"/>
          <w:szCs w:val="22"/>
        </w:rPr>
      </w:pPr>
      <w:r w:rsidRPr="00DD6851">
        <w:rPr>
          <w:rFonts w:ascii="Arial" w:hAnsi="Arial" w:cs="Arial"/>
          <w:b/>
          <w:sz w:val="22"/>
          <w:szCs w:val="22"/>
        </w:rPr>
        <w:t xml:space="preserve">3.3. SISTEMA DE VALORES: </w:t>
      </w:r>
    </w:p>
    <w:p w:rsidR="00DD6851" w:rsidRPr="00DD6851" w:rsidRDefault="00DD6851" w:rsidP="00DD6851">
      <w:pPr>
        <w:ind w:right="18"/>
        <w:jc w:val="both"/>
        <w:rPr>
          <w:rFonts w:ascii="Arial" w:hAnsi="Arial" w:cs="Arial"/>
          <w:b/>
          <w:sz w:val="22"/>
          <w:szCs w:val="22"/>
          <w:u w:val="single"/>
        </w:rPr>
      </w:pPr>
      <w:r w:rsidRPr="00DD6851">
        <w:rPr>
          <w:rFonts w:ascii="Arial" w:hAnsi="Arial" w:cs="Arial"/>
          <w:sz w:val="22"/>
          <w:szCs w:val="22"/>
        </w:rPr>
        <w:t xml:space="preserve">La asignatura contribuirá a formar los siguientes valores profesionales del Licenciado en Derecho declarados por </w:t>
      </w:r>
      <w:smartTag w:uri="urn:schemas-microsoft-com:office:smarttags" w:element="PersonName">
        <w:smartTagPr>
          <w:attr w:name="ProductID" w:val="la Disciplina"/>
        </w:smartTagPr>
        <w:r w:rsidRPr="00DD6851">
          <w:rPr>
            <w:rFonts w:ascii="Arial" w:hAnsi="Arial" w:cs="Arial"/>
            <w:sz w:val="22"/>
            <w:szCs w:val="22"/>
          </w:rPr>
          <w:t>la Disciplina</w:t>
        </w:r>
      </w:smartTag>
      <w:r w:rsidRPr="00DD6851">
        <w:rPr>
          <w:rFonts w:ascii="Arial" w:hAnsi="Arial" w:cs="Arial"/>
          <w:sz w:val="22"/>
          <w:szCs w:val="22"/>
        </w:rPr>
        <w:t xml:space="preserve">: la equidad, la justicia, la igualdad social, la ética, el patriotismo, el compromiso político con la revolución, el humanismo, el antiimperialismo, la independencia, la honestidad, la responsabilidad profesional y el respeto al medio ambiente. </w:t>
      </w:r>
    </w:p>
    <w:p w:rsidR="00DD6851" w:rsidRPr="00DD6851" w:rsidRDefault="00DD6851" w:rsidP="00DD6851">
      <w:pPr>
        <w:jc w:val="both"/>
        <w:rPr>
          <w:rFonts w:ascii="Arial" w:hAnsi="Arial" w:cs="Arial"/>
          <w:b/>
          <w:sz w:val="22"/>
          <w:szCs w:val="22"/>
        </w:rPr>
      </w:pPr>
    </w:p>
    <w:p w:rsidR="00DD6851" w:rsidRPr="00DD6851" w:rsidRDefault="00DD6851" w:rsidP="00DD6851">
      <w:pPr>
        <w:jc w:val="both"/>
        <w:rPr>
          <w:rFonts w:ascii="Arial" w:hAnsi="Arial" w:cs="Arial"/>
          <w:b/>
          <w:sz w:val="22"/>
          <w:szCs w:val="22"/>
        </w:rPr>
      </w:pPr>
      <w:r w:rsidRPr="00DD6851">
        <w:rPr>
          <w:rFonts w:ascii="Arial" w:hAnsi="Arial" w:cs="Arial"/>
          <w:b/>
          <w:sz w:val="22"/>
          <w:szCs w:val="22"/>
        </w:rPr>
        <w:t>4. INDICACIONES METODOLOGICAS</w:t>
      </w:r>
    </w:p>
    <w:p w:rsidR="00DD6851" w:rsidRPr="00DD6851" w:rsidRDefault="00DD6851" w:rsidP="00DD6851">
      <w:pPr>
        <w:pStyle w:val="Textosinformato"/>
        <w:jc w:val="both"/>
        <w:rPr>
          <w:rFonts w:ascii="Arial" w:eastAsia="MS Mincho" w:hAnsi="Arial" w:cs="Arial"/>
          <w:sz w:val="22"/>
          <w:szCs w:val="22"/>
        </w:rPr>
      </w:pPr>
      <w:r w:rsidRPr="00DD6851">
        <w:rPr>
          <w:rFonts w:ascii="Arial" w:eastAsia="MS Mincho" w:hAnsi="Arial" w:cs="Arial"/>
          <w:sz w:val="22"/>
          <w:szCs w:val="22"/>
        </w:rPr>
        <w:t>En esta asignatura se imparten conocimientos médicos especializados que constituyen una ciencia particular y auxiliar del Derecho, por tanto debe ser impartida por médicos legistas  u operadores del derecho especializados y capacitados como docentes que preparen conferencias fundamentalmente orientadoras capaces de sentar las bases para promover la búsqueda y adquisición de los conocimientos en la bibliografía establecida y en otros documentos tales como monografías de los temas que confeccionen los profesores, realizándose preguntas de comprobación en la introducción y resumen de cada tema.</w:t>
      </w:r>
    </w:p>
    <w:p w:rsidR="00DD6851" w:rsidRPr="00DD6851" w:rsidRDefault="00DD6851" w:rsidP="00DD6851">
      <w:pPr>
        <w:pStyle w:val="Textosinformato"/>
        <w:jc w:val="both"/>
        <w:rPr>
          <w:rFonts w:ascii="Arial" w:eastAsia="MS Mincho" w:hAnsi="Arial" w:cs="Arial"/>
          <w:sz w:val="22"/>
          <w:szCs w:val="22"/>
        </w:rPr>
      </w:pPr>
      <w:r w:rsidRPr="00DD6851">
        <w:rPr>
          <w:rFonts w:ascii="Arial" w:eastAsia="MS Mincho" w:hAnsi="Arial" w:cs="Arial"/>
          <w:sz w:val="22"/>
          <w:szCs w:val="22"/>
        </w:rPr>
        <w:t xml:space="preserve">Requiere como precedencias el Derecho Penal Especial y el Derecho Procesal Penal, se integra a estos y a Criminalística. </w:t>
      </w:r>
    </w:p>
    <w:p w:rsidR="00DD6851" w:rsidRPr="00DD6851" w:rsidRDefault="00DD6851" w:rsidP="00DD6851">
      <w:pPr>
        <w:pStyle w:val="Textosinformato"/>
        <w:jc w:val="both"/>
        <w:rPr>
          <w:rFonts w:ascii="Arial" w:eastAsia="MS Mincho" w:hAnsi="Arial" w:cs="Arial"/>
          <w:sz w:val="22"/>
          <w:szCs w:val="22"/>
        </w:rPr>
      </w:pPr>
      <w:r w:rsidRPr="00DD6851">
        <w:rPr>
          <w:rFonts w:ascii="Arial" w:eastAsia="MS Mincho" w:hAnsi="Arial" w:cs="Arial"/>
          <w:sz w:val="22"/>
          <w:szCs w:val="22"/>
        </w:rPr>
        <w:t>.</w:t>
      </w:r>
    </w:p>
    <w:p w:rsidR="00DD6851" w:rsidRPr="00DD6851" w:rsidRDefault="00DD6851" w:rsidP="00DD6851">
      <w:pPr>
        <w:tabs>
          <w:tab w:val="left" w:pos="5835"/>
        </w:tabs>
        <w:jc w:val="both"/>
        <w:rPr>
          <w:rFonts w:ascii="Arial" w:hAnsi="Arial" w:cs="Arial"/>
          <w:b/>
          <w:sz w:val="22"/>
          <w:szCs w:val="22"/>
          <w:u w:val="single"/>
        </w:rPr>
      </w:pPr>
    </w:p>
    <w:p w:rsidR="00DD6851" w:rsidRPr="00DD6851" w:rsidRDefault="00DD6851" w:rsidP="00DD6851">
      <w:pPr>
        <w:jc w:val="both"/>
        <w:rPr>
          <w:rFonts w:ascii="Arial" w:hAnsi="Arial" w:cs="Arial"/>
          <w:b/>
          <w:sz w:val="22"/>
          <w:szCs w:val="22"/>
        </w:rPr>
      </w:pPr>
      <w:r w:rsidRPr="00DD6851">
        <w:rPr>
          <w:rFonts w:ascii="Arial" w:hAnsi="Arial" w:cs="Arial"/>
          <w:b/>
          <w:sz w:val="22"/>
          <w:szCs w:val="22"/>
        </w:rPr>
        <w:t xml:space="preserve">5. BIBLIOGRAFIA </w:t>
      </w:r>
    </w:p>
    <w:p w:rsidR="00DD6851" w:rsidRPr="00DD6851" w:rsidRDefault="00DD6851" w:rsidP="00DD6851">
      <w:pPr>
        <w:jc w:val="both"/>
        <w:rPr>
          <w:rFonts w:ascii="Arial" w:hAnsi="Arial" w:cs="Arial"/>
          <w:sz w:val="22"/>
          <w:szCs w:val="22"/>
        </w:rPr>
      </w:pPr>
    </w:p>
    <w:p w:rsidR="00DD6851" w:rsidRPr="00DD6851" w:rsidRDefault="00DD6851" w:rsidP="00DD6851">
      <w:pPr>
        <w:jc w:val="both"/>
        <w:rPr>
          <w:rFonts w:ascii="Arial" w:hAnsi="Arial" w:cs="Arial"/>
          <w:b/>
          <w:sz w:val="22"/>
          <w:szCs w:val="22"/>
        </w:rPr>
      </w:pPr>
      <w:r w:rsidRPr="00DD6851">
        <w:rPr>
          <w:rFonts w:ascii="Arial" w:hAnsi="Arial" w:cs="Arial"/>
          <w:b/>
          <w:sz w:val="22"/>
          <w:szCs w:val="22"/>
        </w:rPr>
        <w:t>5.1 BIBLIOGRAFÍA BÁSICA:</w:t>
      </w:r>
    </w:p>
    <w:p w:rsidR="00DD6851" w:rsidRPr="00DD6851" w:rsidRDefault="00DD6851" w:rsidP="00DD6851">
      <w:pPr>
        <w:numPr>
          <w:ilvl w:val="1"/>
          <w:numId w:val="3"/>
        </w:numPr>
        <w:tabs>
          <w:tab w:val="clear" w:pos="1440"/>
        </w:tabs>
        <w:ind w:left="720"/>
        <w:jc w:val="both"/>
        <w:rPr>
          <w:rFonts w:ascii="Arial" w:hAnsi="Arial" w:cs="Arial"/>
          <w:sz w:val="22"/>
          <w:szCs w:val="22"/>
        </w:rPr>
      </w:pPr>
      <w:r w:rsidRPr="00DD6851">
        <w:rPr>
          <w:rFonts w:ascii="Arial" w:hAnsi="Arial" w:cs="Arial"/>
          <w:sz w:val="22"/>
          <w:szCs w:val="22"/>
        </w:rPr>
        <w:t xml:space="preserve">COLECTIVO DE AUTORES. Temas de Medicina Legal para estudiantes de Derecho. Editorial Félix Varela, </w:t>
      </w:r>
      <w:smartTag w:uri="urn:schemas-microsoft-com:office:smarttags" w:element="PersonName">
        <w:smartTagPr>
          <w:attr w:name="ProductID" w:val="La Habana"/>
        </w:smartTagPr>
        <w:r w:rsidRPr="00DD6851">
          <w:rPr>
            <w:rFonts w:ascii="Arial" w:hAnsi="Arial" w:cs="Arial"/>
            <w:sz w:val="22"/>
            <w:szCs w:val="22"/>
          </w:rPr>
          <w:t>La Habana</w:t>
        </w:r>
      </w:smartTag>
      <w:r w:rsidRPr="00DD6851">
        <w:rPr>
          <w:rFonts w:ascii="Arial" w:hAnsi="Arial" w:cs="Arial"/>
          <w:sz w:val="22"/>
          <w:szCs w:val="22"/>
        </w:rPr>
        <w:t>, 2004</w:t>
      </w:r>
    </w:p>
    <w:p w:rsidR="00DD6851" w:rsidRPr="00DD6851" w:rsidRDefault="00DD6851" w:rsidP="00DD6851">
      <w:pPr>
        <w:pStyle w:val="Textosinformato"/>
        <w:jc w:val="both"/>
        <w:rPr>
          <w:rFonts w:ascii="Arial" w:eastAsia="MS Mincho" w:hAnsi="Arial" w:cs="Arial"/>
          <w:sz w:val="22"/>
          <w:szCs w:val="22"/>
        </w:rPr>
      </w:pPr>
      <w:r w:rsidRPr="00DD6851">
        <w:rPr>
          <w:rFonts w:ascii="Arial" w:hAnsi="Arial" w:cs="Arial"/>
          <w:b/>
          <w:sz w:val="22"/>
          <w:szCs w:val="22"/>
        </w:rPr>
        <w:t>5.2. BIBLIOGRAFÍA COMPLEMENTARIA</w:t>
      </w:r>
    </w:p>
    <w:p w:rsidR="00DD6851" w:rsidRPr="00DD6851" w:rsidRDefault="00DD6851" w:rsidP="00DD6851">
      <w:pPr>
        <w:pStyle w:val="Textosinformato"/>
        <w:numPr>
          <w:ilvl w:val="0"/>
          <w:numId w:val="7"/>
        </w:numPr>
        <w:tabs>
          <w:tab w:val="clear" w:pos="1620"/>
          <w:tab w:val="num" w:pos="720"/>
        </w:tabs>
        <w:ind w:left="720" w:hanging="360"/>
        <w:jc w:val="both"/>
        <w:rPr>
          <w:rFonts w:ascii="Arial" w:eastAsia="MS Mincho" w:hAnsi="Arial" w:cs="Arial"/>
          <w:sz w:val="22"/>
          <w:szCs w:val="22"/>
        </w:rPr>
      </w:pPr>
      <w:r w:rsidRPr="00DD6851">
        <w:rPr>
          <w:rFonts w:ascii="Arial" w:eastAsia="MS Mincho" w:hAnsi="Arial" w:cs="Arial"/>
          <w:sz w:val="22"/>
          <w:szCs w:val="22"/>
        </w:rPr>
        <w:t>LANCIS Y SÁNCHEZ, F. Lecciones de Medicina Legal</w:t>
      </w:r>
    </w:p>
    <w:p w:rsidR="00DD6851" w:rsidRPr="00DD6851" w:rsidRDefault="00DD6851" w:rsidP="00DD6851">
      <w:pPr>
        <w:pStyle w:val="Textosinformato"/>
        <w:numPr>
          <w:ilvl w:val="0"/>
          <w:numId w:val="7"/>
        </w:numPr>
        <w:tabs>
          <w:tab w:val="clear" w:pos="1620"/>
          <w:tab w:val="num" w:pos="720"/>
        </w:tabs>
        <w:ind w:left="720" w:hanging="360"/>
        <w:jc w:val="both"/>
        <w:rPr>
          <w:rFonts w:ascii="Arial" w:eastAsia="MS Mincho" w:hAnsi="Arial" w:cs="Arial"/>
          <w:sz w:val="22"/>
          <w:szCs w:val="22"/>
        </w:rPr>
      </w:pPr>
      <w:r w:rsidRPr="00DD6851">
        <w:rPr>
          <w:rFonts w:ascii="Arial" w:eastAsia="MS Mincho" w:hAnsi="Arial" w:cs="Arial"/>
          <w:sz w:val="22"/>
          <w:szCs w:val="22"/>
        </w:rPr>
        <w:t>VARGAS ALVARADO, E. Medicina Legal. Compendio de Ciencias Forenses para médicos y abogados</w:t>
      </w:r>
    </w:p>
    <w:p w:rsidR="00DD6851" w:rsidRPr="00DD6851" w:rsidRDefault="00DD6851" w:rsidP="00DD6851">
      <w:pPr>
        <w:pStyle w:val="Textosinformato"/>
        <w:numPr>
          <w:ilvl w:val="0"/>
          <w:numId w:val="7"/>
        </w:numPr>
        <w:tabs>
          <w:tab w:val="clear" w:pos="1620"/>
          <w:tab w:val="num" w:pos="720"/>
        </w:tabs>
        <w:ind w:left="720" w:hanging="360"/>
        <w:jc w:val="both"/>
        <w:rPr>
          <w:rFonts w:ascii="Arial" w:eastAsia="MS Mincho" w:hAnsi="Arial" w:cs="Arial"/>
          <w:sz w:val="22"/>
          <w:szCs w:val="22"/>
        </w:rPr>
      </w:pPr>
      <w:r w:rsidRPr="00DD6851">
        <w:rPr>
          <w:rFonts w:ascii="Arial" w:eastAsia="MS Mincho" w:hAnsi="Arial" w:cs="Arial"/>
          <w:sz w:val="22"/>
          <w:szCs w:val="22"/>
        </w:rPr>
        <w:t xml:space="preserve">REIMANN, W. </w:t>
      </w:r>
      <w:proofErr w:type="spellStart"/>
      <w:r w:rsidRPr="00DD6851">
        <w:rPr>
          <w:rFonts w:ascii="Arial" w:eastAsia="MS Mincho" w:hAnsi="Arial" w:cs="Arial"/>
          <w:sz w:val="22"/>
          <w:szCs w:val="22"/>
        </w:rPr>
        <w:t>Vademecum</w:t>
      </w:r>
      <w:proofErr w:type="spellEnd"/>
      <w:r w:rsidRPr="00DD6851">
        <w:rPr>
          <w:rFonts w:ascii="Arial" w:eastAsia="MS Mincho" w:hAnsi="Arial" w:cs="Arial"/>
          <w:sz w:val="22"/>
          <w:szCs w:val="22"/>
        </w:rPr>
        <w:t xml:space="preserve"> de Medicina Legal para médicos, criminalistas y juristas.</w:t>
      </w:r>
    </w:p>
    <w:p w:rsidR="00DD6851" w:rsidRPr="00DD6851" w:rsidRDefault="00DD6851" w:rsidP="00DD6851">
      <w:pPr>
        <w:pStyle w:val="Textosinformato"/>
        <w:numPr>
          <w:ilvl w:val="0"/>
          <w:numId w:val="7"/>
        </w:numPr>
        <w:tabs>
          <w:tab w:val="clear" w:pos="1620"/>
          <w:tab w:val="num" w:pos="720"/>
        </w:tabs>
        <w:ind w:left="720" w:hanging="360"/>
        <w:jc w:val="both"/>
        <w:rPr>
          <w:rFonts w:ascii="Arial" w:eastAsia="MS Mincho" w:hAnsi="Arial" w:cs="Arial"/>
          <w:sz w:val="22"/>
          <w:szCs w:val="22"/>
        </w:rPr>
      </w:pPr>
      <w:r w:rsidRPr="00DD6851">
        <w:rPr>
          <w:rFonts w:ascii="Arial" w:eastAsia="MS Mincho" w:hAnsi="Arial" w:cs="Arial"/>
          <w:sz w:val="22"/>
          <w:szCs w:val="22"/>
        </w:rPr>
        <w:t>FOURNIER RUÍZ, I. Medicina Legal en preguntas y respuestas</w:t>
      </w:r>
    </w:p>
    <w:p w:rsidR="00DD6851" w:rsidRPr="00DD6851" w:rsidRDefault="00DD6851" w:rsidP="00DD6851">
      <w:pPr>
        <w:pStyle w:val="Textosinformato"/>
        <w:numPr>
          <w:ilvl w:val="0"/>
          <w:numId w:val="7"/>
        </w:numPr>
        <w:tabs>
          <w:tab w:val="clear" w:pos="1620"/>
          <w:tab w:val="num" w:pos="720"/>
        </w:tabs>
        <w:ind w:left="720" w:hanging="360"/>
        <w:jc w:val="both"/>
        <w:rPr>
          <w:rFonts w:ascii="Arial" w:eastAsia="MS Mincho" w:hAnsi="Arial" w:cs="Arial"/>
          <w:sz w:val="22"/>
          <w:szCs w:val="22"/>
        </w:rPr>
      </w:pPr>
      <w:r w:rsidRPr="00DD6851">
        <w:rPr>
          <w:rFonts w:ascii="Arial" w:eastAsia="MS Mincho" w:hAnsi="Arial" w:cs="Arial"/>
          <w:sz w:val="22"/>
          <w:szCs w:val="22"/>
        </w:rPr>
        <w:t>GISBERT CALABUIG, J.A. Medicina Legal y Toxicología</w:t>
      </w:r>
    </w:p>
    <w:p w:rsidR="00DD6851" w:rsidRPr="00DD6851" w:rsidRDefault="00DD6851" w:rsidP="00DD6851">
      <w:pPr>
        <w:pStyle w:val="Textosinformato"/>
        <w:numPr>
          <w:ilvl w:val="0"/>
          <w:numId w:val="7"/>
        </w:numPr>
        <w:tabs>
          <w:tab w:val="clear" w:pos="1620"/>
          <w:tab w:val="num" w:pos="720"/>
        </w:tabs>
        <w:ind w:left="720" w:hanging="360"/>
        <w:jc w:val="both"/>
        <w:rPr>
          <w:rFonts w:ascii="Arial" w:eastAsia="MS Mincho" w:hAnsi="Arial" w:cs="Arial"/>
          <w:sz w:val="22"/>
          <w:szCs w:val="22"/>
        </w:rPr>
      </w:pPr>
      <w:r w:rsidRPr="00DD6851">
        <w:rPr>
          <w:rFonts w:ascii="Arial" w:eastAsia="MS Mincho" w:hAnsi="Arial" w:cs="Arial"/>
          <w:sz w:val="22"/>
          <w:szCs w:val="22"/>
        </w:rPr>
        <w:t>Código Penal</w:t>
      </w:r>
    </w:p>
    <w:p w:rsidR="00DD6851" w:rsidRPr="00DD6851" w:rsidRDefault="00DD6851" w:rsidP="00DD6851">
      <w:pPr>
        <w:pStyle w:val="Textosinformato"/>
        <w:numPr>
          <w:ilvl w:val="0"/>
          <w:numId w:val="7"/>
        </w:numPr>
        <w:tabs>
          <w:tab w:val="clear" w:pos="1620"/>
          <w:tab w:val="num" w:pos="720"/>
        </w:tabs>
        <w:ind w:left="720" w:hanging="360"/>
        <w:jc w:val="both"/>
        <w:rPr>
          <w:rFonts w:ascii="Arial" w:eastAsia="MS Mincho" w:hAnsi="Arial" w:cs="Arial"/>
          <w:sz w:val="22"/>
          <w:szCs w:val="22"/>
        </w:rPr>
      </w:pPr>
      <w:r w:rsidRPr="00DD6851">
        <w:rPr>
          <w:rFonts w:ascii="Arial" w:eastAsia="MS Mincho" w:hAnsi="Arial" w:cs="Arial"/>
          <w:sz w:val="22"/>
          <w:szCs w:val="22"/>
        </w:rPr>
        <w:t>Ley del Proceso Penal</w:t>
      </w:r>
    </w:p>
    <w:p w:rsidR="00DD6851" w:rsidRPr="00DD6851" w:rsidRDefault="00DD6851" w:rsidP="00DD6851">
      <w:pPr>
        <w:ind w:left="360"/>
        <w:jc w:val="both"/>
        <w:rPr>
          <w:rFonts w:ascii="Arial" w:hAnsi="Arial" w:cs="Arial"/>
          <w:b/>
          <w:sz w:val="22"/>
          <w:szCs w:val="22"/>
        </w:rPr>
      </w:pPr>
    </w:p>
    <w:p w:rsidR="006A1675" w:rsidRPr="00DD6851" w:rsidRDefault="006A1675"/>
    <w:sectPr w:rsidR="006A1675" w:rsidRPr="00DD6851" w:rsidSect="00905B75">
      <w:footerReference w:type="even" r:id="rId7"/>
      <w:footerReference w:type="default" r:id="rId8"/>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B0F" w:rsidRDefault="00BD2B0F">
      <w:r>
        <w:separator/>
      </w:r>
    </w:p>
  </w:endnote>
  <w:endnote w:type="continuationSeparator" w:id="0">
    <w:p w:rsidR="00BD2B0F" w:rsidRDefault="00BD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548" w:rsidRDefault="00FA62FF" w:rsidP="00AA67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rsidR="00D57548" w:rsidRDefault="00BD2B0F" w:rsidP="00B2071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548" w:rsidRDefault="00FA62FF" w:rsidP="00AA67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3172">
      <w:rPr>
        <w:rStyle w:val="Nmerodepgina"/>
        <w:noProof/>
      </w:rPr>
      <w:t>2</w:t>
    </w:r>
    <w:r>
      <w:rPr>
        <w:rStyle w:val="Nmerodepgina"/>
      </w:rPr>
      <w:fldChar w:fldCharType="end"/>
    </w:r>
  </w:p>
  <w:p w:rsidR="00D57548" w:rsidRDefault="00BD2B0F" w:rsidP="00B2071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B0F" w:rsidRDefault="00BD2B0F">
      <w:r>
        <w:separator/>
      </w:r>
    </w:p>
  </w:footnote>
  <w:footnote w:type="continuationSeparator" w:id="0">
    <w:p w:rsidR="00BD2B0F" w:rsidRDefault="00BD2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487"/>
    <w:multiLevelType w:val="hybridMultilevel"/>
    <w:tmpl w:val="C49C41B0"/>
    <w:lvl w:ilvl="0" w:tplc="7DACC06E">
      <w:start w:val="1"/>
      <w:numFmt w:val="decimal"/>
      <w:lvlText w:val="%1."/>
      <w:lvlJc w:val="left"/>
      <w:pPr>
        <w:tabs>
          <w:tab w:val="num" w:pos="360"/>
        </w:tabs>
        <w:ind w:left="360" w:hanging="360"/>
      </w:pPr>
      <w:rPr>
        <w:rFonts w:ascii="Arial" w:hAnsi="Arial" w:hint="default"/>
      </w:rPr>
    </w:lvl>
    <w:lvl w:ilvl="1" w:tplc="B606B3E8">
      <w:numFmt w:val="none"/>
      <w:lvlText w:val=""/>
      <w:lvlJc w:val="left"/>
      <w:pPr>
        <w:tabs>
          <w:tab w:val="num" w:pos="360"/>
        </w:tabs>
      </w:pPr>
    </w:lvl>
    <w:lvl w:ilvl="2" w:tplc="49C458C8">
      <w:numFmt w:val="none"/>
      <w:lvlText w:val=""/>
      <w:lvlJc w:val="left"/>
      <w:pPr>
        <w:tabs>
          <w:tab w:val="num" w:pos="360"/>
        </w:tabs>
      </w:pPr>
    </w:lvl>
    <w:lvl w:ilvl="3" w:tplc="7BF84B86">
      <w:numFmt w:val="none"/>
      <w:lvlText w:val=""/>
      <w:lvlJc w:val="left"/>
      <w:pPr>
        <w:tabs>
          <w:tab w:val="num" w:pos="360"/>
        </w:tabs>
      </w:pPr>
    </w:lvl>
    <w:lvl w:ilvl="4" w:tplc="C90C883E">
      <w:numFmt w:val="none"/>
      <w:lvlText w:val=""/>
      <w:lvlJc w:val="left"/>
      <w:pPr>
        <w:tabs>
          <w:tab w:val="num" w:pos="360"/>
        </w:tabs>
      </w:pPr>
    </w:lvl>
    <w:lvl w:ilvl="5" w:tplc="50A2A722">
      <w:numFmt w:val="none"/>
      <w:lvlText w:val=""/>
      <w:lvlJc w:val="left"/>
      <w:pPr>
        <w:tabs>
          <w:tab w:val="num" w:pos="360"/>
        </w:tabs>
      </w:pPr>
    </w:lvl>
    <w:lvl w:ilvl="6" w:tplc="60E2224C">
      <w:numFmt w:val="none"/>
      <w:lvlText w:val=""/>
      <w:lvlJc w:val="left"/>
      <w:pPr>
        <w:tabs>
          <w:tab w:val="num" w:pos="360"/>
        </w:tabs>
      </w:pPr>
    </w:lvl>
    <w:lvl w:ilvl="7" w:tplc="10667338">
      <w:numFmt w:val="none"/>
      <w:lvlText w:val=""/>
      <w:lvlJc w:val="left"/>
      <w:pPr>
        <w:tabs>
          <w:tab w:val="num" w:pos="360"/>
        </w:tabs>
      </w:pPr>
    </w:lvl>
    <w:lvl w:ilvl="8" w:tplc="AA1216C8">
      <w:numFmt w:val="none"/>
      <w:lvlText w:val=""/>
      <w:lvlJc w:val="left"/>
      <w:pPr>
        <w:tabs>
          <w:tab w:val="num" w:pos="360"/>
        </w:tabs>
      </w:pPr>
    </w:lvl>
  </w:abstractNum>
  <w:abstractNum w:abstractNumId="1" w15:restartNumberingAfterBreak="0">
    <w:nsid w:val="0DB46F19"/>
    <w:multiLevelType w:val="hybridMultilevel"/>
    <w:tmpl w:val="69E25E12"/>
    <w:lvl w:ilvl="0" w:tplc="C5D4E932">
      <w:start w:val="1"/>
      <w:numFmt w:val="bullet"/>
      <w:lvlText w:val=""/>
      <w:lvlJc w:val="left"/>
      <w:pPr>
        <w:tabs>
          <w:tab w:val="num" w:pos="720"/>
        </w:tabs>
        <w:ind w:left="720" w:hanging="360"/>
      </w:pPr>
      <w:rPr>
        <w:rFonts w:ascii="Symbol" w:hAnsi="Symbol" w:hint="default"/>
        <w:sz w:val="22"/>
      </w:rPr>
    </w:lvl>
    <w:lvl w:ilvl="1" w:tplc="65829ABC">
      <w:start w:val="1"/>
      <w:numFmt w:val="decimal"/>
      <w:lvlText w:val="%2."/>
      <w:lvlJc w:val="left"/>
      <w:pPr>
        <w:tabs>
          <w:tab w:val="num" w:pos="2160"/>
        </w:tabs>
        <w:ind w:left="2160" w:hanging="360"/>
      </w:pPr>
      <w:rPr>
        <w:rFonts w:hint="default"/>
        <w:b w:val="0"/>
        <w:sz w:val="22"/>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52773"/>
    <w:multiLevelType w:val="hybridMultilevel"/>
    <w:tmpl w:val="3EEE9490"/>
    <w:lvl w:ilvl="0" w:tplc="040A000F">
      <w:start w:val="1"/>
      <w:numFmt w:val="decimal"/>
      <w:lvlText w:val="%1."/>
      <w:lvlJc w:val="left"/>
      <w:pPr>
        <w:tabs>
          <w:tab w:val="num" w:pos="720"/>
        </w:tabs>
        <w:ind w:left="720" w:hanging="360"/>
      </w:pPr>
    </w:lvl>
    <w:lvl w:ilvl="1" w:tplc="FBA6BEF4">
      <w:start w:val="1"/>
      <w:numFmt w:val="decimal"/>
      <w:lvlText w:val="%2."/>
      <w:lvlJc w:val="left"/>
      <w:pPr>
        <w:tabs>
          <w:tab w:val="num" w:pos="1440"/>
        </w:tabs>
        <w:ind w:left="1440" w:hanging="360"/>
      </w:pPr>
      <w:rPr>
        <w:rFonts w:ascii="Arial" w:hAnsi="Aria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15:restartNumberingAfterBreak="0">
    <w:nsid w:val="17B24046"/>
    <w:multiLevelType w:val="hybridMultilevel"/>
    <w:tmpl w:val="2DE068D8"/>
    <w:lvl w:ilvl="0" w:tplc="65829ABC">
      <w:start w:val="1"/>
      <w:numFmt w:val="decimal"/>
      <w:lvlText w:val="%1."/>
      <w:lvlJc w:val="left"/>
      <w:pPr>
        <w:tabs>
          <w:tab w:val="num" w:pos="720"/>
        </w:tabs>
        <w:ind w:left="720" w:hanging="360"/>
      </w:pPr>
      <w:rPr>
        <w:rFonts w:hint="default"/>
        <w:b w:val="0"/>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96E34"/>
    <w:multiLevelType w:val="singleLevel"/>
    <w:tmpl w:val="18E4566C"/>
    <w:lvl w:ilvl="0">
      <w:start w:val="1"/>
      <w:numFmt w:val="decimal"/>
      <w:lvlText w:val="%1."/>
      <w:legacy w:legacy="1" w:legacySpace="0" w:legacyIndent="283"/>
      <w:lvlJc w:val="left"/>
      <w:pPr>
        <w:ind w:left="283" w:hanging="283"/>
      </w:pPr>
      <w:rPr>
        <w:b w:val="0"/>
      </w:rPr>
    </w:lvl>
  </w:abstractNum>
  <w:abstractNum w:abstractNumId="5" w15:restartNumberingAfterBreak="0">
    <w:nsid w:val="38931278"/>
    <w:multiLevelType w:val="singleLevel"/>
    <w:tmpl w:val="5D04D986"/>
    <w:lvl w:ilvl="0">
      <w:start w:val="1"/>
      <w:numFmt w:val="decimal"/>
      <w:lvlText w:val="%1. "/>
      <w:legacy w:legacy="1" w:legacySpace="0" w:legacyIndent="283"/>
      <w:lvlJc w:val="left"/>
      <w:pPr>
        <w:ind w:left="283" w:hanging="283"/>
      </w:pPr>
      <w:rPr>
        <w:rFonts w:ascii="Arial Narrow" w:hAnsi="Arial Narrow" w:hint="default"/>
        <w:b w:val="0"/>
        <w:i w:val="0"/>
        <w:sz w:val="24"/>
      </w:rPr>
    </w:lvl>
  </w:abstractNum>
  <w:abstractNum w:abstractNumId="6" w15:restartNumberingAfterBreak="0">
    <w:nsid w:val="5FED4BF7"/>
    <w:multiLevelType w:val="hybridMultilevel"/>
    <w:tmpl w:val="2F423EC0"/>
    <w:lvl w:ilvl="0" w:tplc="607857BA">
      <w:start w:val="1"/>
      <w:numFmt w:val="decimal"/>
      <w:lvlText w:val="%1. "/>
      <w:lvlJc w:val="left"/>
      <w:pPr>
        <w:tabs>
          <w:tab w:val="num" w:pos="1620"/>
        </w:tabs>
        <w:ind w:left="1903" w:hanging="283"/>
      </w:pPr>
      <w:rPr>
        <w:rFonts w:ascii="Arial" w:hAnsi="Arial" w:cs="Times New Roman" w:hint="default"/>
        <w:b w:val="0"/>
        <w:i w:val="0"/>
        <w:strike w:val="0"/>
        <w:dstrike w:val="0"/>
        <w:sz w:val="24"/>
        <w:u w:val="none"/>
        <w:effect w:val="none"/>
      </w:rPr>
    </w:lvl>
    <w:lvl w:ilvl="1" w:tplc="040A0019" w:tentative="1">
      <w:start w:val="1"/>
      <w:numFmt w:val="lowerLetter"/>
      <w:lvlText w:val="%2."/>
      <w:lvlJc w:val="left"/>
      <w:pPr>
        <w:tabs>
          <w:tab w:val="num" w:pos="3060"/>
        </w:tabs>
        <w:ind w:left="3060" w:hanging="360"/>
      </w:pPr>
    </w:lvl>
    <w:lvl w:ilvl="2" w:tplc="040A001B" w:tentative="1">
      <w:start w:val="1"/>
      <w:numFmt w:val="lowerRoman"/>
      <w:lvlText w:val="%3."/>
      <w:lvlJc w:val="right"/>
      <w:pPr>
        <w:tabs>
          <w:tab w:val="num" w:pos="3780"/>
        </w:tabs>
        <w:ind w:left="3780" w:hanging="180"/>
      </w:pPr>
    </w:lvl>
    <w:lvl w:ilvl="3" w:tplc="040A000F" w:tentative="1">
      <w:start w:val="1"/>
      <w:numFmt w:val="decimal"/>
      <w:lvlText w:val="%4."/>
      <w:lvlJc w:val="left"/>
      <w:pPr>
        <w:tabs>
          <w:tab w:val="num" w:pos="4500"/>
        </w:tabs>
        <w:ind w:left="4500" w:hanging="360"/>
      </w:pPr>
    </w:lvl>
    <w:lvl w:ilvl="4" w:tplc="040A0019" w:tentative="1">
      <w:start w:val="1"/>
      <w:numFmt w:val="lowerLetter"/>
      <w:lvlText w:val="%5."/>
      <w:lvlJc w:val="left"/>
      <w:pPr>
        <w:tabs>
          <w:tab w:val="num" w:pos="5220"/>
        </w:tabs>
        <w:ind w:left="5220" w:hanging="360"/>
      </w:pPr>
    </w:lvl>
    <w:lvl w:ilvl="5" w:tplc="040A001B" w:tentative="1">
      <w:start w:val="1"/>
      <w:numFmt w:val="lowerRoman"/>
      <w:lvlText w:val="%6."/>
      <w:lvlJc w:val="right"/>
      <w:pPr>
        <w:tabs>
          <w:tab w:val="num" w:pos="5940"/>
        </w:tabs>
        <w:ind w:left="5940" w:hanging="180"/>
      </w:pPr>
    </w:lvl>
    <w:lvl w:ilvl="6" w:tplc="040A000F" w:tentative="1">
      <w:start w:val="1"/>
      <w:numFmt w:val="decimal"/>
      <w:lvlText w:val="%7."/>
      <w:lvlJc w:val="left"/>
      <w:pPr>
        <w:tabs>
          <w:tab w:val="num" w:pos="6660"/>
        </w:tabs>
        <w:ind w:left="6660" w:hanging="360"/>
      </w:pPr>
    </w:lvl>
    <w:lvl w:ilvl="7" w:tplc="040A0019" w:tentative="1">
      <w:start w:val="1"/>
      <w:numFmt w:val="lowerLetter"/>
      <w:lvlText w:val="%8."/>
      <w:lvlJc w:val="left"/>
      <w:pPr>
        <w:tabs>
          <w:tab w:val="num" w:pos="7380"/>
        </w:tabs>
        <w:ind w:left="7380" w:hanging="360"/>
      </w:pPr>
    </w:lvl>
    <w:lvl w:ilvl="8" w:tplc="040A001B" w:tentative="1">
      <w:start w:val="1"/>
      <w:numFmt w:val="lowerRoman"/>
      <w:lvlText w:val="%9."/>
      <w:lvlJc w:val="right"/>
      <w:pPr>
        <w:tabs>
          <w:tab w:val="num" w:pos="8100"/>
        </w:tabs>
        <w:ind w:left="8100" w:hanging="180"/>
      </w:pPr>
    </w:lvl>
  </w:abstractNum>
  <w:num w:numId="1">
    <w:abstractNumId w:val="5"/>
    <w:lvlOverride w:ilvl="0">
      <w:startOverride w:val="1"/>
    </w:lvlOverride>
  </w:num>
  <w:num w:numId="2">
    <w:abstractNumId w:val="4"/>
    <w:lvlOverride w:ilvl="0">
      <w:startOverride w:val="1"/>
    </w:lvlOverride>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DF"/>
    <w:rsid w:val="00483172"/>
    <w:rsid w:val="006A1675"/>
    <w:rsid w:val="00B072DF"/>
    <w:rsid w:val="00BD2B0F"/>
    <w:rsid w:val="00DD6851"/>
    <w:rsid w:val="00FA62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9E6E0E7-0FC4-48F1-B80D-C2E778BA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8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D6851"/>
    <w:pPr>
      <w:tabs>
        <w:tab w:val="center" w:pos="4252"/>
        <w:tab w:val="right" w:pos="8504"/>
      </w:tabs>
    </w:pPr>
  </w:style>
  <w:style w:type="character" w:customStyle="1" w:styleId="PiedepginaCar">
    <w:name w:val="Pie de página Car"/>
    <w:basedOn w:val="Fuentedeprrafopredeter"/>
    <w:link w:val="Piedepgina"/>
    <w:rsid w:val="00DD685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D6851"/>
  </w:style>
  <w:style w:type="paragraph" w:styleId="Textosinformato">
    <w:name w:val="Plain Text"/>
    <w:basedOn w:val="Normal"/>
    <w:link w:val="TextosinformatoCar"/>
    <w:rsid w:val="00DD6851"/>
    <w:rPr>
      <w:rFonts w:ascii="Courier New" w:hAnsi="Courier New" w:cs="Courier New"/>
      <w:sz w:val="20"/>
      <w:szCs w:val="20"/>
    </w:rPr>
  </w:style>
  <w:style w:type="character" w:customStyle="1" w:styleId="TextosinformatoCar">
    <w:name w:val="Texto sin formato Car"/>
    <w:basedOn w:val="Fuentedeprrafopredeter"/>
    <w:link w:val="Textosinformato"/>
    <w:rsid w:val="00DD6851"/>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762</Words>
  <Characters>4195</Characters>
  <Application>Microsoft Office Word</Application>
  <DocSecurity>0</DocSecurity>
  <Lines>34</Lines>
  <Paragraphs>9</Paragraphs>
  <ScaleCrop>false</ScaleCrop>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2026-03-12T16:54:00Z</dcterms:created>
  <dcterms:modified xsi:type="dcterms:W3CDTF">2026-03-12T17:18:00Z</dcterms:modified>
</cp:coreProperties>
</file>