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5B" w:rsidRPr="00783651" w:rsidRDefault="002D755B" w:rsidP="00342011">
      <w:pPr>
        <w:tabs>
          <w:tab w:val="left" w:pos="426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:rsidR="002D755B" w:rsidRPr="00783651" w:rsidRDefault="00441C82" w:rsidP="00342011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tLeast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Mosco, Vincent. (</w:t>
      </w:r>
      <w:r w:rsidR="002D755B" w:rsidRPr="00783651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2006). </w:t>
      </w:r>
      <w:r w:rsidR="002D755B" w:rsidRPr="00783651">
        <w:rPr>
          <w:rFonts w:ascii="Times New Roman" w:hAnsi="Times New Roman"/>
          <w:b/>
          <w:sz w:val="24"/>
          <w:szCs w:val="24"/>
          <w:lang w:val="es-US" w:eastAsia="es-US"/>
        </w:rPr>
        <w:t>La Economía Política de la Comunicación:una actualización diez años después. Cuadernos de Información y Comunicación, vol. 11 57-79. ISSN 1135-7991.</w:t>
      </w:r>
    </w:p>
    <w:p w:rsidR="00E37118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3B04DC" w:rsidRDefault="002D755B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Repensar la economía política también enfatiza el cambio social, los procesos sociales y las relaciones sociales, por encima de la tendencia tradicional en la economía política a partir de las estructuras sociales y las instituciones.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="003B04DC"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Identifica tres procesos que constituyen los principales puntos de partida para la investigación en la Economía Política. </w:t>
      </w:r>
    </w:p>
    <w:p w:rsidR="00E37118" w:rsidRPr="00783651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3B04DC" w:rsidRPr="00E37118" w:rsidRDefault="003B04DC" w:rsidP="0034201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342011">
        <w:rPr>
          <w:rFonts w:ascii="Times New Roman" w:eastAsiaTheme="minorHAnsi" w:hAnsi="Times New Roman"/>
          <w:b/>
          <w:i/>
          <w:iCs/>
          <w:sz w:val="24"/>
          <w:szCs w:val="24"/>
          <w:lang w:val="es-US"/>
        </w:rPr>
        <w:t>Mercantilización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es el proceso de transformar cosas valoradas por su uso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E37118">
        <w:rPr>
          <w:rFonts w:ascii="Times New Roman" w:eastAsiaTheme="minorHAnsi" w:hAnsi="Times New Roman"/>
          <w:sz w:val="24"/>
          <w:szCs w:val="24"/>
          <w:lang w:val="es-US"/>
        </w:rPr>
        <w:t>en productos comercializables que son valorados por lo que de ellos se puede obtener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E37118">
        <w:rPr>
          <w:rFonts w:ascii="Times New Roman" w:eastAsiaTheme="minorHAnsi" w:hAnsi="Times New Roman"/>
          <w:sz w:val="24"/>
          <w:szCs w:val="24"/>
          <w:lang w:val="es-US"/>
        </w:rPr>
        <w:t>en un intercambio.</w:t>
      </w:r>
    </w:p>
    <w:p w:rsidR="003B04DC" w:rsidRPr="00783651" w:rsidRDefault="003B04DC" w:rsidP="00342011">
      <w:p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.- </w:t>
      </w:r>
      <w:r w:rsidRPr="00342011">
        <w:rPr>
          <w:rFonts w:ascii="Times New Roman" w:eastAsiaTheme="minorHAnsi" w:hAnsi="Times New Roman"/>
          <w:b/>
          <w:i/>
          <w:iCs/>
          <w:sz w:val="24"/>
          <w:szCs w:val="24"/>
          <w:lang w:val="es-US"/>
        </w:rPr>
        <w:t>Espacialización</w:t>
      </w:r>
      <w:bookmarkStart w:id="0" w:name="_GoBack"/>
      <w:bookmarkEnd w:id="0"/>
      <w:r w:rsidRPr="00342011">
        <w:rPr>
          <w:rFonts w:ascii="Times New Roman" w:eastAsiaTheme="minorHAnsi" w:hAnsi="Times New Roman"/>
          <w:b/>
          <w:sz w:val="24"/>
          <w:szCs w:val="24"/>
          <w:lang w:val="es-US"/>
        </w:rPr>
        <w:t>es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 el proceso de trascender los límites del espacio geográfico a través de, principalmente, los medios masivos y las tecnologías de la comunicación. </w:t>
      </w:r>
    </w:p>
    <w:p w:rsidR="00E37118" w:rsidRDefault="003B04DC" w:rsidP="0034201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342011">
        <w:rPr>
          <w:rFonts w:ascii="Times New Roman" w:eastAsiaTheme="minorHAnsi" w:hAnsi="Times New Roman"/>
          <w:b/>
          <w:i/>
          <w:iCs/>
          <w:sz w:val="24"/>
          <w:szCs w:val="24"/>
          <w:lang w:val="es-US"/>
        </w:rPr>
        <w:t>Estructuración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es el proceso de crear relaciones sociales, principalmente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E37118">
        <w:rPr>
          <w:rFonts w:ascii="Times New Roman" w:eastAsiaTheme="minorHAnsi" w:hAnsi="Times New Roman"/>
          <w:sz w:val="24"/>
          <w:szCs w:val="24"/>
          <w:lang w:val="es-US"/>
        </w:rPr>
        <w:t>aquellas organizadas alrededor de la clase social, el género y la raza.</w:t>
      </w:r>
    </w:p>
    <w:p w:rsidR="00E37118" w:rsidRPr="00E37118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3B04DC" w:rsidRPr="00783651" w:rsidRDefault="003B04DC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Por tanto, en lo que respecta a la clase social, la economía política describe cómo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acceso a los medios masivos y las nuevas tecnologías de la comunicación está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influenciado por las desigualdades en el ingreso y la riqueza, que permiten que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algunos puedan acceder y otros queden fuera. </w:t>
      </w:r>
    </w:p>
    <w:p w:rsidR="003B04DC" w:rsidRPr="00783651" w:rsidRDefault="003B04DC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516175" w:rsidRPr="00783651" w:rsidRDefault="003B04DC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artículo concluye describiendo cómo esta renovada Economía Política de la comunicación responde a los desafíos en sus fronteras con las disciplinas de los Estudios Culturales y la Ciencia Política.</w:t>
      </w:r>
    </w:p>
    <w:p w:rsidR="003B04DC" w:rsidRPr="00342011" w:rsidRDefault="00342011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i/>
          <w:iCs/>
          <w:sz w:val="24"/>
          <w:szCs w:val="24"/>
          <w:lang w:val="es-US"/>
        </w:rPr>
      </w:pPr>
      <w:r>
        <w:rPr>
          <w:rFonts w:ascii="Times New Roman" w:eastAsiaTheme="minorHAnsi" w:hAnsi="Times New Roman"/>
          <w:b/>
          <w:sz w:val="24"/>
          <w:szCs w:val="24"/>
          <w:lang w:val="es-US"/>
        </w:rPr>
        <w:t>E</w:t>
      </w:r>
      <w:r w:rsidR="003B04DC" w:rsidRPr="00342011">
        <w:rPr>
          <w:rFonts w:ascii="Times New Roman" w:eastAsiaTheme="minorHAnsi" w:hAnsi="Times New Roman"/>
          <w:b/>
          <w:sz w:val="24"/>
          <w:szCs w:val="24"/>
          <w:lang w:val="es-US"/>
        </w:rPr>
        <w:t>conomía política</w:t>
      </w:r>
      <w:r w:rsidR="003B04DC"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 es el </w:t>
      </w:r>
      <w:r w:rsidR="003B04DC"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estudio de las relacion</w:t>
      </w:r>
      <w:r w:rsidR="00E37118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es sociales, particularmente las </w:t>
      </w:r>
      <w:r w:rsidR="003B04DC"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relaciones de poder, que mutuamente constituyen la producción, distribución y consumo</w:t>
      </w:r>
      <w:r w:rsidR="00E37118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 </w:t>
      </w:r>
      <w:r w:rsidR="003B04DC"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de recursos, incluidos los recursos de comunicación</w:t>
      </w:r>
      <w:r w:rsidR="003B04DC" w:rsidRPr="00783651">
        <w:rPr>
          <w:rFonts w:ascii="Times New Roman" w:eastAsiaTheme="minorHAnsi" w:hAnsi="Times New Roman"/>
          <w:sz w:val="24"/>
          <w:szCs w:val="24"/>
          <w:lang w:val="es-US"/>
        </w:rPr>
        <w:t>.</w:t>
      </w:r>
    </w:p>
    <w:p w:rsidR="003B04DC" w:rsidRPr="00783651" w:rsidRDefault="003B04DC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342011">
        <w:rPr>
          <w:rFonts w:ascii="Times New Roman" w:eastAsiaTheme="minorHAnsi" w:hAnsi="Times New Roman"/>
          <w:b/>
          <w:sz w:val="24"/>
          <w:szCs w:val="24"/>
          <w:lang w:val="es-US"/>
        </w:rPr>
        <w:t>Economía Política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 es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el estudio del control y la supervivencia en la vida social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.</w:t>
      </w:r>
    </w:p>
    <w:p w:rsidR="003B04DC" w:rsidRPr="00783651" w:rsidRDefault="003B04DC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3B04DC" w:rsidRPr="00783651" w:rsidRDefault="003B04DC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Control remite específicamente a la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organización interna de miembros de un grupo social y al proceso de adaptación al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cambio. Supervivencia significa cómo los individuos producen lo que es necesario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para la continuidad y reproducción social. En esta lectura, los procesos de control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son, en términos generales, políticos, en el sentido de que constituyen la organización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social de las relaciones dentro de una comunidad; los procesos de supervivencia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son principalmente económicos, porque conciernen procesos de producción y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reproducción. La fortaleza de esta definición es que otorga a la economía política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una amplitud tal que le permite abarcar toda actividad humana y, podría decirse,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todos los procesos vivientes (Foster, 2002)</w:t>
      </w:r>
    </w:p>
    <w:p w:rsidR="00E37118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966734" w:rsidRPr="00783651" w:rsidRDefault="00966734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Su principal desventaja reside en que puede llevar a pasar por alto lo que distingue la economía política humana, principalmente nuestra conciencia o conocimiento, de procesos generales de supervivencia y control de la naturaleza.</w:t>
      </w:r>
    </w:p>
    <w:p w:rsidR="00E37118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966734" w:rsidRPr="00783651" w:rsidRDefault="00966734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La Economía Política también se caracteriza por un interés en examinar el todo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social o la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totalidad de las relaciones sociales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que dan lugar a las áreas económica,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política, social y cultural de la vida.</w:t>
      </w:r>
    </w:p>
    <w:p w:rsidR="00966734" w:rsidRPr="00E37118" w:rsidRDefault="00966734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i/>
          <w:iCs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La Economía Política es también conocida por su compromiso con la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filosofía</w:t>
      </w:r>
      <w:r w:rsidR="00E37118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moral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, entendida tanto como un interés en los valores que ayudan a crear el comportamiento</w:t>
      </w:r>
      <w:r w:rsidR="00E37118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social, como en aquellos principios morales que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deberían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guiar los</w:t>
      </w:r>
      <w:r w:rsidR="00E37118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esfuerzos para cambiarlo.</w:t>
      </w:r>
    </w:p>
    <w:p w:rsidR="00E37118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966734" w:rsidRPr="00783651" w:rsidRDefault="00966734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lastRenderedPageBreak/>
        <w:t>La Economía Política contemporánea tiende a favorecer puntos de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partida filosófico-morales que promueven la extensión de la democracia a todos los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aspectos de la vida social. Ello va más allá del reino de la política, que garantiza los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derechos a participar en el Gobierno, a los dominios económico, social y cultural en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los que quienes apoyan la democracia solicitan igualdad en el ingreso, acceso a la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educación, y participación pública plena en la producción cultural y una garantía del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derecho a comunicarse libremente.</w:t>
      </w:r>
    </w:p>
    <w:p w:rsidR="00E37118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B26E5D" w:rsidRPr="00783651" w:rsidRDefault="00B26E5D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La economía política de la comunicación necesita estar cimentada en una epistemología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realista, inclusiva, constitutiva y crítica.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R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epensar la Economía Política conduce a enfatizar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cambio social, el proceso social y las relaciones sociales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.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Estudiar las instituciones de los medios es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importante pero se deriva de un análisis del proceso social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desarrollo un mapa sustancial de la economía política con tres procesos de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entrada, empezando por la </w:t>
      </w:r>
      <w:r w:rsidRPr="00E37118">
        <w:rPr>
          <w:rFonts w:ascii="Times New Roman" w:eastAsiaTheme="minorHAnsi" w:hAnsi="Times New Roman"/>
          <w:b/>
          <w:i/>
          <w:iCs/>
          <w:sz w:val="24"/>
          <w:szCs w:val="24"/>
          <w:lang w:val="es-US"/>
        </w:rPr>
        <w:t>mercantilización</w:t>
      </w:r>
      <w:r w:rsidRPr="00E37118">
        <w:rPr>
          <w:rFonts w:ascii="Times New Roman" w:eastAsiaTheme="minorHAnsi" w:hAnsi="Times New Roman"/>
          <w:b/>
          <w:sz w:val="24"/>
          <w:szCs w:val="24"/>
          <w:lang w:val="es-US"/>
        </w:rPr>
        <w:t>,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 el proceso de transformar el uso para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intercambiar valor, siguiendo por la </w:t>
      </w:r>
      <w:proofErr w:type="spellStart"/>
      <w:r w:rsidRPr="00E37118">
        <w:rPr>
          <w:rFonts w:ascii="Times New Roman" w:eastAsiaTheme="minorHAnsi" w:hAnsi="Times New Roman"/>
          <w:b/>
          <w:i/>
          <w:iCs/>
          <w:sz w:val="24"/>
          <w:szCs w:val="24"/>
          <w:lang w:val="es-US"/>
        </w:rPr>
        <w:t>espacialización</w:t>
      </w:r>
      <w:proofErr w:type="spell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, la transformación del espacio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con el tiempo, o el proceso de extensión institucional, y finalmente la </w:t>
      </w:r>
      <w:r w:rsidRPr="00E37118">
        <w:rPr>
          <w:rFonts w:ascii="Times New Roman" w:eastAsiaTheme="minorHAnsi" w:hAnsi="Times New Roman"/>
          <w:b/>
          <w:i/>
          <w:iCs/>
          <w:sz w:val="24"/>
          <w:szCs w:val="24"/>
          <w:lang w:val="es-US"/>
        </w:rPr>
        <w:t>estructuración</w:t>
      </w:r>
      <w:r w:rsidRPr="00E37118">
        <w:rPr>
          <w:rFonts w:ascii="Times New Roman" w:eastAsiaTheme="minorHAnsi" w:hAnsi="Times New Roman"/>
          <w:b/>
          <w:sz w:val="24"/>
          <w:szCs w:val="24"/>
          <w:lang w:val="es-US"/>
        </w:rPr>
        <w:t>,</w:t>
      </w:r>
      <w:r w:rsidR="00E37118">
        <w:rPr>
          <w:rFonts w:ascii="Times New Roman" w:eastAsiaTheme="minorHAnsi" w:hAnsi="Times New Roman"/>
          <w:b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proceso de constituir estructuras como resultado de la acción social. Colocar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estos procesos en primer plano no reemplaza estructuras e instituciones, algo que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sustituiría una forma de esencialismo por otra. Más bien, estos son puntos de entrada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que constituyen una teoría sustancial de la Economía Política, una elección preferida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entre un conjunto posible de significados para entender el campo social.</w:t>
      </w:r>
    </w:p>
    <w:p w:rsidR="00E37118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B26E5D" w:rsidRPr="00783651" w:rsidRDefault="00B26E5D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La Economía Política de la Comunicación se ha destacado por su énfasis en describir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y examinar el significado de las instituciones, especialmente empresas y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gobiernos, responsables por la producción, distribución e intercambio de las mercancías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 comunicación y por la regulación del mercado de comunicación. Aunque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no ha rechazado la mercancía en sí misma y el proceso de mercantilización, la tendencia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ha sido a poner en primer plano las instituciones corporativas y gubernamentales.</w:t>
      </w:r>
    </w:p>
    <w:p w:rsidR="00E37118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B26E5D" w:rsidRPr="00783651" w:rsidRDefault="00B26E5D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Cuando se ha ocupado de la mercancía, la economía política ha tendido 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concentrarse en el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contenido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 los medios más que en las audiencias y el trabajo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implicado en la producción mediática. El énfasis en las estructuras de los medios y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contenido es comprensible en vista de la importancia de las compañías globales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 medios y el crecimiento del valor del contenido mediático.</w:t>
      </w:r>
    </w:p>
    <w:p w:rsidR="00E37118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B26E5D" w:rsidRPr="00783651" w:rsidRDefault="00B26E5D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La Economía Política ha prestado alguna atención a las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audiencias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, particularmente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en el esfuerzo de entender la práctica común por la que los anunciantes pagan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por el tamaño y calidad (propensión a consumir) de la audiencia que un periódico,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revista, radio o programa de televisión puede conseguir. Ello generó un vigoroso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debate acerca de si las audiencias, en realidad, los trabajadores por ejemplo, venden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su fuerza de trabajo, de hecho, su atención, en compensación por cualquiera que sea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contenido que se produzca (</w:t>
      </w:r>
      <w:proofErr w:type="spell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Smythe</w:t>
      </w:r>
      <w:proofErr w:type="spell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, 1977; </w:t>
      </w:r>
      <w:proofErr w:type="spell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Murdock</w:t>
      </w:r>
      <w:proofErr w:type="spell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, 1978; </w:t>
      </w:r>
      <w:proofErr w:type="spellStart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Lebowitz</w:t>
      </w:r>
      <w:proofErr w:type="spellEnd"/>
      <w:r w:rsidRPr="00783651">
        <w:rPr>
          <w:rFonts w:ascii="Times New Roman" w:eastAsiaTheme="minorHAnsi" w:hAnsi="Times New Roman"/>
          <w:sz w:val="24"/>
          <w:szCs w:val="24"/>
          <w:lang w:val="es-US"/>
        </w:rPr>
        <w:t>, 1986).</w:t>
      </w:r>
    </w:p>
    <w:p w:rsidR="00E37118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7967A0" w:rsidRPr="00783651" w:rsidRDefault="007967A0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La Economía Política de la Comunicación ha tratado tradicionalmente la </w:t>
      </w:r>
      <w:proofErr w:type="spellStart"/>
      <w:r w:rsidRPr="00E37118">
        <w:rPr>
          <w:rFonts w:ascii="Times New Roman" w:eastAsiaTheme="minorHAnsi" w:hAnsi="Times New Roman"/>
          <w:b/>
          <w:sz w:val="24"/>
          <w:szCs w:val="24"/>
          <w:lang w:val="es-US"/>
        </w:rPr>
        <w:t>espacialización</w:t>
      </w:r>
      <w:proofErr w:type="spellEnd"/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como la extensión institucional del poder corporativo en la industria de la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comunicación. Ello se manifiesta en el crecimiento absoluto del tamaño de las empresas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de medios, medido en activos, ingresos, ganancias, empleados y participaciones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accionariales. </w:t>
      </w:r>
    </w:p>
    <w:p w:rsidR="007967A0" w:rsidRPr="00783651" w:rsidRDefault="007967A0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7967A0" w:rsidRPr="00783651" w:rsidRDefault="007967A0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El tercer punto de entrada para una Economía Política de la Comunicación renovada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es la </w:t>
      </w:r>
      <w:r w:rsidRPr="00E37118">
        <w:rPr>
          <w:rFonts w:ascii="Times New Roman" w:eastAsiaTheme="minorHAnsi" w:hAnsi="Times New Roman"/>
          <w:b/>
          <w:sz w:val="24"/>
          <w:szCs w:val="24"/>
          <w:lang w:val="es-US"/>
        </w:rPr>
        <w:t>estructuración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,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tendencia en el análisis político-económico a concentrarse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en estructuras, típicamente instituciones empresariales y gubernamentales,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mediante la incorporación de ideas como acción, proceso social y práctica social.</w:t>
      </w:r>
    </w:p>
    <w:p w:rsidR="007967A0" w:rsidRPr="00783651" w:rsidRDefault="007967A0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lastRenderedPageBreak/>
        <w:t>Concretamente, ello supone ampliar la concepción de clase social, desde su sentido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estructural o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 xml:space="preserve">categórico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que la define en términos de lo que unos tienen y otros no,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para incorporar el sentido tanto relacional como constitucional del término.</w:t>
      </w:r>
    </w:p>
    <w:p w:rsidR="00E37118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5712FE" w:rsidRPr="00783651" w:rsidRDefault="00117E39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La economía </w:t>
      </w:r>
      <w:r w:rsidR="005712FE" w:rsidRPr="00783651">
        <w:rPr>
          <w:rFonts w:ascii="Times New Roman" w:eastAsiaTheme="minorHAnsi" w:hAnsi="Times New Roman"/>
          <w:sz w:val="24"/>
          <w:szCs w:val="24"/>
          <w:lang w:val="es-US"/>
        </w:rPr>
        <w:t>política de la comunicación se ha referido a la clase en estos términos, produciendo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="005712FE" w:rsidRPr="00783651">
        <w:rPr>
          <w:rFonts w:ascii="Times New Roman" w:eastAsiaTheme="minorHAnsi" w:hAnsi="Times New Roman"/>
          <w:sz w:val="24"/>
          <w:szCs w:val="24"/>
          <w:lang w:val="es-US"/>
        </w:rPr>
        <w:t>investigación que documenta las desigualdades persistentes en los sistemas de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="005712FE" w:rsidRPr="00783651">
        <w:rPr>
          <w:rFonts w:ascii="Times New Roman" w:eastAsiaTheme="minorHAnsi" w:hAnsi="Times New Roman"/>
          <w:sz w:val="24"/>
          <w:szCs w:val="24"/>
          <w:lang w:val="es-US"/>
        </w:rPr>
        <w:t>comunicaciones, particularmente en el acceso a los medios de comunicación, y la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="005712FE" w:rsidRPr="00783651">
        <w:rPr>
          <w:rFonts w:ascii="Times New Roman" w:eastAsiaTheme="minorHAnsi" w:hAnsi="Times New Roman"/>
          <w:sz w:val="24"/>
          <w:szCs w:val="24"/>
          <w:lang w:val="es-US"/>
        </w:rPr>
        <w:t>reproducción de dichas desigualdades en las instituciones sociales (</w:t>
      </w:r>
      <w:proofErr w:type="spellStart"/>
      <w:r w:rsidR="005712FE" w:rsidRPr="00783651">
        <w:rPr>
          <w:rFonts w:ascii="Times New Roman" w:eastAsiaTheme="minorHAnsi" w:hAnsi="Times New Roman"/>
          <w:sz w:val="24"/>
          <w:szCs w:val="24"/>
          <w:lang w:val="es-US"/>
        </w:rPr>
        <w:t>McChesney</w:t>
      </w:r>
      <w:proofErr w:type="spellEnd"/>
      <w:r w:rsidR="005712FE" w:rsidRPr="00783651">
        <w:rPr>
          <w:rFonts w:ascii="Times New Roman" w:eastAsiaTheme="minorHAnsi" w:hAnsi="Times New Roman"/>
          <w:sz w:val="24"/>
          <w:szCs w:val="24"/>
          <w:lang w:val="es-US"/>
        </w:rPr>
        <w:t>,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="005712FE"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1999; </w:t>
      </w:r>
      <w:proofErr w:type="spellStart"/>
      <w:r w:rsidR="005712FE" w:rsidRPr="00783651">
        <w:rPr>
          <w:rFonts w:ascii="Times New Roman" w:eastAsiaTheme="minorHAnsi" w:hAnsi="Times New Roman"/>
          <w:sz w:val="24"/>
          <w:szCs w:val="24"/>
          <w:lang w:val="es-US"/>
        </w:rPr>
        <w:t>Murdock</w:t>
      </w:r>
      <w:proofErr w:type="spellEnd"/>
      <w:r w:rsidR="005712FE"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 y </w:t>
      </w:r>
      <w:proofErr w:type="spellStart"/>
      <w:r w:rsidR="005712FE" w:rsidRPr="00783651">
        <w:rPr>
          <w:rFonts w:ascii="Times New Roman" w:eastAsiaTheme="minorHAnsi" w:hAnsi="Times New Roman"/>
          <w:sz w:val="24"/>
          <w:szCs w:val="24"/>
          <w:lang w:val="es-US"/>
        </w:rPr>
        <w:t>Golding</w:t>
      </w:r>
      <w:proofErr w:type="spellEnd"/>
      <w:r w:rsidR="005712FE" w:rsidRPr="00783651">
        <w:rPr>
          <w:rFonts w:ascii="Times New Roman" w:eastAsiaTheme="minorHAnsi" w:hAnsi="Times New Roman"/>
          <w:sz w:val="24"/>
          <w:szCs w:val="24"/>
          <w:lang w:val="es-US"/>
        </w:rPr>
        <w:t>, 2004).</w:t>
      </w:r>
    </w:p>
    <w:p w:rsidR="00E37118" w:rsidRDefault="00E37118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</w:p>
    <w:p w:rsidR="00117E39" w:rsidRPr="00783651" w:rsidRDefault="00117E39" w:rsidP="0034201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4"/>
          <w:szCs w:val="24"/>
          <w:lang w:val="es-US"/>
        </w:rPr>
      </w:pPr>
      <w:r w:rsidRPr="00783651">
        <w:rPr>
          <w:rFonts w:ascii="Times New Roman" w:eastAsiaTheme="minorHAnsi" w:hAnsi="Times New Roman"/>
          <w:sz w:val="24"/>
          <w:szCs w:val="24"/>
          <w:lang w:val="es-US"/>
        </w:rPr>
        <w:t>Una de las actividades más importantes en la estructuración es el proceso de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 xml:space="preserve">construcción de </w:t>
      </w:r>
      <w:r w:rsidRPr="00783651">
        <w:rPr>
          <w:rFonts w:ascii="Times New Roman" w:eastAsiaTheme="minorHAnsi" w:hAnsi="Times New Roman"/>
          <w:i/>
          <w:iCs/>
          <w:sz w:val="24"/>
          <w:szCs w:val="24"/>
          <w:lang w:val="es-US"/>
        </w:rPr>
        <w:t>hegemonía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, definida como aquello que llega a ser incorporado y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rebatido como la forma natural, de sentido común, tomándola por descontado, de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pensar el mundo, incluyéndolo todo, desde la cosmología hasta las prácticas sociales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cotidianas pasando por la ética. La hegemonía es una red viviente de significados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y valores mutuamente constituidos, los cuales, en tanto son experimentados</w:t>
      </w:r>
      <w:r w:rsidR="00E37118">
        <w:rPr>
          <w:rFonts w:ascii="Times New Roman" w:eastAsiaTheme="minorHAnsi" w:hAnsi="Times New Roman"/>
          <w:sz w:val="24"/>
          <w:szCs w:val="24"/>
          <w:lang w:val="es-US"/>
        </w:rPr>
        <w:t xml:space="preserve"> </w:t>
      </w:r>
      <w:r w:rsidRPr="00783651">
        <w:rPr>
          <w:rFonts w:ascii="Times New Roman" w:eastAsiaTheme="minorHAnsi" w:hAnsi="Times New Roman"/>
          <w:sz w:val="24"/>
          <w:szCs w:val="24"/>
          <w:lang w:val="es-US"/>
        </w:rPr>
        <w:t>como prácticas, se manifiestan confirmándose mutuamente.</w:t>
      </w:r>
    </w:p>
    <w:sectPr w:rsidR="00117E39" w:rsidRPr="00783651" w:rsidSect="00E37118">
      <w:pgSz w:w="12240" w:h="15840" w:code="1"/>
      <w:pgMar w:top="1417" w:right="1041" w:bottom="141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>
    <w:nsid w:val="63241A52"/>
    <w:multiLevelType w:val="hybridMultilevel"/>
    <w:tmpl w:val="74A8DA10"/>
    <w:lvl w:ilvl="0" w:tplc="7E002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2019"/>
    <w:rsid w:val="000D2019"/>
    <w:rsid w:val="00117E39"/>
    <w:rsid w:val="002D755B"/>
    <w:rsid w:val="00342011"/>
    <w:rsid w:val="003B04DC"/>
    <w:rsid w:val="00441C82"/>
    <w:rsid w:val="00487D13"/>
    <w:rsid w:val="00516175"/>
    <w:rsid w:val="005712FE"/>
    <w:rsid w:val="00725592"/>
    <w:rsid w:val="00783651"/>
    <w:rsid w:val="007967A0"/>
    <w:rsid w:val="008A0FBF"/>
    <w:rsid w:val="00966734"/>
    <w:rsid w:val="00B26E5D"/>
    <w:rsid w:val="00E3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5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1248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de la Noval Bautista</dc:creator>
  <cp:keywords/>
  <dc:description/>
  <cp:lastModifiedBy>Casa</cp:lastModifiedBy>
  <cp:revision>9</cp:revision>
  <dcterms:created xsi:type="dcterms:W3CDTF">2017-12-02T11:51:00Z</dcterms:created>
  <dcterms:modified xsi:type="dcterms:W3CDTF">2020-03-11T20:00:00Z</dcterms:modified>
</cp:coreProperties>
</file>