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pPr>
      <w:r>
        <w:t>Teoría política</w:t>
      </w:r>
    </w:p>
    <w:p>
      <w:pPr>
        <w:pStyle w:val="style0"/>
        <w:rPr/>
      </w:pPr>
      <w:r>
        <w:t>Guía de estudio 1 tema 2 sobre corrientes políticas</w:t>
      </w:r>
    </w:p>
    <w:p>
      <w:pPr>
        <w:pStyle w:val="style0"/>
        <w:rPr/>
      </w:pPr>
      <w:r>
        <w:t>1.- En el mundo actual existe una amplia gama de corrientes y se hace cada</w:t>
      </w:r>
      <w:r>
        <w:t xml:space="preserve"> vez más imprecisa su ubicación. De la siguiente lista determine cuáles usted ubicaría como corriente de derecha o de izquierda. Puede agregar alguna de su interés.</w:t>
      </w:r>
    </w:p>
    <w:p>
      <w:pPr>
        <w:pStyle w:val="style0"/>
        <w:numPr>
          <w:ilvl w:val="0"/>
          <w:numId w:val="1"/>
        </w:numPr>
        <w:spacing w:after="0" w:lineRule="auto" w:line="240"/>
        <w:jc w:val="both"/>
        <w:rPr>
          <w:rFonts w:ascii="Arial" w:cs="Arial" w:eastAsia="Calibri" w:hAnsi="Arial"/>
          <w:sz w:val="20"/>
          <w:szCs w:val="20"/>
        </w:rPr>
      </w:pPr>
      <w:r>
        <w:rPr>
          <w:rFonts w:ascii="Arial" w:cs="Arial" w:hAnsi="Arial"/>
          <w:sz w:val="20"/>
          <w:szCs w:val="20"/>
        </w:rPr>
        <w:t>Neol</w:t>
      </w:r>
      <w:r>
        <w:rPr>
          <w:rFonts w:ascii="Arial" w:cs="Arial" w:eastAsia="Calibri" w:hAnsi="Arial"/>
          <w:sz w:val="20"/>
          <w:szCs w:val="20"/>
        </w:rPr>
        <w:t>iberalismo.</w:t>
      </w:r>
      <w:r>
        <w:rPr>
          <w:rFonts w:ascii="Arial" w:cs="Arial" w:eastAsia="Calibri" w:hAnsi="Arial"/>
          <w:sz w:val="20"/>
          <w:szCs w:val="20"/>
        </w:rPr>
        <w:t xml:space="preserve"> D</w:t>
      </w:r>
    </w:p>
    <w:p>
      <w:pPr>
        <w:pStyle w:val="style0"/>
        <w:numPr>
          <w:ilvl w:val="0"/>
          <w:numId w:val="1"/>
        </w:numPr>
        <w:spacing w:after="0" w:lineRule="auto" w:line="240"/>
        <w:jc w:val="both"/>
        <w:rPr>
          <w:rFonts w:ascii="Arial" w:cs="Arial" w:eastAsia="Calibri" w:hAnsi="Arial"/>
          <w:sz w:val="20"/>
          <w:szCs w:val="20"/>
        </w:rPr>
      </w:pPr>
      <w:r>
        <w:rPr>
          <w:rFonts w:ascii="Arial" w:cs="Arial" w:hAnsi="Arial"/>
          <w:sz w:val="20"/>
          <w:szCs w:val="20"/>
        </w:rPr>
        <w:t>Neoconservadurismo</w:t>
      </w:r>
      <w:r>
        <w:rPr>
          <w:rFonts w:ascii="Arial" w:cs="Arial" w:hAnsi="Arial"/>
          <w:sz w:val="20"/>
          <w:szCs w:val="20"/>
        </w:rPr>
        <w:t>D</w:t>
      </w:r>
    </w:p>
    <w:p>
      <w:pPr>
        <w:pStyle w:val="style0"/>
        <w:numPr>
          <w:ilvl w:val="0"/>
          <w:numId w:val="1"/>
        </w:numPr>
        <w:spacing w:after="0" w:lineRule="auto" w:line="240"/>
        <w:jc w:val="both"/>
        <w:rPr>
          <w:rFonts w:ascii="Arial" w:cs="Arial" w:eastAsia="Calibri" w:hAnsi="Arial"/>
          <w:sz w:val="20"/>
          <w:szCs w:val="20"/>
        </w:rPr>
      </w:pPr>
      <w:r>
        <w:rPr>
          <w:rFonts w:ascii="Arial" w:cs="Arial" w:hAnsi="Arial"/>
          <w:sz w:val="20"/>
          <w:szCs w:val="20"/>
        </w:rPr>
        <w:t xml:space="preserve">El </w:t>
      </w:r>
      <w:r>
        <w:rPr>
          <w:rFonts w:ascii="Arial" w:cs="Arial" w:hAnsi="Arial"/>
          <w:sz w:val="20"/>
          <w:szCs w:val="20"/>
        </w:rPr>
        <w:t>comunitarismo</w:t>
      </w:r>
      <w:r>
        <w:rPr>
          <w:rFonts w:ascii="Arial" w:cs="Arial" w:hAnsi="Arial"/>
          <w:sz w:val="20"/>
          <w:szCs w:val="20"/>
        </w:rPr>
        <w:t xml:space="preserve"> I</w:t>
      </w:r>
    </w:p>
    <w:p>
      <w:pPr>
        <w:pStyle w:val="style0"/>
        <w:numPr>
          <w:ilvl w:val="0"/>
          <w:numId w:val="1"/>
        </w:numPr>
        <w:spacing w:after="0" w:lineRule="auto" w:line="240"/>
        <w:jc w:val="both"/>
        <w:rPr>
          <w:rFonts w:ascii="Arial" w:cs="Arial" w:eastAsia="Calibri" w:hAnsi="Arial"/>
          <w:sz w:val="20"/>
          <w:szCs w:val="20"/>
        </w:rPr>
      </w:pPr>
      <w:r>
        <w:rPr>
          <w:rFonts w:ascii="Arial" w:cs="Arial" w:hAnsi="Arial"/>
          <w:sz w:val="20"/>
          <w:szCs w:val="20"/>
        </w:rPr>
        <w:t>El marxismo</w:t>
      </w:r>
      <w:r>
        <w:rPr>
          <w:rFonts w:ascii="Arial" w:cs="Arial" w:hAnsi="Arial"/>
          <w:sz w:val="20"/>
          <w:szCs w:val="20"/>
        </w:rPr>
        <w:t xml:space="preserve"> I</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La socialdemocracia.</w:t>
      </w:r>
      <w:r>
        <w:rPr>
          <w:rFonts w:ascii="Arial" w:cs="Arial" w:eastAsia="Calibri" w:hAnsi="Arial"/>
          <w:sz w:val="20"/>
          <w:szCs w:val="20"/>
        </w:rPr>
        <w:t xml:space="preserve"> I</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El socialcristianismo (</w:t>
      </w:r>
      <w:r>
        <w:rPr>
          <w:rFonts w:ascii="Arial" w:cs="Arial" w:hAnsi="Arial"/>
          <w:sz w:val="20"/>
          <w:szCs w:val="20"/>
        </w:rPr>
        <w:t xml:space="preserve">o </w:t>
      </w:r>
      <w:r>
        <w:rPr>
          <w:rFonts w:ascii="Arial" w:cs="Arial" w:eastAsia="Calibri" w:hAnsi="Arial"/>
          <w:sz w:val="20"/>
          <w:szCs w:val="20"/>
        </w:rPr>
        <w:t>democracia cristiana).</w:t>
      </w:r>
      <w:r>
        <w:rPr>
          <w:rFonts w:ascii="Arial" w:cs="Arial" w:eastAsia="Calibri" w:hAnsi="Arial"/>
          <w:sz w:val="20"/>
          <w:szCs w:val="20"/>
        </w:rPr>
        <w:t xml:space="preserve"> D y I </w:t>
      </w:r>
    </w:p>
    <w:p>
      <w:pPr>
        <w:pStyle w:val="style0"/>
        <w:numPr>
          <w:ilvl w:val="0"/>
          <w:numId w:val="1"/>
        </w:numPr>
        <w:spacing w:after="0" w:lineRule="auto" w:line="240"/>
        <w:jc w:val="both"/>
        <w:rPr>
          <w:rFonts w:ascii="Arial" w:cs="Arial" w:eastAsia="Calibri" w:hAnsi="Arial"/>
          <w:sz w:val="20"/>
          <w:szCs w:val="20"/>
        </w:rPr>
      </w:pPr>
      <w:r>
        <w:rPr>
          <w:rFonts w:ascii="Arial" w:cs="Arial" w:hAnsi="Arial"/>
          <w:sz w:val="20"/>
          <w:szCs w:val="20"/>
        </w:rPr>
        <w:t>El feminismo</w:t>
      </w:r>
      <w:r>
        <w:rPr>
          <w:rFonts w:ascii="Arial" w:cs="Arial" w:hAnsi="Arial"/>
          <w:sz w:val="20"/>
          <w:szCs w:val="20"/>
        </w:rPr>
        <w:t xml:space="preserve"> I</w:t>
      </w:r>
      <w:r>
        <w:rPr>
          <w:rFonts w:ascii="Arial" w:cs="Arial" w:hAnsi="Arial"/>
          <w:sz w:val="20"/>
          <w:szCs w:val="20"/>
        </w:rPr>
        <w:t xml:space="preserve"> y D</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 xml:space="preserve">El </w:t>
      </w:r>
      <w:r>
        <w:rPr>
          <w:rFonts w:ascii="Arial" w:cs="Arial" w:eastAsia="Calibri" w:hAnsi="Arial"/>
          <w:sz w:val="20"/>
          <w:szCs w:val="20"/>
        </w:rPr>
        <w:t>medioambientalismo</w:t>
      </w:r>
      <w:r>
        <w:rPr>
          <w:rFonts w:ascii="Arial" w:cs="Arial" w:eastAsia="Calibri" w:hAnsi="Arial"/>
          <w:sz w:val="20"/>
          <w:szCs w:val="20"/>
        </w:rPr>
        <w:t>.</w:t>
      </w:r>
      <w:r>
        <w:rPr>
          <w:rFonts w:ascii="Arial" w:cs="Arial" w:eastAsia="Calibri" w:hAnsi="Arial"/>
          <w:sz w:val="20"/>
          <w:szCs w:val="20"/>
        </w:rPr>
        <w:t xml:space="preserve"> I</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El fascismo.</w:t>
      </w:r>
      <w:r>
        <w:rPr>
          <w:rFonts w:ascii="Arial" w:cs="Arial" w:eastAsia="Calibri" w:hAnsi="Arial"/>
          <w:sz w:val="20"/>
          <w:szCs w:val="20"/>
        </w:rPr>
        <w:t xml:space="preserve"> D</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El fundamentalismo.</w:t>
      </w:r>
      <w:r>
        <w:rPr>
          <w:rFonts w:ascii="Arial" w:cs="Arial" w:eastAsia="Calibri" w:hAnsi="Arial"/>
          <w:sz w:val="20"/>
          <w:szCs w:val="20"/>
        </w:rPr>
        <w:t xml:space="preserve"> D</w:t>
      </w:r>
    </w:p>
    <w:p>
      <w:pPr>
        <w:pStyle w:val="style0"/>
        <w:numPr>
          <w:ilvl w:val="0"/>
          <w:numId w:val="1"/>
        </w:numPr>
        <w:spacing w:after="0" w:lineRule="auto" w:line="240"/>
        <w:jc w:val="both"/>
        <w:rPr>
          <w:rFonts w:ascii="Arial" w:cs="Arial" w:eastAsia="Calibri" w:hAnsi="Arial"/>
          <w:sz w:val="20"/>
          <w:szCs w:val="20"/>
        </w:rPr>
      </w:pPr>
      <w:r>
        <w:rPr>
          <w:rFonts w:ascii="Arial" w:cs="Arial" w:eastAsia="Calibri" w:hAnsi="Arial"/>
          <w:sz w:val="20"/>
          <w:szCs w:val="20"/>
        </w:rPr>
        <w:t>El racismo.</w:t>
      </w:r>
      <w:r>
        <w:rPr>
          <w:rFonts w:ascii="Arial" w:cs="Arial" w:eastAsia="Calibri" w:hAnsi="Arial"/>
          <w:sz w:val="20"/>
          <w:szCs w:val="20"/>
        </w:rPr>
        <w:t xml:space="preserve"> </w:t>
      </w:r>
      <w:r>
        <w:rPr>
          <w:rFonts w:ascii="Arial" w:cs="Arial" w:eastAsia="Calibri" w:hAnsi="Arial"/>
          <w:sz w:val="20"/>
          <w:szCs w:val="20"/>
        </w:rPr>
        <w:t>D</w:t>
      </w:r>
    </w:p>
    <w:p>
      <w:pPr>
        <w:pStyle w:val="style0"/>
        <w:numPr>
          <w:ilvl w:val="0"/>
          <w:numId w:val="1"/>
        </w:numPr>
        <w:spacing w:after="0" w:lineRule="auto" w:line="240"/>
        <w:jc w:val="both"/>
        <w:rPr>
          <w:rFonts w:ascii="Arial" w:cs="Arial" w:hAnsi="Arial"/>
          <w:sz w:val="20"/>
          <w:szCs w:val="20"/>
        </w:rPr>
      </w:pPr>
      <w:r>
        <w:rPr>
          <w:rFonts w:ascii="Arial" w:cs="Arial" w:eastAsia="Calibri" w:hAnsi="Arial"/>
          <w:sz w:val="20"/>
          <w:szCs w:val="20"/>
        </w:rPr>
        <w:t>El postmodernismo.</w:t>
      </w:r>
      <w:r>
        <w:rPr>
          <w:rFonts w:ascii="Arial" w:cs="Arial" w:eastAsia="Calibri" w:hAnsi="Arial"/>
          <w:sz w:val="20"/>
          <w:szCs w:val="20"/>
        </w:rPr>
        <w:t xml:space="preserve"> I</w:t>
      </w:r>
    </w:p>
    <w:p>
      <w:pPr>
        <w:pStyle w:val="style0"/>
        <w:spacing w:after="0" w:lineRule="auto" w:line="240"/>
        <w:ind w:left="720"/>
        <w:jc w:val="both"/>
        <w:rPr>
          <w:rFonts w:ascii="Arial" w:cs="Arial" w:hAnsi="Arial"/>
          <w:sz w:val="20"/>
          <w:szCs w:val="20"/>
        </w:rPr>
      </w:pPr>
    </w:p>
    <w:p>
      <w:pPr>
        <w:pStyle w:val="style0"/>
        <w:spacing w:after="0" w:lineRule="auto" w:line="240"/>
        <w:ind w:left="720"/>
        <w:jc w:val="both"/>
        <w:rPr>
          <w:rFonts w:ascii="Arial" w:cs="Arial" w:hAnsi="Arial"/>
          <w:sz w:val="20"/>
          <w:szCs w:val="20"/>
        </w:rPr>
      </w:pPr>
    </w:p>
    <w:p>
      <w:pPr>
        <w:pStyle w:val="style0"/>
        <w:spacing w:after="0" w:lineRule="auto" w:line="240"/>
        <w:ind w:left="720"/>
        <w:jc w:val="both"/>
        <w:rPr>
          <w:rFonts w:ascii="Arial" w:cs="Arial" w:hAnsi="Arial"/>
          <w:sz w:val="20"/>
          <w:szCs w:val="20"/>
        </w:rPr>
      </w:pPr>
    </w:p>
    <w:p>
      <w:pPr>
        <w:pStyle w:val="style0"/>
        <w:spacing w:after="0" w:lineRule="auto" w:line="240"/>
        <w:jc w:val="both"/>
        <w:rPr>
          <w:rFonts w:ascii="Arial" w:cs="Arial" w:hAnsi="Arial"/>
          <w:sz w:val="20"/>
          <w:szCs w:val="20"/>
        </w:rPr>
      </w:pPr>
      <w:r>
        <w:t>2.-</w:t>
      </w:r>
      <w:r>
        <w:t xml:space="preserve">Estudios políticos recientes plantean que el mundo vive un proceso de derechización creciente. </w:t>
      </w:r>
    </w:p>
    <w:p>
      <w:pPr>
        <w:pStyle w:val="style179"/>
        <w:numPr>
          <w:ilvl w:val="0"/>
          <w:numId w:val="3"/>
        </w:numPr>
        <w:rPr/>
      </w:pPr>
      <w:r>
        <w:t>Valore esta afirmación.</w:t>
      </w:r>
    </w:p>
    <w:p>
      <w:pPr>
        <w:pStyle w:val="style179"/>
        <w:numPr>
          <w:ilvl w:val="0"/>
          <w:numId w:val="3"/>
        </w:numPr>
        <w:rPr/>
      </w:pPr>
      <w:r>
        <w:t>Ponga ejemplos que demuestren su valoración.</w:t>
      </w:r>
    </w:p>
    <w:p>
      <w:pPr>
        <w:pStyle w:val="style0"/>
        <w:rPr/>
      </w:pPr>
      <w:r>
        <w:t>3)</w:t>
      </w:r>
      <w:r>
        <w:t xml:space="preserve"> </w:t>
      </w:r>
      <w:r>
        <w:t>Estudios políticos recientes plantean</w:t>
      </w:r>
      <w:r>
        <w:t xml:space="preserve"> </w:t>
      </w:r>
      <w:r>
        <w:t>que</w:t>
      </w:r>
      <w:r>
        <w:t xml:space="preserve"> tras </w:t>
      </w:r>
      <w:r>
        <w:t xml:space="preserve">la izquierda mundial </w:t>
      </w:r>
      <w:r>
        <w:t>sufre hoy un gran vacío ideológico, pérdida de credibilidad y de relevancia política. Argumente teniendo en cuenta:</w:t>
      </w:r>
    </w:p>
    <w:p>
      <w:pPr>
        <w:pStyle w:val="style0"/>
        <w:rPr/>
      </w:pPr>
      <w:r>
        <w:t>a) El contexto político tras la caída del campo socialista en Europa</w:t>
      </w:r>
    </w:p>
    <w:p>
      <w:pPr>
        <w:pStyle w:val="style0"/>
        <w:rPr/>
      </w:pPr>
      <w:r>
        <w:t>b) Errores cometidos por los partidos de izquierda</w:t>
      </w:r>
    </w:p>
    <w:p>
      <w:pPr>
        <w:pStyle w:val="style0"/>
        <w:rPr/>
      </w:pPr>
      <w:r>
        <w:t>A continuación, presento un análisis valorativo de ambas afirmaciones, estructurado según lo solicitado.</w:t>
      </w:r>
    </w:p>
    <w:p>
      <w:pPr>
        <w:pStyle w:val="style0"/>
        <w:rPr/>
      </w:pPr>
      <w:r>
        <w:t xml:space="preserve">2. </w:t>
      </w:r>
      <w:r>
        <w:t xml:space="preserve"> Considero que la afirmación es correcta en términos generales, aunque con matices. Efectivamente, existe una tendencia global hacia el conservadurismo y la derecha populista, pero este fenómeno no es homogéneo ni irreversible, y enfrenta contradicciones internas significativas.</w:t>
      </w:r>
    </w:p>
    <w:p>
      <w:pPr>
        <w:pStyle w:val="style0"/>
        <w:rPr/>
      </w:pPr>
      <w:r>
        <w:t>Evidencia empírica que respalda la tesis</w:t>
      </w:r>
    </w:p>
    <w:p>
      <w:pPr>
        <w:pStyle w:val="style0"/>
        <w:rPr/>
      </w:pPr>
      <w:r>
        <w:t>Existen múltiples ejemplos recientes que demuestran este giro a la derecha en distintas regiones:</w:t>
      </w:r>
    </w:p>
    <w:p>
      <w:pPr>
        <w:pStyle w:val="style0"/>
        <w:rPr/>
      </w:pPr>
      <w:r>
        <w:t>América:</w:t>
      </w:r>
    </w:p>
    <w:p>
      <w:pPr>
        <w:pStyle w:val="style0"/>
        <w:rPr/>
      </w:pPr>
      <w:r>
        <w:t>· Chile: En diciembre de 2025, el candidato de derecha José Antonio Kast (Partido Republicano) derrotó al izquierdista Gabriel Boric, asumiendo en marzo de 2026 con un programa de mano dura contra la inmigración y el crimen . Kast es considerado el presidente más derechista desde Pinochet .</w:t>
      </w:r>
    </w:p>
    <w:p>
      <w:pPr>
        <w:pStyle w:val="style0"/>
        <w:rPr/>
      </w:pPr>
      <w:r>
        <w:t>· Estados Unidos: La administración Trump impulsó aranceles generalizados y una política exterior agresiva que ha servido como modelo ideológico para movimientos afines globalmente .</w:t>
      </w:r>
    </w:p>
    <w:p>
      <w:pPr>
        <w:pStyle w:val="style0"/>
        <w:rPr/>
      </w:pPr>
      <w:r>
        <w:t>Europa:</w:t>
      </w:r>
    </w:p>
    <w:p>
      <w:pPr>
        <w:pStyle w:val="style0"/>
        <w:rPr/>
      </w:pPr>
      <w:r>
        <w:t>· Alemania: Alternativa para Alemania (AfD) se consolidó como la segunda fuerza política, obteniendo un 20,8% en las elecciones de 2025 .</w:t>
      </w:r>
    </w:p>
    <w:p>
      <w:pPr>
        <w:pStyle w:val="style0"/>
        <w:rPr/>
      </w:pPr>
      <w:r>
        <w:t>· Austria: El Partido de la Libertad ganó las elecciones parlamentarias de 2024 .</w:t>
      </w:r>
    </w:p>
    <w:p>
      <w:pPr>
        <w:pStyle w:val="style0"/>
        <w:rPr/>
      </w:pPr>
      <w:r>
        <w:t>· Francia: La Agrupación Nacional de Marine Le Pen duplicó su representación en la Asamblea Nacional en 2024 .</w:t>
      </w:r>
    </w:p>
    <w:p>
      <w:pPr>
        <w:pStyle w:val="style0"/>
        <w:rPr/>
      </w:pPr>
      <w:r>
        <w:t>· Países Bajos: El Partido por la Libertad de Geert Wilders entró en el gobierno .</w:t>
      </w:r>
    </w:p>
    <w:p>
      <w:pPr>
        <w:pStyle w:val="style0"/>
        <w:rPr/>
      </w:pPr>
      <w:r>
        <w:t>· Portugal: El partido Chega ("Basta"), fundado en 2019, logró resultados históricos .</w:t>
      </w:r>
    </w:p>
    <w:p>
      <w:pPr>
        <w:pStyle w:val="style0"/>
        <w:rPr/>
      </w:pPr>
      <w:r>
        <w:t>Asia:</w:t>
      </w:r>
    </w:p>
    <w:p>
      <w:pPr>
        <w:pStyle w:val="style0"/>
        <w:rPr/>
      </w:pPr>
      <w:r>
        <w:t>· Japón: En octubre de 2025, la conservadora Sanae Takaichi fue elegida primera ministra, impulsando una agenda de revisión constitucional y expansión militar. Paralelamente, el partido nacionalista Sanseito ("Partido de la Primera Japonés") capturó 15 escaños en las elecciones de julio, pasando de ser un grupo marginal a una fuerza clave .</w:t>
      </w:r>
    </w:p>
    <w:p>
      <w:pPr>
        <w:pStyle w:val="style0"/>
        <w:rPr/>
      </w:pPr>
      <w:r>
        <w:t>Matices y contradicciones del fenómeno</w:t>
      </w:r>
    </w:p>
    <w:p>
      <w:pPr>
        <w:pStyle w:val="style0"/>
        <w:rPr/>
      </w:pPr>
      <w:r>
        <w:t>A pesar de esta tendencia, existen elementos que matizan la afirmación:</w:t>
      </w:r>
    </w:p>
    <w:p>
      <w:pPr>
        <w:pStyle w:val="style0"/>
        <w:rPr/>
      </w:pPr>
      <w:r>
        <w:t>1. Resurgimiento paralelo de la izquierda: El activismo de la administración Trump también ha catalizado reacciones de izquierda. En Canadá, el primer ministro Carney impulsa políticas económicas de corte socialista para contrarrestar la presión estadounidense . En Europa, partidos como La Francia Insumisa, Podemos en España y Die Linke en Alemania han mantenido o aumentado su relevancia . En Alemania, la izquierda pasó del 4,9% al 8,8% en 2025 .</w:t>
      </w:r>
    </w:p>
    <w:p>
      <w:pPr>
        <w:pStyle w:val="style0"/>
        <w:rPr/>
      </w:pPr>
      <w:r>
        <w:t>2. Fragilidad de la "red derechista": Los analistas señalan que este movimiento global carece de una agenda constructiva unificada. La contradicción fundamental radica en el choque entre "Estados Unidos primero" y "Europa primero", además de divisiones profundas en temas como la guerra en Ucrania (con Orbán apoyando a Rusia y Polonia a Ucrania) .</w:t>
      </w:r>
    </w:p>
    <w:p>
      <w:pPr>
        <w:pStyle w:val="style0"/>
        <w:rPr/>
      </w:pPr>
      <w:r>
        <w:t>3. Ciclo político: Los expertos sugieren que, una vez en el poder, muchos gobiernos de derecha se moderan al enfrentar las realidades económicas y sociales. "Tanto si es un gobierno de derecha, izquierda o centro, todos se enfrentan a los mismos desafíos" .</w:t>
      </w:r>
    </w:p>
    <w:p>
      <w:pPr>
        <w:pStyle w:val="style0"/>
        <w:rPr/>
      </w:pPr>
    </w:p>
    <w:p>
      <w:pPr>
        <w:pStyle w:val="style0"/>
        <w:rPr/>
      </w:pPr>
      <w:r>
        <w:t xml:space="preserve">3. </w:t>
      </w:r>
    </w:p>
    <w:p>
      <w:pPr>
        <w:pStyle w:val="style0"/>
        <w:rPr/>
      </w:pPr>
      <w:r>
        <w:t xml:space="preserve"> La afirmación sobre el vacío ideológico, pérdida de credibilidad y relevancia de la izquierda es fundamentalmente acertada, especialmente en el contexto occidental. Sin embargo, existen excepciones notables y un potencial de revitalización.</w:t>
      </w:r>
    </w:p>
    <w:p>
      <w:pPr>
        <w:pStyle w:val="style0"/>
        <w:rPr/>
      </w:pPr>
      <w:r>
        <w:t>a) Contexto político tras la caída del campo socialista en Europa</w:t>
      </w:r>
    </w:p>
    <w:p>
      <w:pPr>
        <w:pStyle w:val="style0"/>
        <w:rPr/>
      </w:pPr>
      <w:r>
        <w:t>La desaparición de la URSS en 1991 fue un punto de inflexión catastrófico para la izquierda europea:</w:t>
      </w:r>
    </w:p>
    <w:p>
      <w:pPr>
        <w:pStyle w:val="style0"/>
        <w:rPr/>
      </w:pPr>
      <w:r>
        <w:t xml:space="preserve"> Fin del respaldo institucional: Los partidos comunistas y obreros de Europa oriental y occidental perdieron su principal fuente de apoyo financiero, ideológico e informativo .</w:t>
      </w:r>
    </w:p>
    <w:p>
      <w:pPr>
        <w:pStyle w:val="style0"/>
        <w:rPr/>
      </w:pPr>
      <w:r>
        <w:t>· Asociación negativa: La izquierda quedó vinculada en el imaginario público al "pseudosocialismo soviético": autoritarismo, falta de libertades, economía débil y bajo nivel de vida. En Europa del Este, muchos partidos comunistas simplemente desaparecieron .</w:t>
      </w:r>
    </w:p>
    <w:p>
      <w:pPr>
        <w:pStyle w:val="style0"/>
        <w:rPr/>
      </w:pPr>
      <w:r>
        <w:t>· Desintegración de referentes: Partidos históricos como el Partido Comunista Italiano (que hasta 1990 obtenía resultados de dos dígitos) se disolvieron. Los partidos comunistas de Francia y España sufrieron caídas abrupta</w:t>
      </w:r>
      <w:r>
        <w:t>.</w:t>
      </w:r>
    </w:p>
    <w:p>
      <w:pPr>
        <w:pStyle w:val="style0"/>
        <w:rPr/>
      </w:pPr>
      <w:r>
        <w:t>b) Errores cometidos por los partidos de izquierd</w:t>
      </w:r>
      <w:r>
        <w:t>a</w:t>
      </w:r>
    </w:p>
    <w:p>
      <w:pPr>
        <w:pStyle w:val="style0"/>
        <w:rPr/>
      </w:pPr>
      <w:r>
        <w:t>1. Abandono del internacionalismo y la crítica al capitalismo</w:t>
      </w:r>
      <w:r>
        <w:t>La izquierda occidental "traicionó ya en la década de 1980, al volverse demasiado blanda, indisciplinada, cautelosa y egocéntrica". Puso el pragmatismo por encima de los ideales y "abandonó el elemento central de cualquier verdadera identidad de izquierda: el internacionalismo" . Sin principios internacionalistas, la izquierda se redujo a un "sindicato local" que lucha por mejores condiciones en casa mientras ignora el saqueo neocolonial del mundo .</w:t>
      </w:r>
    </w:p>
    <w:p>
      <w:pPr>
        <w:pStyle w:val="style0"/>
        <w:rPr/>
      </w:pPr>
      <w:r>
        <w:t>2. Adopción del lenguaje liberal y corrección política</w:t>
      </w:r>
    </w:p>
    <w:p>
      <w:pPr>
        <w:pStyle w:val="style0"/>
        <w:rPr/>
      </w:pPr>
      <w:r>
        <w:t>La izquierda adoptó rápidamente el léxico del establishment ideológico liberal, incluyendo las percepciones occidentales de derechos humanos, principios democráticos y corrección política. Dejó de ser revolucionaria; esencialmente detuvo todas las actividades revolucionarias .</w:t>
      </w:r>
    </w:p>
    <w:p>
      <w:pPr>
        <w:pStyle w:val="style0"/>
        <w:rPr/>
      </w:pPr>
      <w:r>
        <w:t>3</w:t>
      </w:r>
      <w:r>
        <w:t>. Pérdida de conexión con la clase trabajadora tradicional</w:t>
      </w:r>
    </w:p>
    <w:p>
      <w:pPr>
        <w:pStyle w:val="style0"/>
        <w:rPr/>
      </w:pPr>
      <w:r>
        <w:t>Mientras la izquierda se enfocaba en políticas de identidad y temas "culturales", las condiciones materiales de los hogares de clase trabajadora empeoraban: caída de ingresos reales, multiplicación de empleos precarios y deterioro de servicios públicos . Como resultado, "la izquierda occidental perdió patente y descaradamente. Casi no tiene poder, no tiene valor para luchar o correr riesgos" .</w:t>
      </w:r>
    </w:p>
    <w:p>
      <w:pPr>
        <w:pStyle w:val="style0"/>
        <w:rPr/>
      </w:pPr>
      <w:r>
        <w:t>4</w:t>
      </w:r>
      <w:r>
        <w:t>. Falta de propuestas ante la hiperglobalización</w:t>
      </w:r>
    </w:p>
    <w:p>
      <w:pPr>
        <w:pStyle w:val="style0"/>
        <w:rPr/>
      </w:pPr>
      <w:r>
        <w:t>La izquierda no ha logrado articular una alternativa coherente a la hiperglobalización que ha devastado las economías industriales tradicionales. En lugar de repudiar explícitamente la filosofía de la hiperglobalización que adoptaron imprudentemente, muchos partidos socialdemócratas siguen atados a las ortodoxias neoliberales .</w:t>
      </w:r>
    </w:p>
    <w:p>
      <w:pPr>
        <w:pStyle w:val="style0"/>
        <w:rPr/>
      </w:pPr>
    </w:p>
    <w:p>
      <w:pPr>
        <w:pStyle w:val="style0"/>
        <w:rPr/>
      </w:pPr>
    </w:p>
    <w:p>
      <w:pPr>
        <w:pStyle w:val="style0"/>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1A3A10"/>
    <w:lvl w:ilvl="0" w:tplc="D64CBEA2">
      <w:start w:val="1"/>
      <w:numFmt w:val="bullet"/>
      <w:lvlText w:val="•"/>
      <w:lvlJc w:val="left"/>
      <w:pPr>
        <w:tabs>
          <w:tab w:val="left" w:leader="none" w:pos="720"/>
        </w:tabs>
        <w:ind w:left="720" w:hanging="360"/>
      </w:pPr>
      <w:rPr>
        <w:rFonts w:ascii="Arial" w:hAnsi="Arial" w:hint="default"/>
      </w:rPr>
    </w:lvl>
    <w:lvl w:ilvl="1" w:tplc="DD8CFB6A" w:tentative="1">
      <w:start w:val="1"/>
      <w:numFmt w:val="bullet"/>
      <w:lvlText w:val="•"/>
      <w:lvlJc w:val="left"/>
      <w:pPr>
        <w:tabs>
          <w:tab w:val="left" w:leader="none" w:pos="1440"/>
        </w:tabs>
        <w:ind w:left="1440" w:hanging="360"/>
      </w:pPr>
      <w:rPr>
        <w:rFonts w:ascii="Arial" w:hAnsi="Arial" w:hint="default"/>
      </w:rPr>
    </w:lvl>
    <w:lvl w:ilvl="2" w:tplc="BF34C828" w:tentative="1">
      <w:start w:val="1"/>
      <w:numFmt w:val="bullet"/>
      <w:lvlText w:val="•"/>
      <w:lvlJc w:val="left"/>
      <w:pPr>
        <w:tabs>
          <w:tab w:val="left" w:leader="none" w:pos="2160"/>
        </w:tabs>
        <w:ind w:left="2160" w:hanging="360"/>
      </w:pPr>
      <w:rPr>
        <w:rFonts w:ascii="Arial" w:hAnsi="Arial" w:hint="default"/>
      </w:rPr>
    </w:lvl>
    <w:lvl w:ilvl="3" w:tplc="1BD066CA" w:tentative="1">
      <w:start w:val="1"/>
      <w:numFmt w:val="bullet"/>
      <w:lvlText w:val="•"/>
      <w:lvlJc w:val="left"/>
      <w:pPr>
        <w:tabs>
          <w:tab w:val="left" w:leader="none" w:pos="2880"/>
        </w:tabs>
        <w:ind w:left="2880" w:hanging="360"/>
      </w:pPr>
      <w:rPr>
        <w:rFonts w:ascii="Arial" w:hAnsi="Arial" w:hint="default"/>
      </w:rPr>
    </w:lvl>
    <w:lvl w:ilvl="4" w:tplc="F4948EBC" w:tentative="1">
      <w:start w:val="1"/>
      <w:numFmt w:val="bullet"/>
      <w:lvlText w:val="•"/>
      <w:lvlJc w:val="left"/>
      <w:pPr>
        <w:tabs>
          <w:tab w:val="left" w:leader="none" w:pos="3600"/>
        </w:tabs>
        <w:ind w:left="3600" w:hanging="360"/>
      </w:pPr>
      <w:rPr>
        <w:rFonts w:ascii="Arial" w:hAnsi="Arial" w:hint="default"/>
      </w:rPr>
    </w:lvl>
    <w:lvl w:ilvl="5" w:tplc="6C3E14D8" w:tentative="1">
      <w:start w:val="1"/>
      <w:numFmt w:val="bullet"/>
      <w:lvlText w:val="•"/>
      <w:lvlJc w:val="left"/>
      <w:pPr>
        <w:tabs>
          <w:tab w:val="left" w:leader="none" w:pos="4320"/>
        </w:tabs>
        <w:ind w:left="4320" w:hanging="360"/>
      </w:pPr>
      <w:rPr>
        <w:rFonts w:ascii="Arial" w:hAnsi="Arial" w:hint="default"/>
      </w:rPr>
    </w:lvl>
    <w:lvl w:ilvl="6" w:tplc="2AA2080A" w:tentative="1">
      <w:start w:val="1"/>
      <w:numFmt w:val="bullet"/>
      <w:lvlText w:val="•"/>
      <w:lvlJc w:val="left"/>
      <w:pPr>
        <w:tabs>
          <w:tab w:val="left" w:leader="none" w:pos="5040"/>
        </w:tabs>
        <w:ind w:left="5040" w:hanging="360"/>
      </w:pPr>
      <w:rPr>
        <w:rFonts w:ascii="Arial" w:hAnsi="Arial" w:hint="default"/>
      </w:rPr>
    </w:lvl>
    <w:lvl w:ilvl="7" w:tplc="B9A6A570" w:tentative="1">
      <w:start w:val="1"/>
      <w:numFmt w:val="bullet"/>
      <w:lvlText w:val="•"/>
      <w:lvlJc w:val="left"/>
      <w:pPr>
        <w:tabs>
          <w:tab w:val="left" w:leader="none" w:pos="5760"/>
        </w:tabs>
        <w:ind w:left="5760" w:hanging="360"/>
      </w:pPr>
      <w:rPr>
        <w:rFonts w:ascii="Arial" w:hAnsi="Arial" w:hint="default"/>
      </w:rPr>
    </w:lvl>
    <w:lvl w:ilvl="8" w:tplc="6B02B5E6" w:tentative="1">
      <w:start w:val="1"/>
      <w:numFmt w:val="bullet"/>
      <w:lvlText w:val="•"/>
      <w:lvlJc w:val="left"/>
      <w:pPr>
        <w:tabs>
          <w:tab w:val="left" w:leader="none" w:pos="6480"/>
        </w:tabs>
        <w:ind w:left="6480" w:hanging="360"/>
      </w:pPr>
      <w:rPr>
        <w:rFonts w:ascii="Arial" w:hAnsi="Arial" w:hint="default"/>
      </w:rPr>
    </w:lvl>
  </w:abstractNum>
  <w:abstractNum w:abstractNumId="1">
    <w:nsid w:val="00000001"/>
    <w:multiLevelType w:val="hybridMultilevel"/>
    <w:tmpl w:val="A24CDFC4"/>
    <w:lvl w:ilvl="0" w:tplc="676880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0000002"/>
    <w:multiLevelType w:val="hybridMultilevel"/>
    <w:tmpl w:val="BFF803C6"/>
    <w:lvl w:ilvl="0" w:tplc="0C0A000F">
      <w:start w:val="1"/>
      <w:numFmt w:val="decimal"/>
      <w:lvlText w:val="%1."/>
      <w:lvlJc w:val="left"/>
      <w:pPr>
        <w:tabs>
          <w:tab w:val="left" w:leader="none" w:pos="720"/>
        </w:tabs>
        <w:ind w:left="720" w:hanging="360"/>
      </w:pPr>
      <w:rPr>
        <w:rFonts w:hint="default"/>
      </w:rPr>
    </w:lvl>
    <w:lvl w:ilvl="1" w:tplc="0C0A0003" w:tentative="1">
      <w:start w:val="1"/>
      <w:numFmt w:val="bullet"/>
      <w:lvlText w:val="o"/>
      <w:lvlJc w:val="left"/>
      <w:pPr>
        <w:tabs>
          <w:tab w:val="left" w:leader="none" w:pos="1860"/>
        </w:tabs>
        <w:ind w:left="1860" w:hanging="360"/>
      </w:pPr>
      <w:rPr>
        <w:rFonts w:ascii="Courier New" w:cs="Courier New" w:hAnsi="Courier New" w:hint="default"/>
      </w:rPr>
    </w:lvl>
    <w:lvl w:ilvl="2" w:tplc="0C0A0005" w:tentative="1">
      <w:start w:val="1"/>
      <w:numFmt w:val="bullet"/>
      <w:lvlText w:val=""/>
      <w:lvlJc w:val="left"/>
      <w:pPr>
        <w:tabs>
          <w:tab w:val="left" w:leader="none" w:pos="2580"/>
        </w:tabs>
        <w:ind w:left="2580" w:hanging="360"/>
      </w:pPr>
      <w:rPr>
        <w:rFonts w:ascii="Wingdings" w:hAnsi="Wingdings" w:hint="default"/>
      </w:rPr>
    </w:lvl>
    <w:lvl w:ilvl="3" w:tplc="0C0A0001" w:tentative="1">
      <w:start w:val="1"/>
      <w:numFmt w:val="bullet"/>
      <w:lvlText w:val=""/>
      <w:lvlJc w:val="left"/>
      <w:pPr>
        <w:tabs>
          <w:tab w:val="left" w:leader="none" w:pos="3300"/>
        </w:tabs>
        <w:ind w:left="3300" w:hanging="360"/>
      </w:pPr>
      <w:rPr>
        <w:rFonts w:ascii="Symbol" w:hAnsi="Symbol" w:hint="default"/>
      </w:rPr>
    </w:lvl>
    <w:lvl w:ilvl="4" w:tplc="0C0A0003" w:tentative="1">
      <w:start w:val="1"/>
      <w:numFmt w:val="bullet"/>
      <w:lvlText w:val="o"/>
      <w:lvlJc w:val="left"/>
      <w:pPr>
        <w:tabs>
          <w:tab w:val="left" w:leader="none" w:pos="4020"/>
        </w:tabs>
        <w:ind w:left="4020" w:hanging="360"/>
      </w:pPr>
      <w:rPr>
        <w:rFonts w:ascii="Courier New" w:cs="Courier New" w:hAnsi="Courier New" w:hint="default"/>
      </w:rPr>
    </w:lvl>
    <w:lvl w:ilvl="5" w:tplc="0C0A0005" w:tentative="1">
      <w:start w:val="1"/>
      <w:numFmt w:val="bullet"/>
      <w:lvlText w:val=""/>
      <w:lvlJc w:val="left"/>
      <w:pPr>
        <w:tabs>
          <w:tab w:val="left" w:leader="none" w:pos="4740"/>
        </w:tabs>
        <w:ind w:left="4740" w:hanging="360"/>
      </w:pPr>
      <w:rPr>
        <w:rFonts w:ascii="Wingdings" w:hAnsi="Wingdings" w:hint="default"/>
      </w:rPr>
    </w:lvl>
    <w:lvl w:ilvl="6" w:tplc="0C0A0001" w:tentative="1">
      <w:start w:val="1"/>
      <w:numFmt w:val="bullet"/>
      <w:lvlText w:val=""/>
      <w:lvlJc w:val="left"/>
      <w:pPr>
        <w:tabs>
          <w:tab w:val="left" w:leader="none" w:pos="5460"/>
        </w:tabs>
        <w:ind w:left="5460" w:hanging="360"/>
      </w:pPr>
      <w:rPr>
        <w:rFonts w:ascii="Symbol" w:hAnsi="Symbol" w:hint="default"/>
      </w:rPr>
    </w:lvl>
    <w:lvl w:ilvl="7" w:tplc="0C0A0003" w:tentative="1">
      <w:start w:val="1"/>
      <w:numFmt w:val="bullet"/>
      <w:lvlText w:val="o"/>
      <w:lvlJc w:val="left"/>
      <w:pPr>
        <w:tabs>
          <w:tab w:val="left" w:leader="none" w:pos="6180"/>
        </w:tabs>
        <w:ind w:left="6180" w:hanging="360"/>
      </w:pPr>
      <w:rPr>
        <w:rFonts w:ascii="Courier New" w:cs="Courier New" w:hAnsi="Courier New" w:hint="default"/>
      </w:rPr>
    </w:lvl>
    <w:lvl w:ilvl="8" w:tplc="0C0A0005" w:tentative="1">
      <w:start w:val="1"/>
      <w:numFmt w:val="bullet"/>
      <w:lvlText w:val=""/>
      <w:lvlJc w:val="left"/>
      <w:pPr>
        <w:tabs>
          <w:tab w:val="left" w:leader="none" w:pos="6900"/>
        </w:tabs>
        <w:ind w:left="69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1008</Words>
  <Characters>5870</Characters>
  <Application>WPS Office</Application>
  <DocSecurity>0</DocSecurity>
  <Paragraphs>63</Paragraphs>
  <ScaleCrop>false</ScaleCrop>
  <LinksUpToDate>false</LinksUpToDate>
  <CharactersWithSpaces>6838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2026-04-20T00:48:39Z</dcterms:created>
  <dc:creator>FAMILIA</dc:creator>
  <lastModifiedBy>SM-S737TL</lastModifiedBy>
  <dcterms:modified xsi:type="dcterms:W3CDTF">2026-04-20T00:48:39Z</dcterms:modified>
  <revision>2</revision>
</coreProperties>
</file>