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335" w:rsidRDefault="00704A72" w:rsidP="00704A72">
      <w:pPr>
        <w:spacing w:after="0" w:line="240" w:lineRule="auto"/>
        <w:jc w:val="center"/>
        <w:rPr>
          <w:rFonts w:ascii="Arial" w:eastAsia="Arial" w:hAnsi="Arial" w:cs="Arial"/>
          <w:b/>
          <w:bCs/>
          <w:color w:val="252525"/>
          <w:sz w:val="24"/>
          <w:szCs w:val="24"/>
        </w:rPr>
      </w:pPr>
      <w:r>
        <w:rPr>
          <w:rFonts w:ascii="Arial" w:eastAsia="Arial" w:hAnsi="Arial" w:cs="Arial"/>
          <w:b/>
          <w:bCs/>
          <w:color w:val="252525"/>
          <w:sz w:val="24"/>
          <w:szCs w:val="24"/>
        </w:rPr>
        <w:t>Ejercicio evaluador, 2026.</w:t>
      </w:r>
    </w:p>
    <w:p w:rsidR="00704A72" w:rsidRDefault="00704A72" w:rsidP="00492F79">
      <w:pPr>
        <w:spacing w:after="0" w:line="240" w:lineRule="auto"/>
        <w:rPr>
          <w:rFonts w:ascii="Arial" w:eastAsia="Arial" w:hAnsi="Arial" w:cs="Arial"/>
          <w:b/>
          <w:bCs/>
          <w:sz w:val="24"/>
          <w:szCs w:val="24"/>
        </w:rPr>
      </w:pPr>
    </w:p>
    <w:p w:rsidR="00704A72" w:rsidRDefault="00704A72" w:rsidP="00492F79">
      <w:pPr>
        <w:spacing w:after="0" w:line="240" w:lineRule="auto"/>
        <w:rPr>
          <w:rFonts w:ascii="Arial" w:eastAsia="Arial" w:hAnsi="Arial" w:cs="Arial"/>
          <w:b/>
          <w:bCs/>
          <w:sz w:val="24"/>
          <w:szCs w:val="24"/>
        </w:rPr>
      </w:pPr>
    </w:p>
    <w:p w:rsidR="00704A72" w:rsidRDefault="00704A72" w:rsidP="00492F79">
      <w:pPr>
        <w:spacing w:after="0" w:line="240" w:lineRule="auto"/>
        <w:rPr>
          <w:rFonts w:ascii="Arial" w:eastAsia="Arial" w:hAnsi="Arial" w:cs="Arial"/>
          <w:b/>
          <w:bCs/>
          <w:sz w:val="24"/>
          <w:szCs w:val="24"/>
        </w:rPr>
      </w:pPr>
    </w:p>
    <w:p w:rsidR="00492F79" w:rsidRPr="00C32335" w:rsidRDefault="00492F79" w:rsidP="00492F79">
      <w:pPr>
        <w:spacing w:after="0" w:line="240" w:lineRule="auto"/>
        <w:rPr>
          <w:rFonts w:ascii="Arial" w:eastAsia="Arial" w:hAnsi="Arial" w:cs="Arial"/>
          <w:b/>
          <w:bCs/>
          <w:sz w:val="24"/>
          <w:szCs w:val="24"/>
        </w:rPr>
      </w:pPr>
      <w:r w:rsidRPr="00C32335">
        <w:rPr>
          <w:rFonts w:ascii="Arial" w:eastAsia="Arial" w:hAnsi="Arial" w:cs="Arial"/>
          <w:b/>
          <w:bCs/>
          <w:sz w:val="24"/>
          <w:szCs w:val="24"/>
        </w:rPr>
        <w:t>Supuesto fáctico.</w:t>
      </w:r>
    </w:p>
    <w:p w:rsidR="007925B1" w:rsidRPr="00C32335" w:rsidRDefault="007925B1" w:rsidP="007925B1">
      <w:pPr>
        <w:spacing w:after="0"/>
        <w:jc w:val="both"/>
        <w:rPr>
          <w:rFonts w:ascii="Arial" w:hAnsi="Arial" w:cs="Arial"/>
          <w:sz w:val="24"/>
          <w:szCs w:val="24"/>
        </w:rPr>
      </w:pPr>
      <w:r w:rsidRPr="00C32335">
        <w:rPr>
          <w:rFonts w:ascii="Arial" w:hAnsi="Arial" w:cs="Arial"/>
          <w:sz w:val="24"/>
          <w:szCs w:val="24"/>
        </w:rPr>
        <w:t xml:space="preserve">El imputado </w:t>
      </w:r>
      <w:r w:rsidR="00B308E7" w:rsidRPr="00C32335">
        <w:rPr>
          <w:rFonts w:ascii="Arial" w:hAnsi="Arial" w:cs="Arial"/>
          <w:sz w:val="24"/>
          <w:szCs w:val="24"/>
        </w:rPr>
        <w:t xml:space="preserve">asegurado </w:t>
      </w:r>
      <w:r w:rsidRPr="00C32335">
        <w:rPr>
          <w:rFonts w:ascii="Arial" w:hAnsi="Arial" w:cs="Arial"/>
          <w:sz w:val="24"/>
          <w:szCs w:val="24"/>
        </w:rPr>
        <w:t>Pedro Martínez Cueto, el 14 de febrero de 2024, en horas de la madrugada no precisadas, con el propósito de acrecentar ilegítimamente su patrimonio, se dirigió hasta el Hospital Provincial ubicado en carretera Central, municipio y provincia Artemisa, y del patio de la instalación, que no tenía protección, hizo suyo el motor de bombeo de la cisterna de agua, el que se valora en</w:t>
      </w:r>
      <w:r w:rsidR="00D65C2C" w:rsidRPr="00C32335">
        <w:rPr>
          <w:rFonts w:ascii="Arial" w:hAnsi="Arial" w:cs="Arial"/>
          <w:sz w:val="24"/>
          <w:szCs w:val="24"/>
        </w:rPr>
        <w:t xml:space="preserve"> $60 Mil MN</w:t>
      </w:r>
      <w:r w:rsidRPr="00C32335">
        <w:rPr>
          <w:rFonts w:ascii="Arial" w:hAnsi="Arial" w:cs="Arial"/>
          <w:sz w:val="24"/>
          <w:szCs w:val="24"/>
        </w:rPr>
        <w:t>, dejando sin servicio todo el lugar.</w:t>
      </w:r>
    </w:p>
    <w:p w:rsidR="00492F79" w:rsidRPr="00C32335" w:rsidRDefault="00492F79" w:rsidP="00492F79">
      <w:pPr>
        <w:spacing w:after="0"/>
        <w:jc w:val="both"/>
        <w:rPr>
          <w:rFonts w:ascii="Arial" w:hAnsi="Arial" w:cs="Arial"/>
          <w:sz w:val="24"/>
          <w:szCs w:val="24"/>
        </w:rPr>
      </w:pPr>
    </w:p>
    <w:p w:rsidR="00492F79" w:rsidRPr="00C32335" w:rsidRDefault="00492F79" w:rsidP="00492F79">
      <w:pPr>
        <w:spacing w:after="0"/>
        <w:jc w:val="both"/>
        <w:rPr>
          <w:rFonts w:ascii="Arial" w:hAnsi="Arial" w:cs="Arial"/>
          <w:b/>
          <w:sz w:val="24"/>
          <w:szCs w:val="24"/>
          <w:lang w:val="es-ES"/>
        </w:rPr>
      </w:pPr>
      <w:r w:rsidRPr="00C32335">
        <w:rPr>
          <w:rFonts w:ascii="Arial" w:hAnsi="Arial" w:cs="Arial"/>
          <w:b/>
          <w:sz w:val="24"/>
          <w:szCs w:val="24"/>
          <w:lang w:val="es-ES"/>
        </w:rPr>
        <w:t>Cuestionario.</w:t>
      </w:r>
    </w:p>
    <w:p w:rsidR="00492F79" w:rsidRPr="00C32335" w:rsidRDefault="00492F79"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Califique </w:t>
      </w:r>
      <w:r w:rsidR="00641497" w:rsidRPr="00C32335">
        <w:rPr>
          <w:rFonts w:ascii="Arial" w:hAnsi="Arial" w:cs="Arial"/>
          <w:sz w:val="24"/>
          <w:szCs w:val="24"/>
          <w:lang w:val="es-ES"/>
        </w:rPr>
        <w:t>el</w:t>
      </w:r>
      <w:r w:rsidRPr="00C32335">
        <w:rPr>
          <w:rFonts w:ascii="Arial" w:hAnsi="Arial" w:cs="Arial"/>
          <w:sz w:val="24"/>
          <w:szCs w:val="24"/>
          <w:lang w:val="es-ES"/>
        </w:rPr>
        <w:t xml:space="preserve"> delito</w:t>
      </w:r>
      <w:r w:rsidR="00641497" w:rsidRPr="00C32335">
        <w:rPr>
          <w:rFonts w:ascii="Arial" w:hAnsi="Arial" w:cs="Arial"/>
          <w:sz w:val="24"/>
          <w:szCs w:val="24"/>
          <w:lang w:val="es-ES"/>
        </w:rPr>
        <w:t>.</w:t>
      </w:r>
      <w:r w:rsidRPr="00C32335">
        <w:rPr>
          <w:rFonts w:ascii="Arial" w:hAnsi="Arial" w:cs="Arial"/>
          <w:sz w:val="24"/>
          <w:szCs w:val="24"/>
          <w:lang w:val="es-ES"/>
        </w:rPr>
        <w:t xml:space="preserve"> </w:t>
      </w:r>
    </w:p>
    <w:p w:rsidR="00641497" w:rsidRPr="00C32335" w:rsidRDefault="00641497"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Según la teoría de la intervención, </w:t>
      </w:r>
      <w:r w:rsidR="003430E2" w:rsidRPr="00C32335">
        <w:rPr>
          <w:rFonts w:ascii="Arial" w:hAnsi="Arial" w:cs="Arial"/>
          <w:sz w:val="24"/>
          <w:szCs w:val="24"/>
          <w:lang w:val="es-ES"/>
        </w:rPr>
        <w:t xml:space="preserve">diga el tipo de </w:t>
      </w:r>
      <w:r w:rsidRPr="00C32335">
        <w:rPr>
          <w:rFonts w:ascii="Arial" w:hAnsi="Arial" w:cs="Arial"/>
          <w:sz w:val="24"/>
          <w:szCs w:val="24"/>
          <w:lang w:val="es-ES"/>
        </w:rPr>
        <w:t>actuación del imputado.</w:t>
      </w:r>
    </w:p>
    <w:p w:rsidR="00641497" w:rsidRPr="00C32335" w:rsidRDefault="00641497"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Si </w:t>
      </w:r>
      <w:r w:rsidR="003430E2" w:rsidRPr="00C32335">
        <w:rPr>
          <w:rFonts w:ascii="Arial" w:hAnsi="Arial" w:cs="Arial"/>
          <w:sz w:val="24"/>
          <w:szCs w:val="24"/>
          <w:lang w:val="es-ES"/>
        </w:rPr>
        <w:t xml:space="preserve">Ud. fuera el Fiscal </w:t>
      </w:r>
      <w:r w:rsidRPr="00C32335">
        <w:rPr>
          <w:rFonts w:ascii="Arial" w:hAnsi="Arial" w:cs="Arial"/>
          <w:sz w:val="24"/>
          <w:szCs w:val="24"/>
          <w:lang w:val="es-ES"/>
        </w:rPr>
        <w:t>y en la investigación complementaria se acreditara que el imputado poseía 17 años de edad y era primario en la comisión de hechos delictivos, q</w:t>
      </w:r>
      <w:r w:rsidR="00AF0379" w:rsidRPr="00C32335">
        <w:rPr>
          <w:rFonts w:ascii="Arial" w:hAnsi="Arial" w:cs="Arial"/>
          <w:sz w:val="24"/>
          <w:szCs w:val="24"/>
          <w:lang w:val="es-ES"/>
        </w:rPr>
        <w:t>ué medida cautelar le impusiera; argumente.</w:t>
      </w:r>
    </w:p>
    <w:p w:rsidR="00492F79" w:rsidRPr="00C32335" w:rsidRDefault="00641497"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En caso de que el Fiscal hubiera dispuesto la </w:t>
      </w:r>
      <w:r w:rsidR="00492F79" w:rsidRPr="00C32335">
        <w:rPr>
          <w:rFonts w:ascii="Arial" w:hAnsi="Arial" w:cs="Arial"/>
          <w:sz w:val="24"/>
          <w:szCs w:val="24"/>
          <w:lang w:val="es-ES"/>
        </w:rPr>
        <w:t>medida cautelar de Prisión Provisional</w:t>
      </w:r>
      <w:r w:rsidRPr="00C32335">
        <w:rPr>
          <w:rFonts w:ascii="Arial" w:hAnsi="Arial" w:cs="Arial"/>
          <w:sz w:val="24"/>
          <w:szCs w:val="24"/>
          <w:lang w:val="es-ES"/>
        </w:rPr>
        <w:t xml:space="preserve"> y el defensor hubiere solicitado su modificación no se le concediera y el recurso de queja también le fuera denegado, ¿tendría la defensa otra solución procesal para solicitar su modificación, ante quién? </w:t>
      </w:r>
      <w:r w:rsidR="00492F79" w:rsidRPr="00C32335">
        <w:rPr>
          <w:rFonts w:ascii="Arial" w:hAnsi="Arial" w:cs="Arial"/>
          <w:sz w:val="24"/>
          <w:szCs w:val="24"/>
          <w:lang w:val="es-ES"/>
        </w:rPr>
        <w:t xml:space="preserve"> </w:t>
      </w:r>
    </w:p>
    <w:p w:rsidR="00641497" w:rsidRPr="00C32335" w:rsidRDefault="00641497"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Establezca las sanciones principales y accesorias que considere corresponden al caso.</w:t>
      </w:r>
    </w:p>
    <w:p w:rsidR="00641497" w:rsidRPr="00C32335" w:rsidRDefault="00492F79"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Una vez concluido el expediente, la Fiscalía </w:t>
      </w:r>
      <w:r w:rsidR="00641497" w:rsidRPr="00C32335">
        <w:rPr>
          <w:rFonts w:ascii="Arial" w:hAnsi="Arial" w:cs="Arial"/>
          <w:sz w:val="24"/>
          <w:szCs w:val="24"/>
          <w:lang w:val="es-ES"/>
        </w:rPr>
        <w:t>decide remitir</w:t>
      </w:r>
      <w:r w:rsidRPr="00C32335">
        <w:rPr>
          <w:rFonts w:ascii="Arial" w:hAnsi="Arial" w:cs="Arial"/>
          <w:sz w:val="24"/>
          <w:szCs w:val="24"/>
          <w:lang w:val="es-ES"/>
        </w:rPr>
        <w:t xml:space="preserve"> al Tribunal</w:t>
      </w:r>
      <w:r w:rsidR="00641497" w:rsidRPr="00C32335">
        <w:rPr>
          <w:rFonts w:ascii="Arial" w:hAnsi="Arial" w:cs="Arial"/>
          <w:sz w:val="24"/>
          <w:szCs w:val="24"/>
          <w:lang w:val="es-ES"/>
        </w:rPr>
        <w:t xml:space="preserve"> ¿a cuál?,</w:t>
      </w:r>
      <w:r w:rsidRPr="00C32335">
        <w:rPr>
          <w:rFonts w:ascii="Arial" w:hAnsi="Arial" w:cs="Arial"/>
          <w:sz w:val="24"/>
          <w:szCs w:val="24"/>
          <w:lang w:val="es-ES"/>
        </w:rPr>
        <w:t xml:space="preserve"> </w:t>
      </w:r>
      <w:r w:rsidR="00AF0379" w:rsidRPr="00C32335">
        <w:rPr>
          <w:rFonts w:ascii="Arial" w:hAnsi="Arial" w:cs="Arial"/>
          <w:sz w:val="24"/>
          <w:szCs w:val="24"/>
          <w:lang w:val="es-ES"/>
        </w:rPr>
        <w:t xml:space="preserve">¿a través de qué </w:t>
      </w:r>
      <w:r w:rsidR="00641497" w:rsidRPr="00C32335">
        <w:rPr>
          <w:rFonts w:ascii="Arial" w:hAnsi="Arial" w:cs="Arial"/>
          <w:sz w:val="24"/>
          <w:szCs w:val="24"/>
          <w:lang w:val="es-ES"/>
        </w:rPr>
        <w:t>tipo de proceso</w:t>
      </w:r>
      <w:r w:rsidR="00AF0379" w:rsidRPr="00C32335">
        <w:rPr>
          <w:rFonts w:ascii="Arial" w:hAnsi="Arial" w:cs="Arial"/>
          <w:sz w:val="24"/>
          <w:szCs w:val="24"/>
          <w:lang w:val="es-ES"/>
        </w:rPr>
        <w:t>?</w:t>
      </w:r>
    </w:p>
    <w:p w:rsidR="00492F79" w:rsidRPr="00C32335" w:rsidRDefault="00641497"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A través de qué tipo de </w:t>
      </w:r>
      <w:r w:rsidR="00492F79" w:rsidRPr="00C32335">
        <w:rPr>
          <w:rFonts w:ascii="Arial" w:hAnsi="Arial" w:cs="Arial"/>
          <w:sz w:val="24"/>
          <w:szCs w:val="24"/>
          <w:lang w:val="es-ES"/>
        </w:rPr>
        <w:t>escrito</w:t>
      </w:r>
      <w:r w:rsidRPr="00C32335">
        <w:rPr>
          <w:rFonts w:ascii="Arial" w:hAnsi="Arial" w:cs="Arial"/>
          <w:sz w:val="24"/>
          <w:szCs w:val="24"/>
          <w:lang w:val="es-ES"/>
        </w:rPr>
        <w:t xml:space="preserve"> la Fiscalía ejerce la acción penal.</w:t>
      </w:r>
    </w:p>
    <w:p w:rsidR="00492F79" w:rsidRPr="00C32335" w:rsidRDefault="003430E2"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Concluido el </w:t>
      </w:r>
      <w:r w:rsidR="00492F79" w:rsidRPr="00C32335">
        <w:rPr>
          <w:rFonts w:ascii="Arial" w:hAnsi="Arial" w:cs="Arial"/>
          <w:sz w:val="24"/>
          <w:szCs w:val="24"/>
          <w:lang w:val="es-ES"/>
        </w:rPr>
        <w:t>juicio</w:t>
      </w:r>
      <w:r w:rsidRPr="00C32335">
        <w:rPr>
          <w:rFonts w:ascii="Arial" w:hAnsi="Arial" w:cs="Arial"/>
          <w:sz w:val="24"/>
          <w:szCs w:val="24"/>
          <w:lang w:val="es-ES"/>
        </w:rPr>
        <w:t xml:space="preserve"> oral </w:t>
      </w:r>
      <w:r w:rsidR="00492F79" w:rsidRPr="00C32335">
        <w:rPr>
          <w:rFonts w:ascii="Arial" w:hAnsi="Arial" w:cs="Arial"/>
          <w:sz w:val="24"/>
          <w:szCs w:val="24"/>
          <w:lang w:val="es-ES"/>
        </w:rPr>
        <w:t xml:space="preserve">y antes de </w:t>
      </w:r>
      <w:r w:rsidRPr="00C32335">
        <w:rPr>
          <w:rFonts w:ascii="Arial" w:hAnsi="Arial" w:cs="Arial"/>
          <w:sz w:val="24"/>
          <w:szCs w:val="24"/>
          <w:lang w:val="es-ES"/>
        </w:rPr>
        <w:t xml:space="preserve">rendir los informes finales, si </w:t>
      </w:r>
      <w:r w:rsidR="00492F79" w:rsidRPr="00C32335">
        <w:rPr>
          <w:rFonts w:ascii="Arial" w:hAnsi="Arial" w:cs="Arial"/>
          <w:sz w:val="24"/>
          <w:szCs w:val="24"/>
          <w:lang w:val="es-ES"/>
        </w:rPr>
        <w:t xml:space="preserve">el Tribunal </w:t>
      </w:r>
      <w:r w:rsidRPr="00C32335">
        <w:rPr>
          <w:rFonts w:ascii="Arial" w:hAnsi="Arial" w:cs="Arial"/>
          <w:sz w:val="24"/>
          <w:szCs w:val="24"/>
          <w:lang w:val="es-ES"/>
        </w:rPr>
        <w:t>entiende que se ha omitido algún elemento o circunstancia que, sin alterar sustancialmente los hechos, puede alterar su calificación, el grado de intervención del acusado</w:t>
      </w:r>
      <w:r w:rsidR="00492F79" w:rsidRPr="00C32335">
        <w:rPr>
          <w:rFonts w:ascii="Arial" w:hAnsi="Arial" w:cs="Arial"/>
          <w:sz w:val="24"/>
          <w:szCs w:val="24"/>
          <w:lang w:val="es-ES"/>
        </w:rPr>
        <w:t xml:space="preserve">, </w:t>
      </w:r>
      <w:r w:rsidRPr="00C32335">
        <w:rPr>
          <w:rFonts w:ascii="Arial" w:hAnsi="Arial" w:cs="Arial"/>
          <w:sz w:val="24"/>
          <w:szCs w:val="24"/>
          <w:lang w:val="es-ES"/>
        </w:rPr>
        <w:t xml:space="preserve">la concurrencia de circunstancias agravantes, accesorias o la responsabilidad civil, </w:t>
      </w:r>
      <w:r w:rsidR="00492F79" w:rsidRPr="00C32335">
        <w:rPr>
          <w:rFonts w:ascii="Arial" w:hAnsi="Arial" w:cs="Arial"/>
          <w:sz w:val="24"/>
          <w:szCs w:val="24"/>
          <w:lang w:val="es-ES"/>
        </w:rPr>
        <w:t xml:space="preserve">¿qué puede </w:t>
      </w:r>
      <w:r w:rsidRPr="00C32335">
        <w:rPr>
          <w:rFonts w:ascii="Arial" w:hAnsi="Arial" w:cs="Arial"/>
          <w:sz w:val="24"/>
          <w:szCs w:val="24"/>
          <w:lang w:val="es-ES"/>
        </w:rPr>
        <w:t>hace</w:t>
      </w:r>
      <w:r w:rsidR="00492F79" w:rsidRPr="00C32335">
        <w:rPr>
          <w:rFonts w:ascii="Arial" w:hAnsi="Arial" w:cs="Arial"/>
          <w:sz w:val="24"/>
          <w:szCs w:val="24"/>
          <w:lang w:val="es-ES"/>
        </w:rPr>
        <w:t>r</w:t>
      </w:r>
      <w:r w:rsidRPr="00C32335">
        <w:rPr>
          <w:rFonts w:ascii="Arial" w:hAnsi="Arial" w:cs="Arial"/>
          <w:sz w:val="24"/>
          <w:szCs w:val="24"/>
          <w:lang w:val="es-ES"/>
        </w:rPr>
        <w:t xml:space="preserve"> el juez</w:t>
      </w:r>
      <w:r w:rsidR="00492F79" w:rsidRPr="00C32335">
        <w:rPr>
          <w:rFonts w:ascii="Arial" w:hAnsi="Arial" w:cs="Arial"/>
          <w:sz w:val="24"/>
          <w:szCs w:val="24"/>
          <w:lang w:val="es-ES"/>
        </w:rPr>
        <w:t>?</w:t>
      </w:r>
    </w:p>
    <w:p w:rsidR="00492F79" w:rsidRPr="00C32335" w:rsidRDefault="00492F79"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 xml:space="preserve">¿Con que resolución judicial el Tribunal pone fin al proceso? </w:t>
      </w:r>
    </w:p>
    <w:p w:rsidR="00492F79" w:rsidRPr="00C32335" w:rsidRDefault="00492F79" w:rsidP="00492F79">
      <w:pPr>
        <w:pStyle w:val="Prrafodelista"/>
        <w:numPr>
          <w:ilvl w:val="0"/>
          <w:numId w:val="2"/>
        </w:numPr>
        <w:spacing w:after="0"/>
        <w:jc w:val="both"/>
        <w:rPr>
          <w:rFonts w:ascii="Arial" w:hAnsi="Arial" w:cs="Arial"/>
          <w:sz w:val="24"/>
          <w:szCs w:val="24"/>
          <w:lang w:val="es-ES"/>
        </w:rPr>
      </w:pPr>
      <w:r w:rsidRPr="00C32335">
        <w:rPr>
          <w:rFonts w:ascii="Arial" w:hAnsi="Arial" w:cs="Arial"/>
          <w:sz w:val="24"/>
          <w:szCs w:val="24"/>
          <w:lang w:val="es-ES"/>
        </w:rPr>
        <w:t>De estar inconforme la defensa y la fiscalía con lo dispuesto por el Tribunal ¿qué medio de impugnación procede, ante quié</w:t>
      </w:r>
      <w:r w:rsidR="00641497" w:rsidRPr="00C32335">
        <w:rPr>
          <w:rFonts w:ascii="Arial" w:hAnsi="Arial" w:cs="Arial"/>
          <w:sz w:val="24"/>
          <w:szCs w:val="24"/>
          <w:lang w:val="es-ES"/>
        </w:rPr>
        <w:t>n</w:t>
      </w:r>
      <w:r w:rsidRPr="00C32335">
        <w:rPr>
          <w:rFonts w:ascii="Arial" w:hAnsi="Arial" w:cs="Arial"/>
          <w:sz w:val="24"/>
          <w:szCs w:val="24"/>
          <w:lang w:val="es-ES"/>
        </w:rPr>
        <w:t>?</w:t>
      </w:r>
    </w:p>
    <w:p w:rsidR="00492F79" w:rsidRPr="00C32335" w:rsidRDefault="00492F79" w:rsidP="00492F79">
      <w:pPr>
        <w:spacing w:after="0"/>
        <w:jc w:val="both"/>
        <w:rPr>
          <w:rFonts w:ascii="Arial" w:hAnsi="Arial" w:cs="Arial"/>
          <w:sz w:val="24"/>
          <w:szCs w:val="24"/>
          <w:lang w:val="es-ES"/>
        </w:rPr>
      </w:pPr>
    </w:p>
    <w:p w:rsidR="00492F79" w:rsidRPr="00C32335" w:rsidRDefault="00492F79" w:rsidP="00492F79">
      <w:pPr>
        <w:spacing w:after="0"/>
        <w:jc w:val="both"/>
        <w:rPr>
          <w:rFonts w:ascii="Arial" w:hAnsi="Arial" w:cs="Arial"/>
          <w:sz w:val="24"/>
          <w:szCs w:val="24"/>
          <w:lang w:val="es-ES"/>
        </w:rPr>
      </w:pPr>
      <w:r w:rsidRPr="00C32335">
        <w:rPr>
          <w:rFonts w:ascii="Arial" w:hAnsi="Arial" w:cs="Arial"/>
          <w:sz w:val="24"/>
          <w:szCs w:val="24"/>
          <w:lang w:val="es-ES"/>
        </w:rPr>
        <w:t>EN TODOS LOS CASOS, JUSTIFIQUE LEGALMENTE.</w:t>
      </w:r>
    </w:p>
    <w:p w:rsidR="00492F79" w:rsidRPr="00C32335" w:rsidRDefault="00492F79" w:rsidP="00557097">
      <w:pPr>
        <w:spacing w:after="0"/>
        <w:jc w:val="both"/>
        <w:rPr>
          <w:rFonts w:ascii="Arial" w:hAnsi="Arial" w:cs="Arial"/>
          <w:sz w:val="24"/>
          <w:szCs w:val="24"/>
          <w:lang w:val="es-ES"/>
        </w:rPr>
      </w:pPr>
    </w:p>
    <w:p w:rsidR="00557097" w:rsidRPr="00C32335" w:rsidRDefault="00557097" w:rsidP="00557097">
      <w:pPr>
        <w:spacing w:after="0"/>
        <w:jc w:val="both"/>
        <w:rPr>
          <w:rFonts w:ascii="Arial" w:hAnsi="Arial" w:cs="Arial"/>
          <w:sz w:val="24"/>
          <w:szCs w:val="24"/>
          <w:lang w:val="es-ES"/>
        </w:rPr>
      </w:pPr>
    </w:p>
    <w:p w:rsidR="00881E37" w:rsidRPr="00C32335" w:rsidRDefault="00881E37" w:rsidP="00557097">
      <w:pPr>
        <w:spacing w:after="0"/>
        <w:jc w:val="both"/>
        <w:rPr>
          <w:rFonts w:ascii="Arial" w:hAnsi="Arial" w:cs="Arial"/>
          <w:sz w:val="24"/>
          <w:szCs w:val="24"/>
          <w:lang w:val="es-ES"/>
        </w:rPr>
      </w:pPr>
    </w:p>
    <w:p w:rsidR="009F7E95" w:rsidRPr="00C32335" w:rsidRDefault="009F7E95" w:rsidP="00557097">
      <w:pPr>
        <w:spacing w:after="0"/>
        <w:jc w:val="both"/>
        <w:rPr>
          <w:rFonts w:ascii="Arial" w:hAnsi="Arial" w:cs="Arial"/>
          <w:sz w:val="24"/>
          <w:szCs w:val="24"/>
          <w:lang w:val="es-ES"/>
        </w:rPr>
      </w:pPr>
    </w:p>
    <w:p w:rsidR="00881E37" w:rsidRPr="00C32335" w:rsidRDefault="00881E37" w:rsidP="00881E37">
      <w:pPr>
        <w:spacing w:after="0"/>
        <w:jc w:val="both"/>
        <w:rPr>
          <w:rFonts w:ascii="Arial" w:hAnsi="Arial" w:cs="Arial"/>
          <w:sz w:val="24"/>
          <w:szCs w:val="24"/>
          <w:lang w:val="es-ES"/>
        </w:rPr>
      </w:pPr>
      <w:bookmarkStart w:id="0" w:name="_GoBack"/>
      <w:bookmarkEnd w:id="0"/>
    </w:p>
    <w:p w:rsidR="00881E37" w:rsidRPr="00C32335" w:rsidRDefault="00881E37" w:rsidP="00557097">
      <w:pPr>
        <w:spacing w:after="0"/>
        <w:jc w:val="both"/>
        <w:rPr>
          <w:rFonts w:ascii="Arial" w:hAnsi="Arial" w:cs="Arial"/>
          <w:sz w:val="24"/>
          <w:szCs w:val="24"/>
          <w:lang w:val="es-ES"/>
        </w:rPr>
      </w:pPr>
    </w:p>
    <w:sectPr w:rsidR="00881E37" w:rsidRPr="00C32335" w:rsidSect="00557097">
      <w:pgSz w:w="12240" w:h="15840" w:code="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074A42"/>
    <w:multiLevelType w:val="hybridMultilevel"/>
    <w:tmpl w:val="AC3280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7CE1393"/>
    <w:multiLevelType w:val="hybridMultilevel"/>
    <w:tmpl w:val="AC3280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FDB385A"/>
    <w:multiLevelType w:val="hybridMultilevel"/>
    <w:tmpl w:val="AC3280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8A03E2"/>
    <w:rsid w:val="00050B22"/>
    <w:rsid w:val="000A47FB"/>
    <w:rsid w:val="0010221E"/>
    <w:rsid w:val="003430E2"/>
    <w:rsid w:val="003D0D99"/>
    <w:rsid w:val="0041649F"/>
    <w:rsid w:val="00492F79"/>
    <w:rsid w:val="004D7872"/>
    <w:rsid w:val="00557097"/>
    <w:rsid w:val="00641497"/>
    <w:rsid w:val="00704A72"/>
    <w:rsid w:val="00714816"/>
    <w:rsid w:val="00791058"/>
    <w:rsid w:val="007925B1"/>
    <w:rsid w:val="00881E37"/>
    <w:rsid w:val="00891120"/>
    <w:rsid w:val="008A03E2"/>
    <w:rsid w:val="008F1654"/>
    <w:rsid w:val="009204D6"/>
    <w:rsid w:val="009F7E95"/>
    <w:rsid w:val="00A74918"/>
    <w:rsid w:val="00AF0379"/>
    <w:rsid w:val="00B308E7"/>
    <w:rsid w:val="00B35E84"/>
    <w:rsid w:val="00B93F3E"/>
    <w:rsid w:val="00BC6CF4"/>
    <w:rsid w:val="00C32335"/>
    <w:rsid w:val="00C54CB8"/>
    <w:rsid w:val="00C809E6"/>
    <w:rsid w:val="00D65C2C"/>
    <w:rsid w:val="00DA47A6"/>
    <w:rsid w:val="00DA6AA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6B425F-E942-41A5-938F-A6B9C495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7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0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305</Words>
  <Characters>1679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BODEGA</dc:creator>
  <cp:keywords/>
  <dc:description/>
  <cp:lastModifiedBy>casa</cp:lastModifiedBy>
  <cp:revision>28</cp:revision>
  <dcterms:created xsi:type="dcterms:W3CDTF">2024-09-08T14:53:00Z</dcterms:created>
  <dcterms:modified xsi:type="dcterms:W3CDTF">2026-05-25T18:45:00Z</dcterms:modified>
</cp:coreProperties>
</file>