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jc w:val="both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 xml:space="preserve">ELEMENTOS DEL CONTROL INTERNO </w:t>
      </w:r>
    </w:p>
    <w:p>
      <w:pPr>
        <w:pStyle w:val="style0"/>
        <w:jc w:val="both"/>
        <w:rPr>
          <w:rFonts w:ascii="Arial" w:cs="Arial" w:hAnsi="Arial"/>
          <w:b/>
          <w:sz w:val="22"/>
          <w:szCs w:val="22"/>
          <w:u w:val="single"/>
        </w:rPr>
      </w:pPr>
      <w:r>
        <w:rPr>
          <w:rFonts w:ascii="Arial" w:cs="Arial" w:hAnsi="Arial"/>
          <w:b/>
          <w:sz w:val="22"/>
          <w:szCs w:val="22"/>
          <w:u w:val="single"/>
        </w:rPr>
        <w:t xml:space="preserve">Carrera: </w:t>
      </w:r>
      <w:r>
        <w:rPr>
          <w:rFonts w:ascii="Arial" w:cs="Arial" w:hAnsi="Arial"/>
          <w:b/>
          <w:sz w:val="22"/>
          <w:szCs w:val="22"/>
          <w:u w:val="single"/>
        </w:rPr>
        <w:t>A</w:t>
      </w:r>
      <w:r>
        <w:rPr>
          <w:rFonts w:ascii="Arial" w:cs="Arial" w:hAnsi="Arial"/>
          <w:b/>
          <w:sz w:val="22"/>
          <w:szCs w:val="22"/>
          <w:u w:val="single"/>
        </w:rPr>
        <w:t xml:space="preserve">uditoría </w:t>
      </w:r>
      <w:r>
        <w:rPr>
          <w:rFonts w:ascii="Arial" w:cs="Arial" w:hAnsi="Arial"/>
          <w:b/>
          <w:sz w:val="22"/>
          <w:szCs w:val="22"/>
          <w:u w:val="single"/>
        </w:rPr>
        <w:t xml:space="preserve">Ciclo Corto </w:t>
      </w:r>
    </w:p>
    <w:p>
      <w:pPr>
        <w:pStyle w:val="style0"/>
        <w:ind w:right="54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 xml:space="preserve">Tema </w:t>
      </w:r>
      <w:r>
        <w:rPr>
          <w:rFonts w:ascii="Arial" w:cs="Arial" w:hAnsi="Arial"/>
          <w:b/>
          <w:sz w:val="22"/>
          <w:szCs w:val="22"/>
        </w:rPr>
        <w:t xml:space="preserve"> I</w:t>
      </w:r>
      <w:r>
        <w:rPr>
          <w:rFonts w:ascii="Arial" w:cs="Arial" w:hAnsi="Arial"/>
          <w:sz w:val="22"/>
          <w:szCs w:val="22"/>
        </w:rPr>
        <w:t>: Diseño y Revisión del Sistema de Control Interno</w:t>
      </w:r>
    </w:p>
    <w:p>
      <w:pPr>
        <w:pStyle w:val="style0"/>
        <w:ind w:right="54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 xml:space="preserve">Seminario # </w:t>
      </w:r>
      <w:r>
        <w:rPr>
          <w:rFonts w:ascii="Arial" w:cs="Arial" w:hAnsi="Arial"/>
          <w:b/>
          <w:sz w:val="22"/>
          <w:szCs w:val="22"/>
        </w:rPr>
        <w:t>2</w:t>
      </w:r>
      <w:r>
        <w:rPr>
          <w:rFonts w:ascii="Arial" w:cs="Arial" w:hAnsi="Arial"/>
          <w:b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Revisión del Sistema de Control Interno</w:t>
      </w:r>
    </w:p>
    <w:p>
      <w:pPr>
        <w:pStyle w:val="style0"/>
        <w:ind w:right="540"/>
        <w:jc w:val="both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 xml:space="preserve">       </w:t>
      </w:r>
    </w:p>
    <w:p>
      <w:pPr>
        <w:pStyle w:val="style0"/>
        <w:jc w:val="both"/>
        <w:rPr>
          <w:rFonts w:ascii="Arial" w:cs="Arial" w:hAnsi="Arial"/>
          <w:color w:val="000000"/>
          <w:sz w:val="22"/>
          <w:szCs w:val="22"/>
        </w:rPr>
      </w:pPr>
      <w:r>
        <w:rPr>
          <w:rFonts w:ascii="Arial" w:cs="Arial" w:hAnsi="Arial"/>
          <w:b/>
          <w:color w:val="000000"/>
          <w:sz w:val="22"/>
          <w:szCs w:val="22"/>
        </w:rPr>
        <w:t xml:space="preserve">Título: </w:t>
      </w:r>
      <w:r>
        <w:rPr>
          <w:rFonts w:ascii="Arial" w:cs="Arial" w:hAnsi="Arial"/>
          <w:color w:val="000000"/>
          <w:sz w:val="22"/>
          <w:szCs w:val="22"/>
        </w:rPr>
        <w:t xml:space="preserve">Presentación del seminario referente al desarrollo de las preguntas y situaciones orientada con anterioridad mediante el empleo del análisis </w:t>
      </w:r>
      <w:bookmarkStart w:id="0" w:name="OLE_LINK1"/>
      <w:bookmarkStart w:id="1" w:name="OLE_LINK2"/>
      <w:r>
        <w:rPr>
          <w:rFonts w:ascii="Arial" w:cs="Arial" w:hAnsi="Arial"/>
          <w:color w:val="000000"/>
          <w:sz w:val="22"/>
          <w:szCs w:val="22"/>
        </w:rPr>
        <w:t>del Control Interno y todo el sistema de conocimientos y habilidades adquiridos en la primera actividad didáctica de la asignatura.</w:t>
      </w:r>
    </w:p>
    <w:p>
      <w:pPr>
        <w:pStyle w:val="style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Problema:</w:t>
      </w:r>
      <w:r>
        <w:rPr>
          <w:rFonts w:ascii="Arial" w:cs="Arial" w:hAnsi="Arial"/>
          <w:sz w:val="22"/>
          <w:szCs w:val="22"/>
        </w:rPr>
        <w:t xml:space="preserve"> la necesidad de los estudiantes de </w:t>
      </w:r>
      <w:r>
        <w:rPr>
          <w:rFonts w:ascii="Arial" w:cs="Arial" w:hAnsi="Arial"/>
          <w:sz w:val="22"/>
          <w:szCs w:val="22"/>
          <w:lang w:val="es-MX"/>
        </w:rPr>
        <w:t>comprender, asimilar e incorporar a su formación profesional los conceptos vinculados con el Control Interno</w:t>
      </w:r>
      <w:r>
        <w:rPr>
          <w:rFonts w:ascii="Arial" w:cs="Arial" w:hAnsi="Arial"/>
          <w:sz w:val="22"/>
          <w:szCs w:val="22"/>
        </w:rPr>
        <w:t>, utilizando la bibliografía orientada.</w:t>
      </w:r>
    </w:p>
    <w:p>
      <w:pPr>
        <w:pStyle w:val="style0"/>
        <w:tabs>
          <w:tab w:val="left" w:leader="none" w:pos="1845"/>
          <w:tab w:val="center" w:leader="none" w:pos="4252"/>
        </w:tabs>
        <w:jc w:val="both"/>
        <w:rPr>
          <w:rFonts w:ascii="Arial" w:cs="Arial" w:hAnsi="Arial"/>
          <w:iCs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 xml:space="preserve">Objeto: </w:t>
      </w:r>
      <w:r>
        <w:rPr>
          <w:rFonts w:ascii="Arial" w:cs="Arial" w:hAnsi="Arial"/>
          <w:iCs/>
          <w:sz w:val="22"/>
          <w:szCs w:val="22"/>
        </w:rPr>
        <w:t>El Control Interno</w:t>
      </w:r>
    </w:p>
    <w:bookmarkEnd w:id="0"/>
    <w:bookmarkEnd w:id="1"/>
    <w:p>
      <w:pPr>
        <w:pStyle w:val="style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 xml:space="preserve">Métodos. </w:t>
      </w:r>
      <w:r>
        <w:rPr>
          <w:rFonts w:ascii="Arial" w:cs="Arial" w:hAnsi="Arial"/>
          <w:sz w:val="22"/>
          <w:szCs w:val="22"/>
        </w:rPr>
        <w:t xml:space="preserve"> Trabajo Independiente y elaboración conjunta.</w:t>
      </w:r>
    </w:p>
    <w:p>
      <w:pPr>
        <w:pStyle w:val="style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Medios</w:t>
      </w:r>
      <w:r>
        <w:rPr>
          <w:rFonts w:ascii="Arial" w:cs="Arial" w:hAnsi="Arial"/>
          <w:sz w:val="22"/>
          <w:szCs w:val="22"/>
        </w:rPr>
        <w:t>: Textuales: Guía del seminario, Programa, documentos elaborados por el profesor.</w:t>
      </w:r>
    </w:p>
    <w:p>
      <w:pPr>
        <w:pStyle w:val="style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Evaluación:</w:t>
      </w:r>
      <w:r>
        <w:rPr>
          <w:rFonts w:ascii="Arial" w:cs="Arial" w:hAnsi="Arial"/>
          <w:sz w:val="22"/>
          <w:szCs w:val="22"/>
        </w:rPr>
        <w:t xml:space="preserve"> Se evaluarán los estudiantes en todo el trayecto del seminario. Cuando los estudiantes expresen las valoraciones de sus trabajos, se emitirá una autoevaluación, coevaluación y heteroevaluación.</w:t>
      </w:r>
    </w:p>
    <w:p>
      <w:pPr>
        <w:pStyle w:val="style0"/>
        <w:suppressAutoHyphens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Se tendrá en cuenta además en la exposición, la fluidez en el lenguaje y la destreza en la expresión oral, además de   la actualidad del contenido a tratar y las respuestas a las interrogantes que se realicen.</w:t>
      </w:r>
    </w:p>
    <w:p>
      <w:pPr>
        <w:pStyle w:val="style0"/>
        <w:suppressAutoHyphens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Valores a potenciar</w:t>
      </w:r>
      <w:r>
        <w:rPr>
          <w:rFonts w:ascii="Arial" w:cs="Arial" w:hAnsi="Arial"/>
          <w:sz w:val="22"/>
          <w:szCs w:val="22"/>
        </w:rPr>
        <w:t xml:space="preserve">: La creatividad e iniciativa en su creación, el sentido de responsabilidad con la labor a realizar, la expresión oral en la exposición y el </w:t>
      </w:r>
    </w:p>
    <w:p>
      <w:pPr>
        <w:pStyle w:val="style0"/>
        <w:autoSpaceDE w:val="false"/>
        <w:autoSpaceDN w:val="false"/>
        <w:adjustRightInd w:val="false"/>
        <w:jc w:val="both"/>
        <w:rPr>
          <w:rFonts w:ascii="Arial" w:cs="Arial" w:hAnsi="Arial"/>
          <w:b/>
          <w:bCs/>
          <w:sz w:val="22"/>
          <w:szCs w:val="22"/>
        </w:rPr>
      </w:pPr>
    </w:p>
    <w:p>
      <w:pPr>
        <w:pStyle w:val="style0"/>
        <w:autoSpaceDE w:val="false"/>
        <w:autoSpaceDN w:val="false"/>
        <w:adjustRightInd w:val="false"/>
        <w:jc w:val="both"/>
        <w:rPr>
          <w:rFonts w:ascii="Arial" w:cs="Arial" w:hAnsi="Arial"/>
          <w:b/>
          <w:bCs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</w:rPr>
        <w:t>INTRODUCCIÓN.</w:t>
      </w:r>
    </w:p>
    <w:p>
      <w:pPr>
        <w:pStyle w:val="style0"/>
        <w:tabs>
          <w:tab w:val="left" w:leader="none" w:pos="1845"/>
          <w:tab w:val="center" w:leader="none" w:pos="4252"/>
        </w:tabs>
        <w:jc w:val="both"/>
        <w:rPr>
          <w:rFonts w:ascii="Arial" w:cs="Arial" w:hAnsi="Arial"/>
          <w:iCs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Recordar los aspectos tratados en la clase anterior fundamentalmente lo relacionado con las</w:t>
      </w:r>
      <w:r>
        <w:rPr>
          <w:rFonts w:ascii="Arial" w:cs="Arial" w:hAnsi="Arial"/>
          <w:iCs/>
          <w:sz w:val="22"/>
          <w:szCs w:val="22"/>
        </w:rPr>
        <w:t xml:space="preserve"> normas de la contabilidad y las normas de la auditoria</w:t>
      </w:r>
      <w:r>
        <w:rPr>
          <w:rFonts w:ascii="Arial" w:cs="Arial" w:hAnsi="Arial"/>
          <w:bCs/>
          <w:sz w:val="22"/>
          <w:szCs w:val="22"/>
        </w:rPr>
        <w:t>, se comenta sobre la guía de estudio y del seminario de la actividad.</w:t>
      </w:r>
    </w:p>
    <w:p>
      <w:pPr>
        <w:pStyle w:val="style0"/>
        <w:numPr>
          <w:ilvl w:val="0"/>
          <w:numId w:val="1"/>
        </w:numPr>
        <w:autoSpaceDE w:val="false"/>
        <w:autoSpaceDN w:val="false"/>
        <w:adjustRightInd w:val="false"/>
        <w:jc w:val="both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 xml:space="preserve">Se evalúa el estudio independiente de la actividad anterior </w:t>
      </w:r>
    </w:p>
    <w:p>
      <w:pPr>
        <w:pStyle w:val="style0"/>
        <w:numPr>
          <w:ilvl w:val="0"/>
          <w:numId w:val="1"/>
        </w:numPr>
        <w:autoSpaceDE w:val="false"/>
        <w:autoSpaceDN w:val="false"/>
        <w:adjustRightInd w:val="false"/>
        <w:jc w:val="both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Se realizan algunas preguntas para comprobar la preparación de los estudiantes para el seminario.</w:t>
      </w:r>
    </w:p>
    <w:p>
      <w:pPr>
        <w:pStyle w:val="style0"/>
        <w:ind w:left="720" w:right="54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¿</w:t>
      </w:r>
      <w:r>
        <w:rPr>
          <w:rFonts w:ascii="Arial" w:cs="Arial" w:hAnsi="Arial"/>
          <w:sz w:val="22"/>
          <w:szCs w:val="22"/>
        </w:rPr>
        <w:t>Cuáles</w:t>
      </w:r>
      <w:r>
        <w:rPr>
          <w:rFonts w:ascii="Arial" w:cs="Arial" w:hAnsi="Arial"/>
          <w:sz w:val="22"/>
          <w:szCs w:val="22"/>
        </w:rPr>
        <w:t xml:space="preserve"> son los elementos fundamentales del concepto de </w:t>
      </w:r>
      <w:r>
        <w:rPr>
          <w:rFonts w:ascii="Arial" w:cs="Arial" w:hAnsi="Arial"/>
          <w:sz w:val="22"/>
          <w:szCs w:val="22"/>
        </w:rPr>
        <w:t>control interno</w:t>
      </w:r>
      <w:r>
        <w:rPr>
          <w:rFonts w:ascii="Arial" w:cs="Arial" w:hAnsi="Arial"/>
          <w:sz w:val="22"/>
          <w:szCs w:val="22"/>
        </w:rPr>
        <w:t>?</w:t>
      </w:r>
    </w:p>
    <w:p>
      <w:pPr>
        <w:pStyle w:val="style0"/>
        <w:ind w:left="720" w:right="54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¿Qué resolución recoge las Normas del Sistema de Control Interno en Cuba?</w:t>
      </w:r>
    </w:p>
    <w:p>
      <w:pPr>
        <w:pStyle w:val="style0"/>
        <w:ind w:left="720" w:right="540"/>
        <w:jc w:val="both"/>
        <w:rPr>
          <w:rFonts w:ascii="Arial" w:cs="Arial" w:hAnsi="Arial"/>
          <w:sz w:val="22"/>
          <w:szCs w:val="22"/>
        </w:rPr>
      </w:pPr>
      <w:r>
        <w:rPr>
          <w:rStyle w:val="style4099"/>
          <w:rFonts w:ascii="Arial" w:cs="Arial" w:hAnsi="Arial"/>
          <w:sz w:val="22"/>
          <w:szCs w:val="22"/>
        </w:rPr>
        <w:t>¿Cuál</w:t>
      </w:r>
      <w:r>
        <w:rPr>
          <w:rStyle w:val="style4099"/>
          <w:rFonts w:ascii="Arial" w:cs="Arial" w:hAnsi="Arial"/>
          <w:sz w:val="22"/>
          <w:szCs w:val="22"/>
        </w:rPr>
        <w:t xml:space="preserve"> es el órgano auxiliar de la</w:t>
      </w:r>
      <w:r>
        <w:rPr>
          <w:rFonts w:ascii="Arial" w:cs="Arial" w:hAnsi="Arial"/>
          <w:color w:val="000000"/>
          <w:sz w:val="22"/>
          <w:szCs w:val="22"/>
        </w:rPr>
        <w:t xml:space="preserve"> </w:t>
      </w:r>
      <w:r>
        <w:rPr>
          <w:rStyle w:val="style4099"/>
          <w:rFonts w:ascii="Arial" w:cs="Arial" w:hAnsi="Arial"/>
          <w:sz w:val="22"/>
          <w:szCs w:val="22"/>
        </w:rPr>
        <w:t xml:space="preserve">Asamblea Nacional del Poder Popular y del Consejo de Estado </w:t>
      </w:r>
      <w:r>
        <w:rPr>
          <w:rStyle w:val="style4099"/>
          <w:rFonts w:ascii="Arial" w:cs="Arial" w:hAnsi="Arial"/>
          <w:sz w:val="22"/>
          <w:szCs w:val="22"/>
        </w:rPr>
        <w:t>que</w:t>
      </w:r>
      <w:r>
        <w:rPr>
          <w:rStyle w:val="style4099"/>
          <w:rFonts w:ascii="Arial" w:cs="Arial" w:hAnsi="Arial"/>
          <w:sz w:val="22"/>
          <w:szCs w:val="22"/>
        </w:rPr>
        <w:t xml:space="preserve"> ejerce la más alta</w:t>
      </w:r>
      <w:r>
        <w:rPr>
          <w:rFonts w:ascii="Arial" w:cs="Arial" w:hAnsi="Arial"/>
          <w:color w:val="000000"/>
          <w:sz w:val="22"/>
          <w:szCs w:val="22"/>
        </w:rPr>
        <w:t xml:space="preserve"> </w:t>
      </w:r>
      <w:r>
        <w:rPr>
          <w:rStyle w:val="style4099"/>
          <w:rFonts w:ascii="Arial" w:cs="Arial" w:hAnsi="Arial"/>
          <w:sz w:val="22"/>
          <w:szCs w:val="22"/>
        </w:rPr>
        <w:t>fiscalización sobre los órganos del Estado y del Gobierno</w:t>
      </w:r>
      <w:r>
        <w:rPr>
          <w:rStyle w:val="style4099"/>
          <w:rFonts w:ascii="Arial" w:cs="Arial" w:hAnsi="Arial"/>
          <w:sz w:val="22"/>
          <w:szCs w:val="22"/>
        </w:rPr>
        <w:t>?</w:t>
      </w:r>
    </w:p>
    <w:p>
      <w:pPr>
        <w:pStyle w:val="style0"/>
        <w:rPr>
          <w:rFonts w:ascii="Arial" w:cs="Arial" w:hAnsi="Arial"/>
          <w:b/>
          <w:sz w:val="22"/>
          <w:szCs w:val="22"/>
        </w:rPr>
      </w:pPr>
    </w:p>
    <w:p>
      <w:pPr>
        <w:pStyle w:val="style0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Desarrollo:</w:t>
      </w:r>
    </w:p>
    <w:p>
      <w:pPr>
        <w:pStyle w:val="style0"/>
        <w:numPr>
          <w:ilvl w:val="0"/>
          <w:numId w:val="2"/>
        </w:numPr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Se orienta el objetivo de la clase:</w:t>
      </w:r>
    </w:p>
    <w:p>
      <w:pPr>
        <w:pStyle w:val="style0"/>
        <w:suppressAutoHyphens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Explicar el Control Interno, sus objetivos, características</w:t>
      </w:r>
      <w:r>
        <w:rPr>
          <w:rFonts w:ascii="Arial" w:cs="Arial" w:hAnsi="Arial"/>
          <w:sz w:val="22"/>
          <w:szCs w:val="22"/>
        </w:rPr>
        <w:t xml:space="preserve">, </w:t>
      </w:r>
      <w:r>
        <w:rPr>
          <w:rFonts w:ascii="Arial" w:cs="Arial" w:hAnsi="Arial"/>
          <w:sz w:val="22"/>
          <w:szCs w:val="22"/>
        </w:rPr>
        <w:t>limitaciones inherentes</w:t>
      </w:r>
      <w:r>
        <w:rPr>
          <w:rFonts w:ascii="Arial" w:cs="Arial" w:hAnsi="Arial"/>
          <w:sz w:val="22"/>
          <w:szCs w:val="22"/>
        </w:rPr>
        <w:t xml:space="preserve">, </w:t>
      </w:r>
      <w:r>
        <w:rPr>
          <w:rFonts w:ascii="Arial" w:cs="Arial" w:hAnsi="Arial"/>
          <w:sz w:val="22"/>
          <w:szCs w:val="22"/>
        </w:rPr>
        <w:t>los componentes del Control Interno y las normas que se le vinculan</w:t>
      </w:r>
      <w:r>
        <w:rPr>
          <w:rFonts w:ascii="Arial" w:cs="Arial" w:hAnsi="Arial"/>
          <w:sz w:val="22"/>
          <w:szCs w:val="22"/>
        </w:rPr>
        <w:t xml:space="preserve">, a partir de la investigación realizada por los estudiantes, donde potencien la creatividad e iniciativa en su exposición, el sentido </w:t>
      </w:r>
      <w:r>
        <w:rPr>
          <w:rFonts w:ascii="Arial" w:cs="Arial" w:hAnsi="Arial"/>
          <w:sz w:val="22"/>
          <w:szCs w:val="22"/>
        </w:rPr>
        <w:t>de responsabilidad</w:t>
      </w:r>
      <w:r>
        <w:rPr>
          <w:rFonts w:ascii="Arial" w:cs="Arial" w:hAnsi="Arial"/>
          <w:sz w:val="22"/>
          <w:szCs w:val="22"/>
        </w:rPr>
        <w:t xml:space="preserve"> con la labor a realizar, la expresión oral en la exposición y el nivel de cientificidad creativa en la realización del trabajo.</w:t>
      </w:r>
    </w:p>
    <w:p>
      <w:pPr>
        <w:pStyle w:val="style0"/>
        <w:numPr>
          <w:ilvl w:val="0"/>
          <w:numId w:val="2"/>
        </w:numPr>
        <w:jc w:val="both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Organización de la actividad</w:t>
      </w:r>
    </w:p>
    <w:p>
      <w:pPr>
        <w:pStyle w:val="style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Se orienta como se va a organizar el aula para la exposición de los temas del seminario se comienza con la organización de las cuestiones o preguntas y la participación se hará con todos los estudiantes de formas individual todos los estudiantes en el aula pueden participar en cada interrogante.</w:t>
      </w:r>
    </w:p>
    <w:p>
      <w:pPr>
        <w:pStyle w:val="style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Todos los estudiantes deben tener participación y deben participar en más de una vez.</w:t>
      </w:r>
    </w:p>
    <w:p>
      <w:pPr>
        <w:pStyle w:val="style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Al finalizar cada exposición, el profesor pide criterios al respecto, al resto de los estudiantes y se toman en consideración los mismos para dar una evaluación. Cada estudiante puede opinar sobre que evaluación debe otorgarse al estudiante que </w:t>
      </w:r>
      <w:r>
        <w:rPr>
          <w:rFonts w:ascii="Arial" w:cs="Arial" w:hAnsi="Arial"/>
          <w:sz w:val="22"/>
          <w:szCs w:val="22"/>
        </w:rPr>
        <w:t>está</w:t>
      </w:r>
      <w:r>
        <w:rPr>
          <w:rFonts w:ascii="Arial" w:cs="Arial" w:hAnsi="Arial"/>
          <w:sz w:val="22"/>
          <w:szCs w:val="22"/>
        </w:rPr>
        <w:t xml:space="preserve"> exponiendo.</w:t>
      </w:r>
    </w:p>
    <w:p>
      <w:pPr>
        <w:pStyle w:val="style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El profesor evalúa también las intervenciones de los estudiantes al exponer sus criterios, y los tiene en cuenta para la evaluación del seminario. Se brindan las recomendaciones pertinentes a cada uno de los trabajos según las exposiciones realizadas.</w:t>
      </w:r>
    </w:p>
    <w:p>
      <w:pPr>
        <w:pStyle w:val="style0"/>
        <w:numPr>
          <w:ilvl w:val="0"/>
          <w:numId w:val="2"/>
        </w:numPr>
        <w:jc w:val="both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Conclusiones.</w:t>
      </w:r>
    </w:p>
    <w:p>
      <w:pPr>
        <w:pStyle w:val="style0"/>
        <w:jc w:val="both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Al finalizar la exposición de los estudiantes se realizan las conclusiones pertinentes resaltando la importancia que reviste esta temática tratada para los auditores en el escenario del cumplimento de las normas. </w:t>
      </w:r>
      <w:r>
        <w:rPr>
          <w:rFonts w:ascii="Arial" w:cs="Arial" w:hAnsi="Arial"/>
          <w:b/>
          <w:sz w:val="22"/>
          <w:szCs w:val="22"/>
        </w:rPr>
        <w:t>En esta etapa se realiza el TPI</w:t>
      </w:r>
    </w:p>
    <w:p>
      <w:pPr>
        <w:pStyle w:val="style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Se detallan algunos aspectos interesantes en los cuales se debe continuar trabajando en el cumplimento de las normas del auditor. </w:t>
      </w:r>
    </w:p>
    <w:p>
      <w:pPr>
        <w:pStyle w:val="style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Se retoman las evaluaciones otorgadas y se reconoce el esfuerzo realizado por los estudiantes para la búsqueda de información.</w:t>
      </w:r>
    </w:p>
    <w:p>
      <w:pPr>
        <w:pStyle w:val="style0"/>
        <w:jc w:val="both"/>
        <w:rPr>
          <w:rFonts w:ascii="Arial" w:cs="Arial" w:hAnsi="Arial"/>
          <w:b/>
          <w:sz w:val="22"/>
          <w:szCs w:val="22"/>
        </w:rPr>
      </w:pPr>
    </w:p>
    <w:p>
      <w:pPr>
        <w:pStyle w:val="style0"/>
        <w:jc w:val="both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Bibliografía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right="54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bCs/>
          <w:color w:val="000000"/>
          <w:sz w:val="22"/>
          <w:szCs w:val="22"/>
        </w:rPr>
        <w:t xml:space="preserve">BÁSICA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color w:val="000000"/>
          <w:sz w:val="22"/>
          <w:szCs w:val="22"/>
        </w:rPr>
        <w:t xml:space="preserve">  Auditoría                                            Autores: Cook and Winkle.  Tomos I y II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color w:val="000000"/>
          <w:sz w:val="22"/>
          <w:szCs w:val="22"/>
        </w:rPr>
        <w:t xml:space="preserve">  Principios de Auditoría.                     Autores: Meigs, Larsen and Meigs, Tomos I y II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color w:val="000000"/>
          <w:sz w:val="22"/>
          <w:szCs w:val="22"/>
        </w:rPr>
        <w:t xml:space="preserve">  Auditoría                                            Colectivo de Autores Cubanos.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color w:val="000000"/>
          <w:sz w:val="22"/>
          <w:szCs w:val="22"/>
        </w:rPr>
        <w:t xml:space="preserve">  Laboratorios de Auditoría                  Colectivo de Autores Cubanos.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color w:val="000000"/>
          <w:sz w:val="22"/>
          <w:szCs w:val="22"/>
        </w:rPr>
        <w:t xml:space="preserve">  Laboratorio de Auditoría Financiera  Colectivo de Autores Cubanos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color w:val="000000"/>
          <w:sz w:val="22"/>
          <w:szCs w:val="22"/>
        </w:rPr>
        <w:t xml:space="preserve">  Decretos Leyes del MAC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color w:val="000000"/>
          <w:sz w:val="22"/>
          <w:szCs w:val="22"/>
        </w:rPr>
      </w:pPr>
      <w:r>
        <w:rPr>
          <w:rFonts w:ascii="Arial" w:cs="Arial" w:hAnsi="Arial"/>
          <w:color w:val="000000"/>
          <w:sz w:val="22"/>
          <w:szCs w:val="22"/>
        </w:rPr>
        <w:t xml:space="preserve">  Resoluciones del Ministerio de Finanzas y Precios sobre Control Interno.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color w:val="000000"/>
          <w:sz w:val="22"/>
          <w:szCs w:val="22"/>
        </w:rPr>
        <w:t xml:space="preserve">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bCs/>
          <w:color w:val="000000"/>
          <w:sz w:val="22"/>
          <w:szCs w:val="22"/>
        </w:rPr>
        <w:t xml:space="preserve">COMPLEMENTARIA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color w:val="000000"/>
          <w:sz w:val="22"/>
          <w:szCs w:val="22"/>
        </w:rPr>
        <w:t xml:space="preserve"> </w:t>
      </w:r>
      <w:r>
        <w:rPr>
          <w:rFonts w:ascii="Arial" w:cs="Arial" w:hAnsi="Arial"/>
          <w:color w:val="000000"/>
          <w:sz w:val="22"/>
          <w:szCs w:val="22"/>
        </w:rPr>
        <w:t xml:space="preserve">Libro de </w:t>
      </w:r>
      <w:r>
        <w:rPr>
          <w:rFonts w:ascii="Arial" w:cs="Arial" w:hAnsi="Arial"/>
          <w:color w:val="000000"/>
          <w:sz w:val="22"/>
          <w:szCs w:val="22"/>
        </w:rPr>
        <w:t xml:space="preserve">Auditoría                                           Autor: </w:t>
      </w:r>
      <w:r>
        <w:rPr>
          <w:rFonts w:ascii="Arial" w:cs="Arial" w:hAnsi="Arial"/>
          <w:color w:val="000000"/>
          <w:sz w:val="22"/>
          <w:szCs w:val="22"/>
        </w:rPr>
        <w:t>Lic. Rogelio Echeverría Hernández</w:t>
      </w:r>
      <w:r>
        <w:rPr>
          <w:rFonts w:ascii="Arial" w:cs="Arial" w:hAnsi="Arial"/>
          <w:color w:val="000000"/>
          <w:sz w:val="22"/>
          <w:szCs w:val="22"/>
        </w:rPr>
        <w:t xml:space="preserve"> </w:t>
      </w:r>
    </w:p>
    <w:p>
      <w:pPr>
        <w:pStyle w:val="style0"/>
        <w:tabs>
          <w:tab w:val="left" w:leader="none" w:pos="720"/>
          <w:tab w:val="left" w:leader="none" w:pos="10800"/>
        </w:tabs>
        <w:autoSpaceDE w:val="false"/>
        <w:autoSpaceDN w:val="false"/>
        <w:adjustRightInd w:val="false"/>
        <w:ind w:left="540" w:right="540" w:hanging="360"/>
        <w:jc w:val="both"/>
        <w:rPr>
          <w:rFonts w:ascii="Arial" w:cs="Arial" w:hAnsi="Arial"/>
          <w:color w:val="000000"/>
          <w:sz w:val="22"/>
          <w:szCs w:val="22"/>
        </w:rPr>
      </w:pPr>
      <w:r>
        <w:rPr>
          <w:rFonts w:ascii="Arial" w:cs="Arial" w:hAnsi="Arial"/>
          <w:color w:val="000000"/>
          <w:sz w:val="22"/>
          <w:szCs w:val="22"/>
        </w:rPr>
        <w:t xml:space="preserve">Manual del Auditor                           Ministerio de Auditoría y Control de Cuba. </w:t>
      </w:r>
    </w:p>
    <w:p>
      <w:pPr>
        <w:pStyle w:val="style0"/>
        <w:autoSpaceDE w:val="false"/>
        <w:autoSpaceDN w:val="false"/>
        <w:adjustRightInd w:val="false"/>
        <w:jc w:val="both"/>
        <w:rPr>
          <w:rFonts w:ascii="Arial" w:cs="Arial" w:hAnsi="Arial"/>
          <w:i/>
          <w:iCs/>
          <w:sz w:val="22"/>
          <w:szCs w:val="22"/>
        </w:rPr>
      </w:pPr>
      <w:r>
        <w:rPr>
          <w:rFonts w:ascii="Arial" w:cs="Arial" w:hAnsi="Arial"/>
          <w:iCs/>
          <w:sz w:val="22"/>
          <w:szCs w:val="22"/>
        </w:rPr>
        <w:t>Ley 1</w:t>
      </w:r>
      <w:r>
        <w:rPr>
          <w:rFonts w:ascii="Arial" w:cs="Arial" w:hAnsi="Arial"/>
          <w:iCs/>
          <w:sz w:val="22"/>
          <w:szCs w:val="22"/>
        </w:rPr>
        <w:t>58</w:t>
      </w:r>
      <w:r>
        <w:rPr>
          <w:rFonts w:ascii="Arial" w:cs="Arial" w:hAnsi="Arial"/>
          <w:iCs/>
          <w:sz w:val="22"/>
          <w:szCs w:val="22"/>
        </w:rPr>
        <w:t xml:space="preserve"> de la Contraloría General de la República</w:t>
      </w:r>
    </w:p>
    <w:p>
      <w:pPr>
        <w:pStyle w:val="style0"/>
        <w:jc w:val="both"/>
        <w:rPr>
          <w:rFonts w:ascii="Arial" w:cs="Arial" w:hAnsi="Arial"/>
          <w:iCs/>
          <w:sz w:val="22"/>
          <w:szCs w:val="22"/>
        </w:rPr>
      </w:pPr>
      <w:r>
        <w:rPr>
          <w:rFonts w:ascii="Arial" w:cs="Arial" w:hAnsi="Arial"/>
          <w:iCs/>
          <w:sz w:val="22"/>
          <w:szCs w:val="22"/>
        </w:rPr>
        <w:t>Resolución 76 de la Contraloría General de la República</w:t>
      </w:r>
    </w:p>
    <w:p>
      <w:pPr>
        <w:pStyle w:val="style0"/>
        <w:jc w:val="both"/>
        <w:rPr>
          <w:rFonts w:ascii="Arial" w:cs="Arial" w:hAnsi="Arial"/>
          <w:b/>
          <w:sz w:val="22"/>
          <w:szCs w:val="22"/>
        </w:rPr>
      </w:pPr>
    </w:p>
    <w:p>
      <w:pPr>
        <w:pStyle w:val="style0"/>
        <w:jc w:val="both"/>
        <w:rPr>
          <w:rFonts w:ascii="Arial" w:cs="Arial" w:hAnsi="Arial"/>
          <w:b/>
          <w:sz w:val="22"/>
          <w:szCs w:val="22"/>
        </w:rPr>
      </w:pPr>
    </w:p>
    <w:p>
      <w:pPr>
        <w:pStyle w:val="style0"/>
        <w:jc w:val="both"/>
        <w:rPr>
          <w:rFonts w:ascii="Arial" w:cs="Arial" w:hAnsi="Arial"/>
          <w:b/>
          <w:sz w:val="22"/>
          <w:szCs w:val="22"/>
        </w:rPr>
      </w:pPr>
    </w:p>
    <w:p>
      <w:pPr>
        <w:pStyle w:val="style0"/>
        <w:jc w:val="both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>GUÍA DEL SEMINARIO</w:t>
      </w:r>
      <w:r>
        <w:rPr>
          <w:rFonts w:ascii="Arial" w:cs="Arial" w:hAnsi="Arial"/>
          <w:b/>
          <w:sz w:val="22"/>
          <w:szCs w:val="22"/>
        </w:rPr>
        <w:t xml:space="preserve"> 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El Seminario tiene como objetivo: 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Los estudiantes serán capaces de argumentar los</w:t>
      </w:r>
      <w:r>
        <w:rPr>
          <w:rFonts w:ascii="Arial" w:cs="Arial" w:hAnsi="Arial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 xml:space="preserve">contenidos </w:t>
      </w:r>
      <w:r>
        <w:rPr>
          <w:rFonts w:ascii="Arial" w:cs="Arial" w:hAnsi="Arial"/>
          <w:sz w:val="22"/>
          <w:szCs w:val="22"/>
        </w:rPr>
        <w:t>del d</w:t>
      </w:r>
      <w:r>
        <w:rPr>
          <w:rFonts w:ascii="Arial" w:cs="Arial" w:hAnsi="Arial"/>
          <w:sz w:val="22"/>
          <w:szCs w:val="22"/>
        </w:rPr>
        <w:t xml:space="preserve">iseño y </w:t>
      </w:r>
      <w:r>
        <w:rPr>
          <w:rFonts w:ascii="Arial" w:cs="Arial" w:hAnsi="Arial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evisión del Sistema de Control Interno</w:t>
      </w:r>
      <w:r>
        <w:rPr>
          <w:rFonts w:ascii="Arial" w:cs="Arial" w:hAnsi="Arial"/>
          <w:sz w:val="22"/>
          <w:szCs w:val="22"/>
        </w:rPr>
        <w:t>, en presencia del profesor y del resto del grupo, con un nivel de asimilación productivo y creativo.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El Seminario se desarrollará en forma de ponencias y debate, para ello se crearán grupos de trabajo </w:t>
      </w:r>
    </w:p>
    <w:p>
      <w:pPr>
        <w:pStyle w:val="style0"/>
        <w:rPr>
          <w:rFonts w:ascii="Arial" w:cs="Arial" w:hAnsi="Arial"/>
          <w:sz w:val="22"/>
          <w:szCs w:val="22"/>
        </w:rPr>
      </w:pP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Los objetos básicos que se tratarán por parte de los grupos, son los que están asociados a las unidades I.</w:t>
      </w:r>
    </w:p>
    <w:p>
      <w:pPr>
        <w:pStyle w:val="style0"/>
        <w:rPr>
          <w:rFonts w:ascii="Arial" w:cs="Arial" w:hAnsi="Arial"/>
          <w:sz w:val="22"/>
          <w:szCs w:val="22"/>
        </w:rPr>
      </w:pP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z w:val="22"/>
          <w:szCs w:val="22"/>
        </w:rPr>
        <w:t xml:space="preserve">iseño y </w:t>
      </w:r>
      <w:r>
        <w:rPr>
          <w:rFonts w:ascii="Arial" w:cs="Arial" w:hAnsi="Arial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evisión del Sistema de Control Interno</w:t>
      </w:r>
      <w:r>
        <w:rPr>
          <w:rFonts w:ascii="Arial" w:cs="Arial" w:hAnsi="Arial"/>
          <w:sz w:val="22"/>
          <w:szCs w:val="22"/>
        </w:rPr>
        <w:t xml:space="preserve"> 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Asociado a estos objetos cada grupo debe:</w:t>
      </w:r>
    </w:p>
    <w:p>
      <w:pPr>
        <w:pStyle w:val="style179"/>
        <w:numPr>
          <w:ilvl w:val="0"/>
          <w:numId w:val="8"/>
        </w:numPr>
        <w:rPr>
          <w:rFonts w:ascii="Arial" w:cs="Arial" w:hAnsi="Arial"/>
        </w:rPr>
      </w:pPr>
      <w:r>
        <w:rPr>
          <w:rFonts w:ascii="Arial" w:cs="Arial" w:hAnsi="Arial"/>
        </w:rPr>
        <w:t>¿</w:t>
      </w:r>
      <w:r>
        <w:rPr>
          <w:rFonts w:ascii="Arial" w:cs="Arial" w:hAnsi="Arial"/>
        </w:rPr>
        <w:t xml:space="preserve">De </w:t>
      </w:r>
      <w:r>
        <w:rPr>
          <w:rFonts w:ascii="Arial" w:cs="Arial" w:hAnsi="Arial"/>
        </w:rPr>
        <w:t>quién</w:t>
      </w:r>
      <w:r>
        <w:rPr>
          <w:rFonts w:ascii="Arial" w:cs="Arial" w:hAnsi="Arial"/>
        </w:rPr>
        <w:t xml:space="preserve"> es la </w:t>
      </w:r>
      <w:r>
        <w:rPr>
          <w:rFonts w:ascii="Arial" w:cs="Arial" w:hAnsi="Arial"/>
          <w:lang w:val="es-MX"/>
        </w:rPr>
        <w:t xml:space="preserve">Responsabilidad del Sistema de Control Interno y cuáles son los </w:t>
      </w:r>
      <w:r>
        <w:rPr>
          <w:rFonts w:ascii="Arial" w:cs="Arial" w:hAnsi="Arial"/>
          <w:color w:val="000000"/>
        </w:rPr>
        <w:t>d</w:t>
      </w:r>
      <w:r>
        <w:rPr>
          <w:rFonts w:ascii="Arial" w:cs="Arial" w:hAnsi="Arial"/>
          <w:color w:val="000000"/>
        </w:rPr>
        <w:t>eberes y obligaciones respecto al Sistema de Control Interno por parte de la máxima autoridad</w:t>
      </w:r>
      <w:r>
        <w:rPr>
          <w:rFonts w:ascii="Arial" w:cs="Arial" w:hAnsi="Arial"/>
          <w:color w:val="000000"/>
        </w:rPr>
        <w:t>?</w:t>
      </w:r>
    </w:p>
    <w:p>
      <w:pPr>
        <w:pStyle w:val="style179"/>
        <w:numPr>
          <w:ilvl w:val="0"/>
          <w:numId w:val="8"/>
        </w:numPr>
        <w:jc w:val="both"/>
        <w:rPr>
          <w:rFonts w:ascii="Arial" w:cs="Arial" w:hAnsi="Arial"/>
          <w:sz w:val="32"/>
          <w:szCs w:val="32"/>
        </w:rPr>
      </w:pPr>
      <w:r>
        <w:rPr>
          <w:rFonts w:ascii="Arial" w:cs="Arial" w:hAnsi="Arial"/>
          <w:color w:val="000000"/>
        </w:rPr>
        <w:t>El Sistema de Control Interno está formado por cinco componentes interrelacionados entre si</w:t>
      </w:r>
      <w:r>
        <w:rPr>
          <w:rFonts w:ascii="Arial" w:cs="Arial" w:hAnsi="Arial"/>
          <w:color w:val="000000"/>
        </w:rPr>
        <w:t xml:space="preserve"> cuales son. Explique de que trata cada uno y cuál es su estructura.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METODOLOGÍA PARA EL DESARROLLO DEL SEMINARIO:</w:t>
      </w:r>
    </w:p>
    <w:p>
      <w:pPr>
        <w:pStyle w:val="style179"/>
        <w:numPr>
          <w:ilvl w:val="0"/>
          <w:numId w:val="4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Orientación de la Guía. </w:t>
      </w:r>
    </w:p>
    <w:p>
      <w:pPr>
        <w:pStyle w:val="style179"/>
        <w:numPr>
          <w:ilvl w:val="0"/>
          <w:numId w:val="4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Trabajo en grupos para la distribución del trabajo.</w:t>
      </w:r>
    </w:p>
    <w:p>
      <w:pPr>
        <w:pStyle w:val="style179"/>
        <w:numPr>
          <w:ilvl w:val="0"/>
          <w:numId w:val="4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Elaboración de la ponencia escrita. </w:t>
      </w:r>
    </w:p>
    <w:p>
      <w:pPr>
        <w:pStyle w:val="style179"/>
        <w:numPr>
          <w:ilvl w:val="0"/>
          <w:numId w:val="4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Presentación ante el grupo de las ideas principales de la ponencia escrita y debate grupal. </w:t>
      </w:r>
    </w:p>
    <w:p>
      <w:pPr>
        <w:pStyle w:val="style179"/>
        <w:numPr>
          <w:ilvl w:val="0"/>
          <w:numId w:val="4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Todos los miembros del grupo deben tener una tarea de exposición, pues la ponencia se expondrá en forma de panel conformado por todos los miembros del grupo.</w:t>
      </w:r>
    </w:p>
    <w:p>
      <w:pPr>
        <w:pStyle w:val="style179"/>
        <w:numPr>
          <w:ilvl w:val="0"/>
          <w:numId w:val="4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Se evaluará la participación del resto de los grupos en los debates con igual peso que la exposición</w:t>
      </w:r>
      <w:r>
        <w:rPr>
          <w:rFonts w:ascii="Arial" w:cs="Arial" w:hAnsi="Arial"/>
          <w:sz w:val="22"/>
          <w:szCs w:val="22"/>
        </w:rPr>
        <w:t>.</w:t>
      </w:r>
    </w:p>
    <w:p>
      <w:pPr>
        <w:pStyle w:val="style0"/>
        <w:ind w:left="360"/>
        <w:rPr>
          <w:rFonts w:ascii="Arial" w:cs="Arial" w:hAnsi="Arial"/>
          <w:sz w:val="22"/>
          <w:szCs w:val="22"/>
        </w:rPr>
      </w:pPr>
    </w:p>
    <w:p>
      <w:pPr>
        <w:pStyle w:val="style0"/>
        <w:ind w:left="36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Los aspectos básicos a evaluar en el </w:t>
      </w:r>
      <w:r>
        <w:rPr>
          <w:rFonts w:ascii="Arial" w:cs="Arial" w:hAnsi="Arial"/>
          <w:sz w:val="22"/>
          <w:szCs w:val="22"/>
        </w:rPr>
        <w:t>Seminario serán</w:t>
      </w:r>
      <w:r>
        <w:rPr>
          <w:rFonts w:ascii="Arial" w:cs="Arial" w:hAnsi="Arial"/>
          <w:sz w:val="22"/>
          <w:szCs w:val="22"/>
        </w:rPr>
        <w:t xml:space="preserve"> los siguientes:</w:t>
      </w:r>
    </w:p>
    <w:p>
      <w:pPr>
        <w:pStyle w:val="style179"/>
        <w:numPr>
          <w:ilvl w:val="0"/>
          <w:numId w:val="3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Nivel de profundidad de los aspectos teóricos que se abordan.</w:t>
      </w:r>
    </w:p>
    <w:p>
      <w:pPr>
        <w:pStyle w:val="style179"/>
        <w:numPr>
          <w:ilvl w:val="0"/>
          <w:numId w:val="3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Concreción en los aspectos que se relacionan e integran desde las teorías.</w:t>
      </w:r>
    </w:p>
    <w:p>
      <w:pPr>
        <w:pStyle w:val="style179"/>
        <w:numPr>
          <w:ilvl w:val="0"/>
          <w:numId w:val="3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Redacción y ortografía en la ponencia.</w:t>
      </w:r>
    </w:p>
    <w:p>
      <w:pPr>
        <w:pStyle w:val="style179"/>
        <w:numPr>
          <w:ilvl w:val="0"/>
          <w:numId w:val="3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Comunicación asertiva y lenguaje científico en la exposición.</w:t>
      </w:r>
    </w:p>
    <w:p>
      <w:pPr>
        <w:pStyle w:val="style179"/>
        <w:numPr>
          <w:ilvl w:val="0"/>
          <w:numId w:val="3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Profundidad y cientificidad en las intervenciones durante los debates.</w:t>
      </w:r>
    </w:p>
    <w:p>
      <w:pPr>
        <w:pStyle w:val="style179"/>
        <w:numPr>
          <w:ilvl w:val="0"/>
          <w:numId w:val="3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Uso de la bibliografía y su tratamiento en la ponencia y exposiciones.</w:t>
      </w:r>
    </w:p>
    <w:p>
      <w:pPr>
        <w:pStyle w:val="style0"/>
        <w:rPr/>
      </w:pPr>
    </w:p>
    <w:p>
      <w:pPr>
        <w:pStyle w:val="style0"/>
        <w:rPr/>
      </w:pPr>
    </w:p>
    <w:sectPr>
      <w:pgSz w:w="12242" w:h="15842" w:orient="portrait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E46EDDA4"/>
    <w:lvl w:ilvl="0" w:tplc="5C0A000F">
      <w:start w:val="1"/>
      <w:numFmt w:val="decimal"/>
      <w:lvlText w:val="%1."/>
      <w:lvlJc w:val="left"/>
      <w:pPr>
        <w:ind w:left="720" w:hanging="360"/>
      </w:pPr>
    </w:lvl>
    <w:lvl w:ilvl="1" w:tplc="5C0A0019" w:tentative="1">
      <w:start w:val="1"/>
      <w:numFmt w:val="lowerLetter"/>
      <w:lvlText w:val="%2."/>
      <w:lvlJc w:val="left"/>
      <w:pPr>
        <w:ind w:left="1440" w:hanging="360"/>
      </w:pPr>
    </w:lvl>
    <w:lvl w:ilvl="2" w:tplc="5C0A001B" w:tentative="1">
      <w:start w:val="1"/>
      <w:numFmt w:val="lowerRoman"/>
      <w:lvlText w:val="%3."/>
      <w:lvlJc w:val="right"/>
      <w:pPr>
        <w:ind w:left="2160" w:hanging="180"/>
      </w:pPr>
    </w:lvl>
    <w:lvl w:ilvl="3" w:tplc="5C0A000F" w:tentative="1">
      <w:start w:val="1"/>
      <w:numFmt w:val="decimal"/>
      <w:lvlText w:val="%4."/>
      <w:lvlJc w:val="left"/>
      <w:pPr>
        <w:ind w:left="2880" w:hanging="360"/>
      </w:pPr>
    </w:lvl>
    <w:lvl w:ilvl="4" w:tplc="5C0A0019" w:tentative="1">
      <w:start w:val="1"/>
      <w:numFmt w:val="lowerLetter"/>
      <w:lvlText w:val="%5."/>
      <w:lvlJc w:val="left"/>
      <w:pPr>
        <w:ind w:left="3600" w:hanging="360"/>
      </w:pPr>
    </w:lvl>
    <w:lvl w:ilvl="5" w:tplc="5C0A001B" w:tentative="1">
      <w:start w:val="1"/>
      <w:numFmt w:val="lowerRoman"/>
      <w:lvlText w:val="%6."/>
      <w:lvlJc w:val="right"/>
      <w:pPr>
        <w:ind w:left="4320" w:hanging="180"/>
      </w:pPr>
    </w:lvl>
    <w:lvl w:ilvl="6" w:tplc="5C0A000F" w:tentative="1">
      <w:start w:val="1"/>
      <w:numFmt w:val="decimal"/>
      <w:lvlText w:val="%7."/>
      <w:lvlJc w:val="left"/>
      <w:pPr>
        <w:ind w:left="5040" w:hanging="360"/>
      </w:pPr>
    </w:lvl>
    <w:lvl w:ilvl="7" w:tplc="5C0A0019" w:tentative="1">
      <w:start w:val="1"/>
      <w:numFmt w:val="lowerLetter"/>
      <w:lvlText w:val="%8."/>
      <w:lvlJc w:val="left"/>
      <w:pPr>
        <w:ind w:left="5760" w:hanging="360"/>
      </w:pPr>
    </w:lvl>
    <w:lvl w:ilvl="8" w:tplc="5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6E24F70A"/>
    <w:lvl w:ilvl="0" w:tplc="C8F8497A">
      <w:start w:val="1"/>
      <w:numFmt w:val="decimal"/>
      <w:lvlText w:val="%1."/>
      <w:lvlJc w:val="left"/>
      <w:pPr>
        <w:ind w:left="1440" w:hanging="360"/>
      </w:pPr>
      <w:rPr>
        <w:sz w:val="24"/>
        <w:szCs w:val="24"/>
      </w:rPr>
    </w:lvl>
    <w:lvl w:ilvl="1" w:tplc="5C0A0019" w:tentative="1">
      <w:start w:val="1"/>
      <w:numFmt w:val="lowerLetter"/>
      <w:lvlText w:val="%2."/>
      <w:lvlJc w:val="left"/>
      <w:pPr>
        <w:ind w:left="2160" w:hanging="360"/>
      </w:pPr>
    </w:lvl>
    <w:lvl w:ilvl="2" w:tplc="5C0A001B" w:tentative="1">
      <w:start w:val="1"/>
      <w:numFmt w:val="lowerRoman"/>
      <w:lvlText w:val="%3."/>
      <w:lvlJc w:val="right"/>
      <w:pPr>
        <w:ind w:left="2880" w:hanging="180"/>
      </w:pPr>
    </w:lvl>
    <w:lvl w:ilvl="3" w:tplc="5C0A000F" w:tentative="1">
      <w:start w:val="1"/>
      <w:numFmt w:val="decimal"/>
      <w:lvlText w:val="%4."/>
      <w:lvlJc w:val="left"/>
      <w:pPr>
        <w:ind w:left="3600" w:hanging="360"/>
      </w:pPr>
    </w:lvl>
    <w:lvl w:ilvl="4" w:tplc="5C0A0019" w:tentative="1">
      <w:start w:val="1"/>
      <w:numFmt w:val="lowerLetter"/>
      <w:lvlText w:val="%5."/>
      <w:lvlJc w:val="left"/>
      <w:pPr>
        <w:ind w:left="4320" w:hanging="360"/>
      </w:pPr>
    </w:lvl>
    <w:lvl w:ilvl="5" w:tplc="5C0A001B" w:tentative="1">
      <w:start w:val="1"/>
      <w:numFmt w:val="lowerRoman"/>
      <w:lvlText w:val="%6."/>
      <w:lvlJc w:val="right"/>
      <w:pPr>
        <w:ind w:left="5040" w:hanging="180"/>
      </w:pPr>
    </w:lvl>
    <w:lvl w:ilvl="6" w:tplc="5C0A000F" w:tentative="1">
      <w:start w:val="1"/>
      <w:numFmt w:val="decimal"/>
      <w:lvlText w:val="%7."/>
      <w:lvlJc w:val="left"/>
      <w:pPr>
        <w:ind w:left="5760" w:hanging="360"/>
      </w:pPr>
    </w:lvl>
    <w:lvl w:ilvl="7" w:tplc="5C0A0019" w:tentative="1">
      <w:start w:val="1"/>
      <w:numFmt w:val="lowerLetter"/>
      <w:lvlText w:val="%8."/>
      <w:lvlJc w:val="left"/>
      <w:pPr>
        <w:ind w:left="6480" w:hanging="360"/>
      </w:pPr>
    </w:lvl>
    <w:lvl w:ilvl="8" w:tplc="5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0000002"/>
    <w:multiLevelType w:val="hybridMultilevel"/>
    <w:tmpl w:val="888019E6"/>
    <w:lvl w:ilvl="0" w:tplc="9B629A92">
      <w:start w:val="1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9E9EBE92"/>
    <w:lvl w:ilvl="0" w:tplc="8FE0E6A6">
      <w:start w:val="1"/>
      <w:numFmt w:val="bullet"/>
      <w:lvlText w:val=""/>
      <w:lvlJc w:val="left"/>
      <w:pPr>
        <w:tabs>
          <w:tab w:val="left" w:leader="none" w:pos="360"/>
        </w:tabs>
        <w:ind w:left="360" w:hanging="360"/>
      </w:pPr>
      <w:rPr>
        <w:rFonts w:ascii="Symbol" w:eastAsia="Times New Roman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F1DACFB0"/>
    <w:lvl w:ilvl="0" w:tplc="5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00F4F5CA"/>
    <w:lvl w:ilvl="0" w:tplc="5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5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5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5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6303736"/>
    <w:lvl w:ilvl="0" w:tplc="303A9796">
      <w:start w:val="1"/>
      <w:numFmt w:val="bullet"/>
      <w:lvlText w:val=""/>
      <w:lvlJc w:val="left"/>
      <w:pPr>
        <w:tabs>
          <w:tab w:val="left" w:leader="none" w:pos="340"/>
        </w:tabs>
        <w:ind w:left="340" w:hanging="340"/>
      </w:pPr>
      <w:rPr>
        <w:rFonts w:ascii="Symbol" w:cs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cs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cs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cs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cs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cs="Wingdings" w:hAnsi="Wingdings" w:hint="default"/>
      </w:rPr>
    </w:lvl>
  </w:abstractNum>
  <w:abstractNum w:abstractNumId="7">
    <w:nsid w:val="00000007"/>
    <w:multiLevelType w:val="hybridMultilevel"/>
    <w:tmpl w:val="9746BD32"/>
    <w:lvl w:ilvl="0" w:tplc="5C0A000F">
      <w:start w:val="1"/>
      <w:numFmt w:val="decimal"/>
      <w:lvlText w:val="%1."/>
      <w:lvlJc w:val="left"/>
      <w:pPr>
        <w:ind w:left="720" w:hanging="360"/>
      </w:pPr>
    </w:lvl>
    <w:lvl w:ilvl="1" w:tplc="5C0A0019" w:tentative="1">
      <w:start w:val="1"/>
      <w:numFmt w:val="lowerLetter"/>
      <w:lvlText w:val="%2."/>
      <w:lvlJc w:val="left"/>
      <w:pPr>
        <w:ind w:left="1440" w:hanging="360"/>
      </w:pPr>
    </w:lvl>
    <w:lvl w:ilvl="2" w:tplc="5C0A001B" w:tentative="1">
      <w:start w:val="1"/>
      <w:numFmt w:val="lowerRoman"/>
      <w:lvlText w:val="%3."/>
      <w:lvlJc w:val="right"/>
      <w:pPr>
        <w:ind w:left="2160" w:hanging="180"/>
      </w:pPr>
    </w:lvl>
    <w:lvl w:ilvl="3" w:tplc="5C0A000F" w:tentative="1">
      <w:start w:val="1"/>
      <w:numFmt w:val="decimal"/>
      <w:lvlText w:val="%4."/>
      <w:lvlJc w:val="left"/>
      <w:pPr>
        <w:ind w:left="2880" w:hanging="360"/>
      </w:pPr>
    </w:lvl>
    <w:lvl w:ilvl="4" w:tplc="5C0A0019" w:tentative="1">
      <w:start w:val="1"/>
      <w:numFmt w:val="lowerLetter"/>
      <w:lvlText w:val="%5."/>
      <w:lvlJc w:val="left"/>
      <w:pPr>
        <w:ind w:left="3600" w:hanging="360"/>
      </w:pPr>
    </w:lvl>
    <w:lvl w:ilvl="5" w:tplc="5C0A001B" w:tentative="1">
      <w:start w:val="1"/>
      <w:numFmt w:val="lowerRoman"/>
      <w:lvlText w:val="%6."/>
      <w:lvlJc w:val="right"/>
      <w:pPr>
        <w:ind w:left="4320" w:hanging="180"/>
      </w:pPr>
    </w:lvl>
    <w:lvl w:ilvl="6" w:tplc="5C0A000F" w:tentative="1">
      <w:start w:val="1"/>
      <w:numFmt w:val="decimal"/>
      <w:lvlText w:val="%7."/>
      <w:lvlJc w:val="left"/>
      <w:pPr>
        <w:ind w:left="5040" w:hanging="360"/>
      </w:pPr>
    </w:lvl>
    <w:lvl w:ilvl="7" w:tplc="5C0A0019" w:tentative="1">
      <w:start w:val="1"/>
      <w:numFmt w:val="lowerLetter"/>
      <w:lvlText w:val="%8."/>
      <w:lvlJc w:val="left"/>
      <w:pPr>
        <w:ind w:left="5760" w:hanging="360"/>
      </w:pPr>
    </w:lvl>
    <w:lvl w:ilvl="8" w:tplc="5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dit="none" w:enforcement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C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cs="Times New Roman" w:eastAsia="Times New Roman" w:hAnsi="Times New Roman"/>
      <w:sz w:val="24"/>
      <w:szCs w:val="24"/>
      <w:lang w:val="es-ES" w:eastAsia="es-E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link w:val="style4097"/>
    <w:pPr/>
    <w:rPr>
      <w:rFonts w:ascii="Arial" w:cs="Arial" w:hAnsi="Arial"/>
      <w:sz w:val="28"/>
      <w:lang w:val="es-ES_tradnl" w:eastAsia="es-ES_tradnl"/>
    </w:rPr>
  </w:style>
  <w:style w:type="character" w:customStyle="1" w:styleId="style4097">
    <w:name w:val="Texto independiente Car"/>
    <w:basedOn w:val="style65"/>
    <w:next w:val="style4097"/>
    <w:link w:val="style66"/>
    <w:rPr>
      <w:rFonts w:ascii="Arial" w:cs="Arial" w:eastAsia="Times New Roman" w:hAnsi="Arial"/>
      <w:sz w:val="28"/>
      <w:szCs w:val="24"/>
      <w:lang w:val="es-ES_tradnl" w:eastAsia="es-ES_tradnl"/>
    </w:rPr>
  </w:style>
  <w:style w:type="paragraph" w:styleId="style29">
    <w:name w:val="footnote text"/>
    <w:basedOn w:val="style0"/>
    <w:next w:val="style29"/>
    <w:link w:val="style4098"/>
    <w:pPr/>
    <w:rPr>
      <w:rFonts w:ascii="Arial" w:hAnsi="Arial"/>
      <w:sz w:val="20"/>
      <w:szCs w:val="20"/>
      <w:lang w:val="es-ES_tradnl"/>
    </w:rPr>
  </w:style>
  <w:style w:type="character" w:customStyle="1" w:styleId="style4098">
    <w:name w:val="Texto nota pie Car"/>
    <w:basedOn w:val="style65"/>
    <w:next w:val="style4098"/>
    <w:link w:val="style29"/>
    <w:rPr>
      <w:rFonts w:ascii="Arial" w:cs="Times New Roman" w:eastAsia="Times New Roman" w:hAnsi="Arial"/>
      <w:sz w:val="20"/>
      <w:szCs w:val="20"/>
      <w:lang w:val="es-ES_tradnl" w:eastAsia="es-ES"/>
    </w:rPr>
  </w:style>
  <w:style w:type="character" w:customStyle="1" w:styleId="style4099">
    <w:name w:val="fontstyle01"/>
    <w:basedOn w:val="style65"/>
    <w:next w:val="style4099"/>
    <w:rPr>
      <w:rFonts w:ascii="TimesNewRomanPSMT" w:hAnsi="TimesNewRomanPSMT" w:hint="default"/>
      <w:b w:val="false"/>
      <w:bCs w:val="false"/>
      <w:i w:val="false"/>
      <w:iCs w:val="false"/>
      <w:color w:val="000000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1009</Words>
  <Characters>5518</Characters>
  <Application>WPS Office</Application>
  <DocSecurity>0</DocSecurity>
  <Paragraphs>82</Paragraphs>
  <ScaleCrop>false</ScaleCrop>
  <LinksUpToDate>false</LinksUpToDate>
  <CharactersWithSpaces>6703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2026-09-16T18:00:42Z</dcterms:created>
  <dc:creator>MariOmi</dc:creator>
  <lastModifiedBy>M2006C3LG</lastModifiedBy>
  <dcterms:modified xsi:type="dcterms:W3CDTF">2026-09-16T18:00:42Z</dcterms:modified>
  <revision>15</revision>
</coreProperties>
</file>