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7249B" w14:textId="77777777" w:rsidR="003D748E" w:rsidRDefault="00DF2056">
      <w:pPr>
        <w:spacing w:before="1200" w:after="100"/>
        <w:jc w:val="center"/>
      </w:pPr>
      <w:r>
        <w:rPr>
          <w:b/>
          <w:bCs/>
          <w:color w:val="1F3864"/>
          <w:sz w:val="22"/>
        </w:rPr>
        <w:t>UNIVERSIDAD DE ARTEMISA</w:t>
      </w:r>
    </w:p>
    <w:p w14:paraId="5F63D99F" w14:textId="77777777" w:rsidR="003D748E" w:rsidRDefault="00DF2056">
      <w:pPr>
        <w:spacing w:after="400"/>
        <w:jc w:val="center"/>
      </w:pPr>
      <w:r>
        <w:rPr>
          <w:i/>
          <w:iCs/>
          <w:color w:val="1F3864"/>
          <w:sz w:val="20"/>
          <w:szCs w:val="20"/>
        </w:rPr>
        <w:t>Departamento de Ciencias Jurídicas</w:t>
      </w:r>
    </w:p>
    <w:p w14:paraId="47D8BB20" w14:textId="77777777" w:rsidR="003D748E" w:rsidRDefault="00DF2056">
      <w:pPr>
        <w:spacing w:before="800" w:after="200"/>
        <w:jc w:val="center"/>
      </w:pPr>
      <w:r>
        <w:rPr>
          <w:b/>
          <w:bCs/>
          <w:color w:val="1F3864"/>
          <w:sz w:val="44"/>
          <w:szCs w:val="44"/>
        </w:rPr>
        <w:t>GUÍA DE ESTUDIOS</w:t>
      </w:r>
    </w:p>
    <w:p w14:paraId="638785F2" w14:textId="305F346A" w:rsidR="003D748E" w:rsidRDefault="00DF2056">
      <w:pPr>
        <w:spacing w:after="200"/>
        <w:jc w:val="center"/>
      </w:pPr>
      <w:r>
        <w:rPr>
          <w:b/>
          <w:bCs/>
          <w:color w:val="8B6F1F"/>
          <w:sz w:val="32"/>
          <w:szCs w:val="32"/>
        </w:rPr>
        <w:t>VIOLENCIA, DERECHO y SALUD</w:t>
      </w:r>
    </w:p>
    <w:p w14:paraId="63DB27AD" w14:textId="77777777" w:rsidR="003D748E" w:rsidRDefault="00DF2056">
      <w:pPr>
        <w:spacing w:after="800"/>
        <w:jc w:val="center"/>
      </w:pPr>
      <w:r>
        <w:rPr>
          <w:i/>
          <w:iCs/>
          <w:sz w:val="22"/>
        </w:rPr>
        <w:t>Cuarto Año — Licenciatura en Derecho</w:t>
      </w:r>
    </w:p>
    <w:p w14:paraId="3D5B69C4" w14:textId="77777777" w:rsidR="003D748E" w:rsidRDefault="00DF2056">
      <w:pPr>
        <w:spacing w:before="1600" w:after="100"/>
        <w:jc w:val="center"/>
      </w:pPr>
      <w:r>
        <w:rPr>
          <w:sz w:val="19"/>
          <w:szCs w:val="19"/>
        </w:rPr>
        <w:t>Material de apoyo al estudio independiente y al trabajo en clases prácticas y seminarios</w:t>
      </w:r>
    </w:p>
    <w:p w14:paraId="5425FA22" w14:textId="77777777" w:rsidR="003D748E" w:rsidRDefault="00DF2056">
      <w:pPr>
        <w:spacing w:after="100"/>
        <w:jc w:val="center"/>
        <w:rPr>
          <w:sz w:val="19"/>
          <w:szCs w:val="19"/>
        </w:rPr>
      </w:pPr>
      <w:r>
        <w:rPr>
          <w:sz w:val="19"/>
          <w:szCs w:val="19"/>
        </w:rPr>
        <w:t>Correspondiente al Programa de Asignatura (48 horas clase)</w:t>
      </w:r>
    </w:p>
    <w:p w14:paraId="514A7B45" w14:textId="77777777" w:rsidR="003D748E" w:rsidRDefault="003D748E">
      <w:pPr>
        <w:spacing w:after="100"/>
        <w:jc w:val="center"/>
        <w:rPr>
          <w:sz w:val="19"/>
          <w:szCs w:val="19"/>
        </w:rPr>
      </w:pPr>
    </w:p>
    <w:p w14:paraId="5740C6D0" w14:textId="77777777" w:rsidR="003D748E" w:rsidRDefault="003D748E">
      <w:pPr>
        <w:spacing w:after="100"/>
        <w:jc w:val="center"/>
        <w:rPr>
          <w:sz w:val="19"/>
          <w:szCs w:val="19"/>
        </w:rPr>
      </w:pPr>
    </w:p>
    <w:p w14:paraId="2BD72CBB" w14:textId="77777777" w:rsidR="003D748E" w:rsidRDefault="003D748E">
      <w:pPr>
        <w:spacing w:after="100"/>
        <w:jc w:val="center"/>
        <w:rPr>
          <w:sz w:val="19"/>
          <w:szCs w:val="19"/>
        </w:rPr>
      </w:pPr>
    </w:p>
    <w:p w14:paraId="62F95F99" w14:textId="77777777" w:rsidR="003D748E" w:rsidRDefault="003D748E">
      <w:pPr>
        <w:spacing w:after="100"/>
        <w:jc w:val="center"/>
        <w:rPr>
          <w:sz w:val="19"/>
          <w:szCs w:val="19"/>
        </w:rPr>
      </w:pPr>
    </w:p>
    <w:p w14:paraId="41AEB7DB" w14:textId="77777777" w:rsidR="003D748E" w:rsidRDefault="003D748E">
      <w:pPr>
        <w:spacing w:after="100"/>
        <w:jc w:val="center"/>
        <w:rPr>
          <w:sz w:val="19"/>
          <w:szCs w:val="19"/>
        </w:rPr>
      </w:pPr>
    </w:p>
    <w:p w14:paraId="6F520476" w14:textId="77777777" w:rsidR="003D748E" w:rsidRDefault="003D748E">
      <w:pPr>
        <w:spacing w:after="100"/>
        <w:jc w:val="center"/>
        <w:rPr>
          <w:sz w:val="19"/>
          <w:szCs w:val="19"/>
        </w:rPr>
      </w:pPr>
    </w:p>
    <w:p w14:paraId="49B1D826" w14:textId="77777777" w:rsidR="003D748E" w:rsidRDefault="00DF2056">
      <w:r>
        <w:br w:type="page"/>
      </w:r>
    </w:p>
    <w:p w14:paraId="4325D497" w14:textId="77777777" w:rsidR="003D748E" w:rsidRDefault="00DF2056">
      <w:pPr>
        <w:pStyle w:val="Ttulo1"/>
        <w:pBdr>
          <w:bottom w:val="single" w:sz="8" w:space="4" w:color="1F3864"/>
        </w:pBdr>
        <w:spacing w:before="400" w:after="200"/>
      </w:pPr>
      <w:r>
        <w:rPr>
          <w:b/>
          <w:bCs/>
          <w:color w:val="1F3864"/>
          <w:sz w:val="30"/>
          <w:szCs w:val="30"/>
        </w:rPr>
        <w:lastRenderedPageBreak/>
        <w:t>PRESENTACIÓN Y ORIENTACIONES PARA EL USO DE LA GUÍA</w:t>
      </w:r>
    </w:p>
    <w:p w14:paraId="3E89578C" w14:textId="77777777" w:rsidR="003D748E" w:rsidRDefault="00DF2056">
      <w:pPr>
        <w:spacing w:after="160" w:line="276" w:lineRule="auto"/>
        <w:jc w:val="both"/>
      </w:pPr>
      <w:r>
        <w:rPr>
          <w:szCs w:val="21"/>
        </w:rPr>
        <w:t>La presente Guía de Estudios acompaña al Programa de la asignatura Violencia Obstétrica y Derecho y constituye el material de referencia fundamental para el trabajo independiente, las clases prácticas y los seminarios. Se organiza en correspondencia exacta con los seis temas del programa y, para cada uno, ofrece: (a) la ficha de objetivos del tema; (b) una síntesis de contenidos organizada por subtemas; (c) un vocabulario jurídico básico con definiciones operativas; (d) tablas comparativas que sistematizan el análisis normativo y doctrinal; (e) actividades de aprendizaje graduadas en complejidad (comprensión, aplicación y valoración crítica); y (f) preguntas de autoevaluación.</w:t>
      </w:r>
    </w:p>
    <w:p w14:paraId="0B78531A" w14:textId="77777777" w:rsidR="003D748E" w:rsidRDefault="00DF2056">
      <w:pPr>
        <w:spacing w:after="160" w:line="276" w:lineRule="auto"/>
        <w:jc w:val="both"/>
      </w:pPr>
      <w:r>
        <w:rPr>
          <w:szCs w:val="21"/>
        </w:rPr>
        <w:t>Se enfatiza que el estudio de la violencia obstétrica desde el Derecho cubano exige distinguir permanentemente entre tres planos analíticos que con frecuencia se confunden en la literatura no especializada: (i) el plano fáctico-sanitario (qué ocurre en la atención al parto), (ii) el plano ético-conceptual (por qué constituye una vulneración de derechos) y (iii) el plano estrictamente jurídico-dogmático (qué normas cubanas e internacionales son aplicables, con qué alcance y con qué consecuencias jurídicas). Esta Guía prioriza sistemáticamente el tercer plano, sin prescindir de los dos primeros como fundamento necesario.</w:t>
      </w:r>
    </w:p>
    <w:p w14:paraId="3DD9E771" w14:textId="77777777" w:rsidR="003D748E" w:rsidRDefault="00DF2056">
      <w:pPr>
        <w:pStyle w:val="Ttulo3"/>
        <w:spacing w:before="200" w:after="100"/>
      </w:pPr>
      <w:r>
        <w:rPr>
          <w:b/>
          <w:bCs/>
          <w:i/>
          <w:iCs/>
          <w:color w:val="8B6F1F"/>
          <w:sz w:val="22"/>
          <w:szCs w:val="22"/>
        </w:rPr>
        <w:t>Metodología de trabajo recomendada</w:t>
      </w:r>
    </w:p>
    <w:p w14:paraId="50595D0B" w14:textId="77777777" w:rsidR="003D748E" w:rsidRDefault="00DF2056">
      <w:pPr>
        <w:pStyle w:val="Prrafodelista"/>
        <w:numPr>
          <w:ilvl w:val="0"/>
          <w:numId w:val="1"/>
        </w:numPr>
        <w:spacing w:after="100"/>
      </w:pPr>
      <w:r>
        <w:rPr>
          <w:szCs w:val="21"/>
        </w:rPr>
        <w:t>Estudio previo del texto normativo citado en cada subtema, en su fuente oficial (Gaceta Oficial de la República de Cuba), antes de recurrir a doctrina secundaria.</w:t>
      </w:r>
    </w:p>
    <w:p w14:paraId="532B4A3A" w14:textId="77777777" w:rsidR="003D748E" w:rsidRDefault="00DF2056">
      <w:pPr>
        <w:pStyle w:val="Prrafodelista"/>
        <w:numPr>
          <w:ilvl w:val="0"/>
          <w:numId w:val="1"/>
        </w:numPr>
        <w:spacing w:after="100"/>
      </w:pPr>
      <w:r>
        <w:rPr>
          <w:szCs w:val="21"/>
        </w:rPr>
        <w:t>Elaboración de fichas de jurisprudencia para los casos del Sistema Interamericano señalados en el Tema V.</w:t>
      </w:r>
    </w:p>
    <w:p w14:paraId="6EC043DE" w14:textId="77777777" w:rsidR="003D748E" w:rsidRDefault="00DF2056">
      <w:pPr>
        <w:pStyle w:val="Prrafodelista"/>
        <w:numPr>
          <w:ilvl w:val="0"/>
          <w:numId w:val="1"/>
        </w:numPr>
        <w:spacing w:after="100"/>
      </w:pPr>
      <w:r>
        <w:rPr>
          <w:szCs w:val="21"/>
        </w:rPr>
        <w:t>Resolución individual de las actividades de aplicación antes de su discusión en el seminario correspondiente.</w:t>
      </w:r>
    </w:p>
    <w:p w14:paraId="42E3E745" w14:textId="77777777" w:rsidR="003D748E" w:rsidRDefault="00DF2056">
      <w:pPr>
        <w:pStyle w:val="Prrafodelista"/>
        <w:numPr>
          <w:ilvl w:val="0"/>
          <w:numId w:val="1"/>
        </w:numPr>
        <w:spacing w:after="100"/>
      </w:pPr>
      <w:r>
        <w:rPr>
          <w:szCs w:val="21"/>
        </w:rPr>
        <w:t>Uso del vocabulario como herramienta de precisión terminológica: se exige su empleo correcto en las evaluaciones escritas y orales.</w:t>
      </w:r>
    </w:p>
    <w:p w14:paraId="7AEB3C6F" w14:textId="77777777" w:rsidR="003D748E" w:rsidRDefault="00DF2056">
      <w:r>
        <w:br w:type="page"/>
      </w:r>
    </w:p>
    <w:p w14:paraId="5924459E" w14:textId="03088DAA" w:rsidR="003D748E" w:rsidRDefault="00DF2056">
      <w:pPr>
        <w:pStyle w:val="Ttulo1"/>
        <w:pBdr>
          <w:bottom w:val="single" w:sz="8" w:space="4" w:color="1F3864"/>
        </w:pBdr>
        <w:spacing w:before="400" w:after="200"/>
      </w:pPr>
      <w:r>
        <w:rPr>
          <w:b/>
          <w:bCs/>
          <w:color w:val="1F3864"/>
          <w:sz w:val="30"/>
          <w:szCs w:val="30"/>
        </w:rPr>
        <w:lastRenderedPageBreak/>
        <w:t>TEMA I. FUNDAMENTOS CONCEPTUALES Y EPISTEMOLÓGICOS DE LA VIOLENCIA</w:t>
      </w:r>
      <w:r w:rsidR="007C3556">
        <w:rPr>
          <w:b/>
          <w:bCs/>
          <w:color w:val="1F3864"/>
          <w:sz w:val="30"/>
          <w:szCs w:val="30"/>
        </w:rPr>
        <w:t>; la VO.</w:t>
      </w:r>
      <w:bookmarkStart w:id="0" w:name="_GoBack"/>
      <w:bookmarkEnd w:id="0"/>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1A90375C" w14:textId="77777777">
        <w:trPr>
          <w:tblHeader/>
        </w:trPr>
        <w:tc>
          <w:tcPr>
            <w:tcW w:w="3000" w:type="dxa"/>
            <w:shd w:val="clear" w:color="auto" w:fill="1F3864"/>
            <w:tcMar>
              <w:top w:w="80" w:type="dxa"/>
              <w:left w:w="100" w:type="dxa"/>
              <w:bottom w:w="80" w:type="dxa"/>
              <w:right w:w="100" w:type="dxa"/>
            </w:tcMar>
            <w:vAlign w:val="center"/>
          </w:tcPr>
          <w:p w14:paraId="1B5CA77D"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2A7C7AB7" w14:textId="77777777" w:rsidR="003D748E" w:rsidRDefault="003D748E">
            <w:pPr>
              <w:jc w:val="center"/>
            </w:pPr>
          </w:p>
        </w:tc>
      </w:tr>
      <w:tr w:rsidR="003D748E" w14:paraId="6C3BA48E" w14:textId="77777777">
        <w:tc>
          <w:tcPr>
            <w:tcW w:w="3000" w:type="dxa"/>
            <w:shd w:val="clear" w:color="auto" w:fill="F5F5F5"/>
            <w:tcMar>
              <w:top w:w="80" w:type="dxa"/>
              <w:left w:w="100" w:type="dxa"/>
              <w:bottom w:w="80" w:type="dxa"/>
              <w:right w:w="100" w:type="dxa"/>
            </w:tcMar>
            <w:vAlign w:val="center"/>
          </w:tcPr>
          <w:p w14:paraId="0E81938A"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032B0211" w14:textId="77777777" w:rsidR="003D748E" w:rsidRDefault="00DF2056">
            <w:r>
              <w:rPr>
                <w:color w:val="000000"/>
                <w:sz w:val="19"/>
                <w:szCs w:val="19"/>
              </w:rPr>
              <w:t>6</w:t>
            </w:r>
          </w:p>
        </w:tc>
      </w:tr>
      <w:tr w:rsidR="003D748E" w14:paraId="70C088E1" w14:textId="77777777">
        <w:tc>
          <w:tcPr>
            <w:tcW w:w="3000" w:type="dxa"/>
            <w:shd w:val="clear" w:color="auto" w:fill="FFFFFF"/>
            <w:tcMar>
              <w:top w:w="80" w:type="dxa"/>
              <w:left w:w="100" w:type="dxa"/>
              <w:bottom w:w="80" w:type="dxa"/>
              <w:right w:w="100" w:type="dxa"/>
            </w:tcMar>
            <w:vAlign w:val="center"/>
          </w:tcPr>
          <w:p w14:paraId="6116E999"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1168BCE4" w14:textId="77777777" w:rsidR="003D748E" w:rsidRDefault="00DF2056">
            <w:r>
              <w:rPr>
                <w:color w:val="000000"/>
                <w:sz w:val="19"/>
                <w:szCs w:val="19"/>
              </w:rPr>
              <w:t>Explicar el fundamento conceptual y epistemológico de la violencia obstétrica, distinguiéndola de categorías jurídicas afines, como base para su tratamiento jurídico posterior.</w:t>
            </w:r>
          </w:p>
        </w:tc>
      </w:tr>
    </w:tbl>
    <w:p w14:paraId="2188F164" w14:textId="77777777" w:rsidR="003D748E" w:rsidRDefault="003D748E">
      <w:pPr>
        <w:spacing w:after="120"/>
      </w:pPr>
    </w:p>
    <w:p w14:paraId="76641262" w14:textId="77777777" w:rsidR="003D748E" w:rsidRDefault="00DF2056">
      <w:pPr>
        <w:pStyle w:val="Ttulo3"/>
        <w:spacing w:before="200" w:after="100"/>
      </w:pPr>
      <w:r>
        <w:rPr>
          <w:b/>
          <w:bCs/>
          <w:i/>
          <w:iCs/>
          <w:color w:val="8B6F1F"/>
          <w:sz w:val="22"/>
          <w:szCs w:val="22"/>
        </w:rPr>
        <w:t>Objetivos específicos del tema</w:t>
      </w:r>
    </w:p>
    <w:p w14:paraId="769B9476" w14:textId="77777777" w:rsidR="003D748E" w:rsidRDefault="00DF2056">
      <w:pPr>
        <w:pStyle w:val="Prrafodelista"/>
        <w:numPr>
          <w:ilvl w:val="0"/>
          <w:numId w:val="1"/>
        </w:numPr>
        <w:spacing w:after="100"/>
      </w:pPr>
      <w:r>
        <w:rPr>
          <w:szCs w:val="21"/>
        </w:rPr>
        <w:t>Definir la violencia obstétrica desde una perspectiva multidisciplinaria y su tránsito hacia una categoría jurídica.</w:t>
      </w:r>
    </w:p>
    <w:p w14:paraId="49254A22" w14:textId="77777777" w:rsidR="003D748E" w:rsidRDefault="00DF2056">
      <w:pPr>
        <w:pStyle w:val="Prrafodelista"/>
        <w:numPr>
          <w:ilvl w:val="0"/>
          <w:numId w:val="1"/>
        </w:numPr>
        <w:spacing w:after="100"/>
      </w:pPr>
      <w:r>
        <w:rPr>
          <w:szCs w:val="21"/>
        </w:rPr>
        <w:t>Diferenciar violencia obstétrica de mala praxis médica, negligencia e iatrogenia.</w:t>
      </w:r>
    </w:p>
    <w:p w14:paraId="1E26E308" w14:textId="77777777" w:rsidR="003D748E" w:rsidRDefault="00DF2056">
      <w:pPr>
        <w:pStyle w:val="Prrafodelista"/>
        <w:numPr>
          <w:ilvl w:val="0"/>
          <w:numId w:val="1"/>
        </w:numPr>
        <w:spacing w:after="100"/>
      </w:pPr>
      <w:r>
        <w:rPr>
          <w:szCs w:val="21"/>
        </w:rPr>
        <w:t>Identificar las manifestaciones típicas de violencia obstétrica desde la evidencia científico-jurídica.</w:t>
      </w:r>
    </w:p>
    <w:p w14:paraId="59E304E8" w14:textId="77777777" w:rsidR="003D748E" w:rsidRDefault="00DF2056">
      <w:pPr>
        <w:pStyle w:val="Ttulo2"/>
        <w:spacing w:before="300" w:after="150"/>
      </w:pPr>
      <w:r>
        <w:rPr>
          <w:b/>
          <w:bCs/>
          <w:color w:val="1F3864"/>
          <w:sz w:val="25"/>
          <w:szCs w:val="25"/>
        </w:rPr>
        <w:t>1. Síntesis de contenidos por subtema</w:t>
      </w:r>
    </w:p>
    <w:p w14:paraId="0FC4E306" w14:textId="77777777" w:rsidR="003D748E" w:rsidRDefault="00DF2056">
      <w:pPr>
        <w:pStyle w:val="Ttulo3"/>
        <w:spacing w:before="200" w:after="100"/>
      </w:pPr>
      <w:r>
        <w:rPr>
          <w:b/>
          <w:bCs/>
          <w:i/>
          <w:iCs/>
          <w:color w:val="8B6F1F"/>
          <w:sz w:val="22"/>
          <w:szCs w:val="22"/>
        </w:rPr>
        <w:t>1.1. Origen y evolución del concepto</w:t>
      </w:r>
    </w:p>
    <w:p w14:paraId="5BD91713" w14:textId="77777777" w:rsidR="003D748E" w:rsidRDefault="00DF2056">
      <w:pPr>
        <w:spacing w:after="160" w:line="276" w:lineRule="auto"/>
        <w:jc w:val="both"/>
      </w:pPr>
      <w:r>
        <w:rPr>
          <w:szCs w:val="21"/>
        </w:rPr>
        <w:t xml:space="preserve">El concepto emerge del movimiento latinoamericano por el parto respetado (Argentina, Venezuela, Brasil, décadas de 1980-2000) y se consolida jurídicamente con la Ley Orgánica venezolana de 2007, primer texto legal en tipificar autónomamente la figura. Su tránsito de categoría sociológica a categoría normativa constituye el eje de análisis del estudiante de Derecho: no basta con describir el fenómeno, es necesario identificar el momento y el mecanismo de su </w:t>
      </w:r>
      <w:proofErr w:type="spellStart"/>
      <w:r>
        <w:rPr>
          <w:szCs w:val="21"/>
        </w:rPr>
        <w:t>juridificación</w:t>
      </w:r>
      <w:proofErr w:type="spellEnd"/>
      <w:r>
        <w:rPr>
          <w:szCs w:val="21"/>
        </w:rPr>
        <w:t>.</w:t>
      </w:r>
    </w:p>
    <w:p w14:paraId="3065EE87" w14:textId="77777777" w:rsidR="003D748E" w:rsidRDefault="00DF2056">
      <w:pPr>
        <w:pStyle w:val="Ttulo3"/>
        <w:spacing w:before="200" w:after="100"/>
      </w:pPr>
      <w:r>
        <w:rPr>
          <w:b/>
          <w:bCs/>
          <w:i/>
          <w:iCs/>
          <w:color w:val="8B6F1F"/>
          <w:sz w:val="22"/>
          <w:szCs w:val="22"/>
        </w:rPr>
        <w:t>1.2. Elementos configurativos de la figura</w:t>
      </w:r>
    </w:p>
    <w:p w14:paraId="4A3DB518" w14:textId="77777777" w:rsidR="003D748E" w:rsidRDefault="00DF2056">
      <w:pPr>
        <w:spacing w:after="160" w:line="276" w:lineRule="auto"/>
        <w:jc w:val="both"/>
      </w:pPr>
      <w:r>
        <w:rPr>
          <w:szCs w:val="21"/>
        </w:rPr>
        <w:t>Todo análisis jurídico riguroso de la violencia obstétrica exige identificar sus tres elementos estructurales: sujeto activo (personal sanitario e instituciones de salud, en tanto que actúan investidos de autoridad técnica), sujeto pasivo (la persona gestante o parturienta, titular de derechos reproductivos) y bien jurídico afectado (un haz complejo que incluye autonomía, dignidad, integridad física y psíquica, y salud sexual y reproductiva).</w:t>
      </w:r>
    </w:p>
    <w:p w14:paraId="1D12A211" w14:textId="77777777" w:rsidR="003D748E" w:rsidRDefault="00DF2056">
      <w:pPr>
        <w:pStyle w:val="Ttulo3"/>
        <w:spacing w:before="200" w:after="100"/>
      </w:pPr>
      <w:r>
        <w:rPr>
          <w:b/>
          <w:bCs/>
          <w:i/>
          <w:iCs/>
          <w:color w:val="8B6F1F"/>
          <w:sz w:val="22"/>
          <w:szCs w:val="22"/>
        </w:rPr>
        <w:t>1.3. Manifestaciones fácticas típicas</w:t>
      </w:r>
    </w:p>
    <w:p w14:paraId="2FFE34AC" w14:textId="77777777" w:rsidR="003D748E" w:rsidRDefault="00DF2056">
      <w:pPr>
        <w:spacing w:after="160" w:line="276" w:lineRule="auto"/>
        <w:jc w:val="both"/>
      </w:pPr>
      <w:r>
        <w:rPr>
          <w:szCs w:val="21"/>
        </w:rPr>
        <w:t xml:space="preserve">La literatura especializada y los instrumentos de la OMS (2014) identifican manifestaciones recurrentes: violencia física (maniobras no consentidas, episiotomía rutinaria no justificada), violencia verbal y psicológica (trato humillante, infantilización de la paciente), medicalización excesiva de procesos fisiológicos, negación de información y de consentimiento informado, y discriminación </w:t>
      </w:r>
      <w:proofErr w:type="spellStart"/>
      <w:r>
        <w:rPr>
          <w:szCs w:val="21"/>
        </w:rPr>
        <w:t>interseccional</w:t>
      </w:r>
      <w:proofErr w:type="spellEnd"/>
      <w:r>
        <w:rPr>
          <w:szCs w:val="21"/>
        </w:rPr>
        <w:t xml:space="preserve"> agravada por factores de raza, edad o discapacidad. Cada manifestación exige, desde la perspectiva jurídica, la identificación del derecho concretamente vulnerado.</w:t>
      </w:r>
    </w:p>
    <w:p w14:paraId="067FDD29" w14:textId="77777777" w:rsidR="003D748E" w:rsidRDefault="00DF2056">
      <w:pPr>
        <w:pStyle w:val="Ttulo3"/>
        <w:spacing w:before="200" w:after="100"/>
      </w:pPr>
      <w:r>
        <w:rPr>
          <w:b/>
          <w:bCs/>
          <w:i/>
          <w:iCs/>
          <w:color w:val="8B6F1F"/>
          <w:sz w:val="22"/>
          <w:szCs w:val="22"/>
        </w:rPr>
        <w:t>1.4. Deslinde conceptual con figuras afines</w:t>
      </w:r>
    </w:p>
    <w:p w14:paraId="0E547B18" w14:textId="77777777" w:rsidR="003D748E" w:rsidRDefault="00DF2056">
      <w:pPr>
        <w:spacing w:after="160" w:line="276" w:lineRule="auto"/>
        <w:jc w:val="both"/>
      </w:pPr>
      <w:r>
        <w:rPr>
          <w:szCs w:val="21"/>
        </w:rPr>
        <w:t xml:space="preserve">La precisión conceptual exige distinguir la violencia obstétrica de la mala praxis médica (que responde a un criterio de infracción de la </w:t>
      </w:r>
      <w:proofErr w:type="spellStart"/>
      <w:r>
        <w:rPr>
          <w:szCs w:val="21"/>
        </w:rPr>
        <w:t>lex</w:t>
      </w:r>
      <w:proofErr w:type="spellEnd"/>
      <w:r>
        <w:rPr>
          <w:szCs w:val="21"/>
        </w:rPr>
        <w:t xml:space="preserve"> </w:t>
      </w:r>
      <w:proofErr w:type="spellStart"/>
      <w:r>
        <w:rPr>
          <w:szCs w:val="21"/>
        </w:rPr>
        <w:t>artis</w:t>
      </w:r>
      <w:proofErr w:type="spellEnd"/>
      <w:r>
        <w:rPr>
          <w:szCs w:val="21"/>
        </w:rPr>
        <w:t>, no necesariamente vinculado al género) y de la negligencia médica (categoría de imputación subjetiva). La violencia obstétrica se caracteriza, en cambio, por el componente estructural de género y por la vulneración de la autonomía, aun en ausencia de daño físico objetivable.</w:t>
      </w:r>
    </w:p>
    <w:p w14:paraId="6B3BC7F1" w14:textId="77777777" w:rsidR="003D748E" w:rsidRDefault="003D748E">
      <w:pPr>
        <w:pStyle w:val="Ttulo2"/>
        <w:spacing w:before="300" w:after="150"/>
        <w:rPr>
          <w:b/>
          <w:bCs/>
          <w:color w:val="1F3864"/>
          <w:sz w:val="25"/>
          <w:szCs w:val="25"/>
        </w:rPr>
      </w:pPr>
    </w:p>
    <w:p w14:paraId="4CB9CBD9" w14:textId="77777777" w:rsidR="003D748E" w:rsidRDefault="00DF2056">
      <w:pPr>
        <w:pStyle w:val="Ttulo2"/>
        <w:spacing w:before="300" w:after="150"/>
      </w:pPr>
      <w:r>
        <w:rPr>
          <w:b/>
          <w:bCs/>
          <w:color w:val="1F3864"/>
          <w:sz w:val="25"/>
          <w:szCs w:val="25"/>
        </w:rPr>
        <w:lastRenderedPageBreak/>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334891AC" w14:textId="77777777">
        <w:trPr>
          <w:tblHeader/>
        </w:trPr>
        <w:tc>
          <w:tcPr>
            <w:tcW w:w="2600" w:type="dxa"/>
            <w:shd w:val="clear" w:color="auto" w:fill="1F3864"/>
            <w:tcMar>
              <w:top w:w="80" w:type="dxa"/>
              <w:left w:w="100" w:type="dxa"/>
              <w:bottom w:w="80" w:type="dxa"/>
              <w:right w:w="100" w:type="dxa"/>
            </w:tcMar>
            <w:vAlign w:val="center"/>
          </w:tcPr>
          <w:p w14:paraId="5B66AF04"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6D51C673" w14:textId="77777777" w:rsidR="003D748E" w:rsidRDefault="00DF2056">
            <w:pPr>
              <w:jc w:val="center"/>
            </w:pPr>
            <w:r>
              <w:rPr>
                <w:b/>
                <w:bCs/>
                <w:color w:val="FFFFFF"/>
                <w:sz w:val="19"/>
                <w:szCs w:val="19"/>
              </w:rPr>
              <w:t>Definición operativa</w:t>
            </w:r>
          </w:p>
        </w:tc>
      </w:tr>
      <w:tr w:rsidR="003D748E" w14:paraId="3EEEDC10" w14:textId="77777777">
        <w:tc>
          <w:tcPr>
            <w:tcW w:w="2600" w:type="dxa"/>
            <w:shd w:val="clear" w:color="auto" w:fill="F5F5F5"/>
            <w:tcMar>
              <w:top w:w="80" w:type="dxa"/>
              <w:left w:w="100" w:type="dxa"/>
              <w:bottom w:w="80" w:type="dxa"/>
              <w:right w:w="100" w:type="dxa"/>
            </w:tcMar>
            <w:vAlign w:val="center"/>
          </w:tcPr>
          <w:p w14:paraId="034E6AF1" w14:textId="77777777" w:rsidR="003D748E" w:rsidRDefault="00DF2056">
            <w:r>
              <w:rPr>
                <w:color w:val="000000"/>
                <w:sz w:val="19"/>
                <w:szCs w:val="19"/>
              </w:rPr>
              <w:t>Violencia obstétrica</w:t>
            </w:r>
          </w:p>
        </w:tc>
        <w:tc>
          <w:tcPr>
            <w:tcW w:w="7200" w:type="dxa"/>
            <w:shd w:val="clear" w:color="auto" w:fill="F5F5F5"/>
            <w:tcMar>
              <w:top w:w="80" w:type="dxa"/>
              <w:left w:w="100" w:type="dxa"/>
              <w:bottom w:w="80" w:type="dxa"/>
              <w:right w:w="100" w:type="dxa"/>
            </w:tcMar>
            <w:vAlign w:val="center"/>
          </w:tcPr>
          <w:p w14:paraId="7044E76C" w14:textId="77777777" w:rsidR="003D748E" w:rsidRDefault="00DF2056">
            <w:r>
              <w:rPr>
                <w:color w:val="000000"/>
                <w:sz w:val="19"/>
                <w:szCs w:val="19"/>
              </w:rPr>
              <w:t xml:space="preserve">Toda acción u omisión del personal o de las instituciones de salud que, en el marco de la atención al embarazo, parto o puerperio, vulnera la autonomía, dignidad o integridad de la persona gestante, mediante trato deshumanizado, medicalización abusiva o </w:t>
            </w:r>
            <w:proofErr w:type="spellStart"/>
            <w:r>
              <w:rPr>
                <w:color w:val="000000"/>
                <w:sz w:val="19"/>
                <w:szCs w:val="19"/>
              </w:rPr>
              <w:t>patologización</w:t>
            </w:r>
            <w:proofErr w:type="spellEnd"/>
            <w:r>
              <w:rPr>
                <w:color w:val="000000"/>
                <w:sz w:val="19"/>
                <w:szCs w:val="19"/>
              </w:rPr>
              <w:t xml:space="preserve"> de procesos fisiológicos.</w:t>
            </w:r>
          </w:p>
        </w:tc>
      </w:tr>
      <w:tr w:rsidR="003D748E" w14:paraId="3144E223" w14:textId="77777777">
        <w:tc>
          <w:tcPr>
            <w:tcW w:w="2600" w:type="dxa"/>
            <w:shd w:val="clear" w:color="auto" w:fill="FFFFFF"/>
            <w:tcMar>
              <w:top w:w="80" w:type="dxa"/>
              <w:left w:w="100" w:type="dxa"/>
              <w:bottom w:w="80" w:type="dxa"/>
              <w:right w:w="100" w:type="dxa"/>
            </w:tcMar>
            <w:vAlign w:val="center"/>
          </w:tcPr>
          <w:p w14:paraId="685F2396" w14:textId="77777777" w:rsidR="003D748E" w:rsidRDefault="00DF2056">
            <w:r>
              <w:rPr>
                <w:color w:val="000000"/>
                <w:sz w:val="19"/>
                <w:szCs w:val="19"/>
              </w:rPr>
              <w:t>Parto humanizado / parto respetado</w:t>
            </w:r>
          </w:p>
        </w:tc>
        <w:tc>
          <w:tcPr>
            <w:tcW w:w="7200" w:type="dxa"/>
            <w:shd w:val="clear" w:color="auto" w:fill="FFFFFF"/>
            <w:tcMar>
              <w:top w:w="80" w:type="dxa"/>
              <w:left w:w="100" w:type="dxa"/>
              <w:bottom w:w="80" w:type="dxa"/>
              <w:right w:w="100" w:type="dxa"/>
            </w:tcMar>
            <w:vAlign w:val="center"/>
          </w:tcPr>
          <w:p w14:paraId="57DB9739" w14:textId="77777777" w:rsidR="003D748E" w:rsidRDefault="00DF2056">
            <w:r>
              <w:rPr>
                <w:color w:val="000000"/>
                <w:sz w:val="19"/>
                <w:szCs w:val="19"/>
              </w:rPr>
              <w:t>Modelo de atención obstétrica centrado en la persona gestante como sujeto de derechos, que exige información completa, consentimiento informado y respeto a su autonomía decisional durante el proceso de parto.</w:t>
            </w:r>
          </w:p>
        </w:tc>
      </w:tr>
      <w:tr w:rsidR="003D748E" w14:paraId="4279D11F" w14:textId="77777777">
        <w:tc>
          <w:tcPr>
            <w:tcW w:w="2600" w:type="dxa"/>
            <w:shd w:val="clear" w:color="auto" w:fill="F5F5F5"/>
            <w:tcMar>
              <w:top w:w="80" w:type="dxa"/>
              <w:left w:w="100" w:type="dxa"/>
              <w:bottom w:w="80" w:type="dxa"/>
              <w:right w:w="100" w:type="dxa"/>
            </w:tcMar>
            <w:vAlign w:val="center"/>
          </w:tcPr>
          <w:p w14:paraId="45671121" w14:textId="77777777" w:rsidR="003D748E" w:rsidRDefault="00DF2056">
            <w:r>
              <w:rPr>
                <w:color w:val="000000"/>
                <w:sz w:val="19"/>
                <w:szCs w:val="19"/>
              </w:rPr>
              <w:t>Iatrogenia</w:t>
            </w:r>
          </w:p>
        </w:tc>
        <w:tc>
          <w:tcPr>
            <w:tcW w:w="7200" w:type="dxa"/>
            <w:shd w:val="clear" w:color="auto" w:fill="F5F5F5"/>
            <w:tcMar>
              <w:top w:w="80" w:type="dxa"/>
              <w:left w:w="100" w:type="dxa"/>
              <w:bottom w:w="80" w:type="dxa"/>
              <w:right w:w="100" w:type="dxa"/>
            </w:tcMar>
            <w:vAlign w:val="center"/>
          </w:tcPr>
          <w:p w14:paraId="688FA516" w14:textId="77777777" w:rsidR="003D748E" w:rsidRDefault="00DF2056">
            <w:r>
              <w:rPr>
                <w:color w:val="000000"/>
                <w:sz w:val="19"/>
                <w:szCs w:val="19"/>
              </w:rPr>
              <w:t>Daño causado al paciente como consecuencia directa del acto médico, con independencia de la existencia de culpa; categoría distinta de la violencia obstétrica en tanto no exige el componente de trato deshumanizante o discriminatorio.</w:t>
            </w:r>
          </w:p>
        </w:tc>
      </w:tr>
      <w:tr w:rsidR="003D748E" w14:paraId="12E54436" w14:textId="77777777">
        <w:tc>
          <w:tcPr>
            <w:tcW w:w="2600" w:type="dxa"/>
            <w:shd w:val="clear" w:color="auto" w:fill="FFFFFF"/>
            <w:tcMar>
              <w:top w:w="80" w:type="dxa"/>
              <w:left w:w="100" w:type="dxa"/>
              <w:bottom w:w="80" w:type="dxa"/>
              <w:right w:w="100" w:type="dxa"/>
            </w:tcMar>
            <w:vAlign w:val="center"/>
          </w:tcPr>
          <w:p w14:paraId="0BE58543" w14:textId="77777777" w:rsidR="003D748E" w:rsidRDefault="00DF2056">
            <w:proofErr w:type="spellStart"/>
            <w:r>
              <w:rPr>
                <w:color w:val="000000"/>
                <w:sz w:val="19"/>
                <w:szCs w:val="19"/>
              </w:rPr>
              <w:t>Lex</w:t>
            </w:r>
            <w:proofErr w:type="spellEnd"/>
            <w:r>
              <w:rPr>
                <w:color w:val="000000"/>
                <w:sz w:val="19"/>
                <w:szCs w:val="19"/>
              </w:rPr>
              <w:t xml:space="preserve"> </w:t>
            </w:r>
            <w:proofErr w:type="spellStart"/>
            <w:r>
              <w:rPr>
                <w:color w:val="000000"/>
                <w:sz w:val="19"/>
                <w:szCs w:val="19"/>
              </w:rPr>
              <w:t>artis</w:t>
            </w:r>
            <w:proofErr w:type="spellEnd"/>
          </w:p>
        </w:tc>
        <w:tc>
          <w:tcPr>
            <w:tcW w:w="7200" w:type="dxa"/>
            <w:shd w:val="clear" w:color="auto" w:fill="FFFFFF"/>
            <w:tcMar>
              <w:top w:w="80" w:type="dxa"/>
              <w:left w:w="100" w:type="dxa"/>
              <w:bottom w:w="80" w:type="dxa"/>
              <w:right w:w="100" w:type="dxa"/>
            </w:tcMar>
            <w:vAlign w:val="center"/>
          </w:tcPr>
          <w:p w14:paraId="38243C26" w14:textId="77777777" w:rsidR="003D748E" w:rsidRDefault="00DF2056">
            <w:r>
              <w:rPr>
                <w:color w:val="000000"/>
                <w:sz w:val="19"/>
                <w:szCs w:val="19"/>
              </w:rPr>
              <w:t>Conjunto de reglas técnicas y protocolos que definen la conducta médica correcta según el estado del conocimiento científico en un momento determinado; parámetro objetivo para valorar la existencia de mala praxis.</w:t>
            </w:r>
          </w:p>
        </w:tc>
      </w:tr>
      <w:tr w:rsidR="003D748E" w14:paraId="0A570658" w14:textId="77777777">
        <w:tc>
          <w:tcPr>
            <w:tcW w:w="2600" w:type="dxa"/>
            <w:shd w:val="clear" w:color="auto" w:fill="F5F5F5"/>
            <w:tcMar>
              <w:top w:w="80" w:type="dxa"/>
              <w:left w:w="100" w:type="dxa"/>
              <w:bottom w:w="80" w:type="dxa"/>
              <w:right w:w="100" w:type="dxa"/>
            </w:tcMar>
            <w:vAlign w:val="center"/>
          </w:tcPr>
          <w:p w14:paraId="3ED303C1" w14:textId="77777777" w:rsidR="003D748E" w:rsidRDefault="00DF2056">
            <w:r>
              <w:rPr>
                <w:color w:val="000000"/>
                <w:sz w:val="19"/>
                <w:szCs w:val="19"/>
              </w:rPr>
              <w:t>Autonomía reproductiva</w:t>
            </w:r>
          </w:p>
        </w:tc>
        <w:tc>
          <w:tcPr>
            <w:tcW w:w="7200" w:type="dxa"/>
            <w:shd w:val="clear" w:color="auto" w:fill="F5F5F5"/>
            <w:tcMar>
              <w:top w:w="80" w:type="dxa"/>
              <w:left w:w="100" w:type="dxa"/>
              <w:bottom w:w="80" w:type="dxa"/>
              <w:right w:w="100" w:type="dxa"/>
            </w:tcMar>
            <w:vAlign w:val="center"/>
          </w:tcPr>
          <w:p w14:paraId="1A90C319" w14:textId="77777777" w:rsidR="003D748E" w:rsidRDefault="00DF2056">
            <w:r>
              <w:rPr>
                <w:color w:val="000000"/>
                <w:sz w:val="19"/>
                <w:szCs w:val="19"/>
              </w:rPr>
              <w:t xml:space="preserve">Facultad jurídica de la persona para decidir libre e </w:t>
            </w:r>
            <w:proofErr w:type="spellStart"/>
            <w:r>
              <w:rPr>
                <w:color w:val="000000"/>
                <w:sz w:val="19"/>
                <w:szCs w:val="19"/>
              </w:rPr>
              <w:t>informadamente</w:t>
            </w:r>
            <w:proofErr w:type="spellEnd"/>
            <w:r>
              <w:rPr>
                <w:color w:val="000000"/>
                <w:sz w:val="19"/>
                <w:szCs w:val="19"/>
              </w:rPr>
              <w:t xml:space="preserve"> sobre su cuerpo y sus procesos reproductivos, sin coacción ni sustitución de voluntad por parte de terceros, incluido el personal sanitario.</w:t>
            </w:r>
          </w:p>
        </w:tc>
      </w:tr>
      <w:tr w:rsidR="003D748E" w14:paraId="6CED8FCC" w14:textId="77777777">
        <w:tc>
          <w:tcPr>
            <w:tcW w:w="2600" w:type="dxa"/>
            <w:shd w:val="clear" w:color="auto" w:fill="FFFFFF"/>
            <w:tcMar>
              <w:top w:w="80" w:type="dxa"/>
              <w:left w:w="100" w:type="dxa"/>
              <w:bottom w:w="80" w:type="dxa"/>
              <w:right w:w="100" w:type="dxa"/>
            </w:tcMar>
            <w:vAlign w:val="center"/>
          </w:tcPr>
          <w:p w14:paraId="19B80EF5" w14:textId="77777777" w:rsidR="003D748E" w:rsidRDefault="00DF2056">
            <w:proofErr w:type="spellStart"/>
            <w:r>
              <w:rPr>
                <w:color w:val="000000"/>
                <w:sz w:val="19"/>
                <w:szCs w:val="19"/>
              </w:rPr>
              <w:t>Interseccionalidad</w:t>
            </w:r>
            <w:proofErr w:type="spellEnd"/>
          </w:p>
        </w:tc>
        <w:tc>
          <w:tcPr>
            <w:tcW w:w="7200" w:type="dxa"/>
            <w:shd w:val="clear" w:color="auto" w:fill="FFFFFF"/>
            <w:tcMar>
              <w:top w:w="80" w:type="dxa"/>
              <w:left w:w="100" w:type="dxa"/>
              <w:bottom w:w="80" w:type="dxa"/>
              <w:right w:w="100" w:type="dxa"/>
            </w:tcMar>
            <w:vAlign w:val="center"/>
          </w:tcPr>
          <w:p w14:paraId="35D18054" w14:textId="77777777" w:rsidR="003D748E" w:rsidRDefault="00DF2056">
            <w:r>
              <w:rPr>
                <w:color w:val="000000"/>
                <w:sz w:val="19"/>
                <w:szCs w:val="19"/>
              </w:rPr>
              <w:t>Categoría analítica que examina cómo múltiples factores de discriminación (género, raza, edad, discapacidad, situación económica) se combinan y potencian mutuamente en la producción de una vulneración de derechos.</w:t>
            </w:r>
          </w:p>
        </w:tc>
      </w:tr>
    </w:tbl>
    <w:p w14:paraId="1D52A831" w14:textId="77777777" w:rsidR="003D748E" w:rsidRDefault="00DF2056">
      <w:pPr>
        <w:pStyle w:val="Ttulo2"/>
        <w:spacing w:before="300" w:after="150"/>
      </w:pPr>
      <w:r>
        <w:rPr>
          <w:b/>
          <w:bCs/>
          <w:color w:val="1F3864"/>
          <w:sz w:val="25"/>
          <w:szCs w:val="25"/>
        </w:rPr>
        <w:t>3. Tabla comparativa: violencia obstétrica frente a figuras afines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2500"/>
        <w:gridCol w:w="2500"/>
        <w:gridCol w:w="2500"/>
      </w:tblGrid>
      <w:tr w:rsidR="003D748E" w14:paraId="27585C7E" w14:textId="77777777">
        <w:trPr>
          <w:tblHeader/>
        </w:trPr>
        <w:tc>
          <w:tcPr>
            <w:tcW w:w="1900" w:type="dxa"/>
            <w:shd w:val="clear" w:color="auto" w:fill="1F3864"/>
            <w:tcMar>
              <w:top w:w="80" w:type="dxa"/>
              <w:left w:w="100" w:type="dxa"/>
              <w:bottom w:w="80" w:type="dxa"/>
              <w:right w:w="100" w:type="dxa"/>
            </w:tcMar>
            <w:vAlign w:val="center"/>
          </w:tcPr>
          <w:p w14:paraId="5C5BFC80" w14:textId="77777777" w:rsidR="003D748E" w:rsidRDefault="00DF2056">
            <w:pPr>
              <w:jc w:val="center"/>
            </w:pPr>
            <w:r>
              <w:rPr>
                <w:b/>
                <w:bCs/>
                <w:color w:val="FFFFFF"/>
                <w:sz w:val="19"/>
                <w:szCs w:val="19"/>
              </w:rPr>
              <w:t>Criterio</w:t>
            </w:r>
          </w:p>
        </w:tc>
        <w:tc>
          <w:tcPr>
            <w:tcW w:w="2500" w:type="dxa"/>
            <w:shd w:val="clear" w:color="auto" w:fill="1F3864"/>
            <w:tcMar>
              <w:top w:w="80" w:type="dxa"/>
              <w:left w:w="100" w:type="dxa"/>
              <w:bottom w:w="80" w:type="dxa"/>
              <w:right w:w="100" w:type="dxa"/>
            </w:tcMar>
            <w:vAlign w:val="center"/>
          </w:tcPr>
          <w:p w14:paraId="258A613A" w14:textId="77777777" w:rsidR="003D748E" w:rsidRDefault="00DF2056">
            <w:pPr>
              <w:jc w:val="center"/>
            </w:pPr>
            <w:r>
              <w:rPr>
                <w:b/>
                <w:bCs/>
                <w:color w:val="FFFFFF"/>
                <w:sz w:val="19"/>
                <w:szCs w:val="19"/>
              </w:rPr>
              <w:t>Violencia obstétrica</w:t>
            </w:r>
          </w:p>
        </w:tc>
        <w:tc>
          <w:tcPr>
            <w:tcW w:w="2500" w:type="dxa"/>
            <w:shd w:val="clear" w:color="auto" w:fill="1F3864"/>
            <w:tcMar>
              <w:top w:w="80" w:type="dxa"/>
              <w:left w:w="100" w:type="dxa"/>
              <w:bottom w:w="80" w:type="dxa"/>
              <w:right w:w="100" w:type="dxa"/>
            </w:tcMar>
            <w:vAlign w:val="center"/>
          </w:tcPr>
          <w:p w14:paraId="72CD302E" w14:textId="77777777" w:rsidR="003D748E" w:rsidRDefault="00DF2056">
            <w:pPr>
              <w:jc w:val="center"/>
            </w:pPr>
            <w:r>
              <w:rPr>
                <w:b/>
                <w:bCs/>
                <w:color w:val="FFFFFF"/>
                <w:sz w:val="19"/>
                <w:szCs w:val="19"/>
              </w:rPr>
              <w:t>Mala praxis médica</w:t>
            </w:r>
          </w:p>
        </w:tc>
        <w:tc>
          <w:tcPr>
            <w:tcW w:w="2500" w:type="dxa"/>
            <w:shd w:val="clear" w:color="auto" w:fill="1F3864"/>
            <w:tcMar>
              <w:top w:w="80" w:type="dxa"/>
              <w:left w:w="100" w:type="dxa"/>
              <w:bottom w:w="80" w:type="dxa"/>
              <w:right w:w="100" w:type="dxa"/>
            </w:tcMar>
            <w:vAlign w:val="center"/>
          </w:tcPr>
          <w:p w14:paraId="78384BC2" w14:textId="77777777" w:rsidR="003D748E" w:rsidRDefault="00DF2056">
            <w:pPr>
              <w:jc w:val="center"/>
            </w:pPr>
            <w:r>
              <w:rPr>
                <w:b/>
                <w:bCs/>
                <w:color w:val="FFFFFF"/>
                <w:sz w:val="19"/>
                <w:szCs w:val="19"/>
              </w:rPr>
              <w:t>Negligencia médica</w:t>
            </w:r>
          </w:p>
        </w:tc>
      </w:tr>
      <w:tr w:rsidR="003D748E" w14:paraId="1A44D4B8" w14:textId="77777777">
        <w:tc>
          <w:tcPr>
            <w:tcW w:w="1900" w:type="dxa"/>
            <w:shd w:val="clear" w:color="auto" w:fill="F5F5F5"/>
            <w:tcMar>
              <w:top w:w="80" w:type="dxa"/>
              <w:left w:w="100" w:type="dxa"/>
              <w:bottom w:w="80" w:type="dxa"/>
              <w:right w:w="100" w:type="dxa"/>
            </w:tcMar>
            <w:vAlign w:val="center"/>
          </w:tcPr>
          <w:p w14:paraId="41AD1B54" w14:textId="77777777" w:rsidR="003D748E" w:rsidRDefault="00DF2056">
            <w:r>
              <w:rPr>
                <w:color w:val="000000"/>
                <w:sz w:val="19"/>
                <w:szCs w:val="19"/>
              </w:rPr>
              <w:t>Componente de género</w:t>
            </w:r>
          </w:p>
        </w:tc>
        <w:tc>
          <w:tcPr>
            <w:tcW w:w="2500" w:type="dxa"/>
            <w:shd w:val="clear" w:color="auto" w:fill="F5F5F5"/>
            <w:tcMar>
              <w:top w:w="80" w:type="dxa"/>
              <w:left w:w="100" w:type="dxa"/>
              <w:bottom w:w="80" w:type="dxa"/>
              <w:right w:w="100" w:type="dxa"/>
            </w:tcMar>
            <w:vAlign w:val="center"/>
          </w:tcPr>
          <w:p w14:paraId="1A4D7C5B" w14:textId="77777777" w:rsidR="003D748E" w:rsidRDefault="00DF2056">
            <w:r>
              <w:rPr>
                <w:color w:val="000000"/>
                <w:sz w:val="19"/>
                <w:szCs w:val="19"/>
              </w:rPr>
              <w:t>Estructural y definitorio</w:t>
            </w:r>
          </w:p>
        </w:tc>
        <w:tc>
          <w:tcPr>
            <w:tcW w:w="2500" w:type="dxa"/>
            <w:shd w:val="clear" w:color="auto" w:fill="F5F5F5"/>
            <w:tcMar>
              <w:top w:w="80" w:type="dxa"/>
              <w:left w:w="100" w:type="dxa"/>
              <w:bottom w:w="80" w:type="dxa"/>
              <w:right w:w="100" w:type="dxa"/>
            </w:tcMar>
            <w:vAlign w:val="center"/>
          </w:tcPr>
          <w:p w14:paraId="44FD8EF0" w14:textId="77777777" w:rsidR="003D748E" w:rsidRDefault="00DF2056">
            <w:r>
              <w:rPr>
                <w:color w:val="000000"/>
                <w:sz w:val="19"/>
                <w:szCs w:val="19"/>
              </w:rPr>
              <w:t>No necesariamente presente</w:t>
            </w:r>
          </w:p>
        </w:tc>
        <w:tc>
          <w:tcPr>
            <w:tcW w:w="2500" w:type="dxa"/>
            <w:shd w:val="clear" w:color="auto" w:fill="F5F5F5"/>
            <w:tcMar>
              <w:top w:w="80" w:type="dxa"/>
              <w:left w:w="100" w:type="dxa"/>
              <w:bottom w:w="80" w:type="dxa"/>
              <w:right w:w="100" w:type="dxa"/>
            </w:tcMar>
            <w:vAlign w:val="center"/>
          </w:tcPr>
          <w:p w14:paraId="261BC902" w14:textId="77777777" w:rsidR="003D748E" w:rsidRDefault="00DF2056">
            <w:r>
              <w:rPr>
                <w:color w:val="000000"/>
                <w:sz w:val="19"/>
                <w:szCs w:val="19"/>
              </w:rPr>
              <w:t>No necesariamente presente</w:t>
            </w:r>
          </w:p>
        </w:tc>
      </w:tr>
      <w:tr w:rsidR="003D748E" w14:paraId="562EDC4B" w14:textId="77777777">
        <w:tc>
          <w:tcPr>
            <w:tcW w:w="1900" w:type="dxa"/>
            <w:shd w:val="clear" w:color="auto" w:fill="FFFFFF"/>
            <w:tcMar>
              <w:top w:w="80" w:type="dxa"/>
              <w:left w:w="100" w:type="dxa"/>
              <w:bottom w:w="80" w:type="dxa"/>
              <w:right w:w="100" w:type="dxa"/>
            </w:tcMar>
            <w:vAlign w:val="center"/>
          </w:tcPr>
          <w:p w14:paraId="6783ADB8" w14:textId="77777777" w:rsidR="003D748E" w:rsidRDefault="00DF2056">
            <w:r>
              <w:rPr>
                <w:color w:val="000000"/>
                <w:sz w:val="19"/>
                <w:szCs w:val="19"/>
              </w:rPr>
              <w:t>Parámetro de valoración</w:t>
            </w:r>
          </w:p>
        </w:tc>
        <w:tc>
          <w:tcPr>
            <w:tcW w:w="2500" w:type="dxa"/>
            <w:shd w:val="clear" w:color="auto" w:fill="FFFFFF"/>
            <w:tcMar>
              <w:top w:w="80" w:type="dxa"/>
              <w:left w:w="100" w:type="dxa"/>
              <w:bottom w:w="80" w:type="dxa"/>
              <w:right w:w="100" w:type="dxa"/>
            </w:tcMar>
            <w:vAlign w:val="center"/>
          </w:tcPr>
          <w:p w14:paraId="227F4F64" w14:textId="77777777" w:rsidR="003D748E" w:rsidRDefault="00DF2056">
            <w:r>
              <w:rPr>
                <w:color w:val="000000"/>
                <w:sz w:val="19"/>
                <w:szCs w:val="19"/>
              </w:rPr>
              <w:t>Trato deshumanizado / vulneración de autonomía</w:t>
            </w:r>
          </w:p>
        </w:tc>
        <w:tc>
          <w:tcPr>
            <w:tcW w:w="2500" w:type="dxa"/>
            <w:shd w:val="clear" w:color="auto" w:fill="FFFFFF"/>
            <w:tcMar>
              <w:top w:w="80" w:type="dxa"/>
              <w:left w:w="100" w:type="dxa"/>
              <w:bottom w:w="80" w:type="dxa"/>
              <w:right w:w="100" w:type="dxa"/>
            </w:tcMar>
            <w:vAlign w:val="center"/>
          </w:tcPr>
          <w:p w14:paraId="5D89743A" w14:textId="77777777" w:rsidR="003D748E" w:rsidRDefault="00DF2056">
            <w:r>
              <w:rPr>
                <w:color w:val="000000"/>
                <w:sz w:val="19"/>
                <w:szCs w:val="19"/>
              </w:rPr>
              <w:t xml:space="preserve">Infracción de la </w:t>
            </w:r>
            <w:proofErr w:type="spellStart"/>
            <w:r>
              <w:rPr>
                <w:color w:val="000000"/>
                <w:sz w:val="19"/>
                <w:szCs w:val="19"/>
              </w:rPr>
              <w:t>lex</w:t>
            </w:r>
            <w:proofErr w:type="spellEnd"/>
            <w:r>
              <w:rPr>
                <w:color w:val="000000"/>
                <w:sz w:val="19"/>
                <w:szCs w:val="19"/>
              </w:rPr>
              <w:t xml:space="preserve"> </w:t>
            </w:r>
            <w:proofErr w:type="spellStart"/>
            <w:r>
              <w:rPr>
                <w:color w:val="000000"/>
                <w:sz w:val="19"/>
                <w:szCs w:val="19"/>
              </w:rPr>
              <w:t>artis</w:t>
            </w:r>
            <w:proofErr w:type="spellEnd"/>
          </w:p>
        </w:tc>
        <w:tc>
          <w:tcPr>
            <w:tcW w:w="2500" w:type="dxa"/>
            <w:shd w:val="clear" w:color="auto" w:fill="FFFFFF"/>
            <w:tcMar>
              <w:top w:w="80" w:type="dxa"/>
              <w:left w:w="100" w:type="dxa"/>
              <w:bottom w:w="80" w:type="dxa"/>
              <w:right w:w="100" w:type="dxa"/>
            </w:tcMar>
            <w:vAlign w:val="center"/>
          </w:tcPr>
          <w:p w14:paraId="7304B5C9" w14:textId="77777777" w:rsidR="003D748E" w:rsidRDefault="00DF2056">
            <w:r>
              <w:rPr>
                <w:color w:val="000000"/>
                <w:sz w:val="19"/>
                <w:szCs w:val="19"/>
              </w:rPr>
              <w:t>Falta del deber objetivo de cuidado</w:t>
            </w:r>
          </w:p>
        </w:tc>
      </w:tr>
      <w:tr w:rsidR="003D748E" w14:paraId="5EF85F31" w14:textId="77777777">
        <w:tc>
          <w:tcPr>
            <w:tcW w:w="1900" w:type="dxa"/>
            <w:shd w:val="clear" w:color="auto" w:fill="F5F5F5"/>
            <w:tcMar>
              <w:top w:w="80" w:type="dxa"/>
              <w:left w:w="100" w:type="dxa"/>
              <w:bottom w:w="80" w:type="dxa"/>
              <w:right w:w="100" w:type="dxa"/>
            </w:tcMar>
            <w:vAlign w:val="center"/>
          </w:tcPr>
          <w:p w14:paraId="76402202" w14:textId="77777777" w:rsidR="003D748E" w:rsidRDefault="00DF2056">
            <w:r>
              <w:rPr>
                <w:color w:val="000000"/>
                <w:sz w:val="19"/>
                <w:szCs w:val="19"/>
              </w:rPr>
              <w:t>Exige daño físico objetivable</w:t>
            </w:r>
          </w:p>
        </w:tc>
        <w:tc>
          <w:tcPr>
            <w:tcW w:w="2500" w:type="dxa"/>
            <w:shd w:val="clear" w:color="auto" w:fill="F5F5F5"/>
            <w:tcMar>
              <w:top w:w="80" w:type="dxa"/>
              <w:left w:w="100" w:type="dxa"/>
              <w:bottom w:w="80" w:type="dxa"/>
              <w:right w:w="100" w:type="dxa"/>
            </w:tcMar>
            <w:vAlign w:val="center"/>
          </w:tcPr>
          <w:p w14:paraId="7A9AB964" w14:textId="77777777" w:rsidR="003D748E" w:rsidRDefault="00DF2056">
            <w:r>
              <w:rPr>
                <w:color w:val="000000"/>
                <w:sz w:val="19"/>
                <w:szCs w:val="19"/>
              </w:rPr>
              <w:t>No necesariamente</w:t>
            </w:r>
          </w:p>
        </w:tc>
        <w:tc>
          <w:tcPr>
            <w:tcW w:w="2500" w:type="dxa"/>
            <w:shd w:val="clear" w:color="auto" w:fill="F5F5F5"/>
            <w:tcMar>
              <w:top w:w="80" w:type="dxa"/>
              <w:left w:w="100" w:type="dxa"/>
              <w:bottom w:w="80" w:type="dxa"/>
              <w:right w:w="100" w:type="dxa"/>
            </w:tcMar>
            <w:vAlign w:val="center"/>
          </w:tcPr>
          <w:p w14:paraId="4EE416F1" w14:textId="77777777" w:rsidR="003D748E" w:rsidRDefault="00DF2056">
            <w:r>
              <w:rPr>
                <w:color w:val="000000"/>
                <w:sz w:val="19"/>
                <w:szCs w:val="19"/>
              </w:rPr>
              <w:t>Generalmente sí</w:t>
            </w:r>
          </w:p>
        </w:tc>
        <w:tc>
          <w:tcPr>
            <w:tcW w:w="2500" w:type="dxa"/>
            <w:shd w:val="clear" w:color="auto" w:fill="F5F5F5"/>
            <w:tcMar>
              <w:top w:w="80" w:type="dxa"/>
              <w:left w:w="100" w:type="dxa"/>
              <w:bottom w:w="80" w:type="dxa"/>
              <w:right w:w="100" w:type="dxa"/>
            </w:tcMar>
            <w:vAlign w:val="center"/>
          </w:tcPr>
          <w:p w14:paraId="739C2828" w14:textId="77777777" w:rsidR="003D748E" w:rsidRDefault="00DF2056">
            <w:r>
              <w:rPr>
                <w:color w:val="000000"/>
                <w:sz w:val="19"/>
                <w:szCs w:val="19"/>
              </w:rPr>
              <w:t>Generalmente sí</w:t>
            </w:r>
          </w:p>
        </w:tc>
      </w:tr>
      <w:tr w:rsidR="003D748E" w14:paraId="0556BD61" w14:textId="77777777">
        <w:tc>
          <w:tcPr>
            <w:tcW w:w="1900" w:type="dxa"/>
            <w:shd w:val="clear" w:color="auto" w:fill="FFFFFF"/>
            <w:tcMar>
              <w:top w:w="80" w:type="dxa"/>
              <w:left w:w="100" w:type="dxa"/>
              <w:bottom w:w="80" w:type="dxa"/>
              <w:right w:w="100" w:type="dxa"/>
            </w:tcMar>
            <w:vAlign w:val="center"/>
          </w:tcPr>
          <w:p w14:paraId="53D86531" w14:textId="77777777" w:rsidR="003D748E" w:rsidRDefault="00DF2056">
            <w:r>
              <w:rPr>
                <w:color w:val="000000"/>
                <w:sz w:val="19"/>
                <w:szCs w:val="19"/>
              </w:rPr>
              <w:t>Bien jurídico central</w:t>
            </w:r>
          </w:p>
        </w:tc>
        <w:tc>
          <w:tcPr>
            <w:tcW w:w="2500" w:type="dxa"/>
            <w:shd w:val="clear" w:color="auto" w:fill="FFFFFF"/>
            <w:tcMar>
              <w:top w:w="80" w:type="dxa"/>
              <w:left w:w="100" w:type="dxa"/>
              <w:bottom w:w="80" w:type="dxa"/>
              <w:right w:w="100" w:type="dxa"/>
            </w:tcMar>
            <w:vAlign w:val="center"/>
          </w:tcPr>
          <w:p w14:paraId="42EC35B6" w14:textId="77777777" w:rsidR="003D748E" w:rsidRDefault="00DF2056">
            <w:r>
              <w:rPr>
                <w:color w:val="000000"/>
                <w:sz w:val="19"/>
                <w:szCs w:val="19"/>
              </w:rPr>
              <w:t>Dignidad, autonomía, integridad</w:t>
            </w:r>
          </w:p>
        </w:tc>
        <w:tc>
          <w:tcPr>
            <w:tcW w:w="2500" w:type="dxa"/>
            <w:shd w:val="clear" w:color="auto" w:fill="FFFFFF"/>
            <w:tcMar>
              <w:top w:w="80" w:type="dxa"/>
              <w:left w:w="100" w:type="dxa"/>
              <w:bottom w:w="80" w:type="dxa"/>
              <w:right w:w="100" w:type="dxa"/>
            </w:tcMar>
            <w:vAlign w:val="center"/>
          </w:tcPr>
          <w:p w14:paraId="50826A86" w14:textId="77777777" w:rsidR="003D748E" w:rsidRDefault="00DF2056">
            <w:r>
              <w:rPr>
                <w:color w:val="000000"/>
                <w:sz w:val="19"/>
                <w:szCs w:val="19"/>
              </w:rPr>
              <w:t>Salud / integridad física</w:t>
            </w:r>
          </w:p>
        </w:tc>
        <w:tc>
          <w:tcPr>
            <w:tcW w:w="2500" w:type="dxa"/>
            <w:shd w:val="clear" w:color="auto" w:fill="FFFFFF"/>
            <w:tcMar>
              <w:top w:w="80" w:type="dxa"/>
              <w:left w:w="100" w:type="dxa"/>
              <w:bottom w:w="80" w:type="dxa"/>
              <w:right w:w="100" w:type="dxa"/>
            </w:tcMar>
            <w:vAlign w:val="center"/>
          </w:tcPr>
          <w:p w14:paraId="326F4B8B" w14:textId="77777777" w:rsidR="003D748E" w:rsidRDefault="00DF2056">
            <w:r>
              <w:rPr>
                <w:color w:val="000000"/>
                <w:sz w:val="19"/>
                <w:szCs w:val="19"/>
              </w:rPr>
              <w:t>Salud / integridad física</w:t>
            </w:r>
          </w:p>
        </w:tc>
      </w:tr>
      <w:tr w:rsidR="003D748E" w14:paraId="07441493" w14:textId="77777777">
        <w:tc>
          <w:tcPr>
            <w:tcW w:w="1900" w:type="dxa"/>
            <w:shd w:val="clear" w:color="auto" w:fill="F5F5F5"/>
            <w:tcMar>
              <w:top w:w="80" w:type="dxa"/>
              <w:left w:w="100" w:type="dxa"/>
              <w:bottom w:w="80" w:type="dxa"/>
              <w:right w:w="100" w:type="dxa"/>
            </w:tcMar>
            <w:vAlign w:val="center"/>
          </w:tcPr>
          <w:p w14:paraId="1A2838EC" w14:textId="77777777" w:rsidR="003D748E" w:rsidRDefault="00DF2056">
            <w:r>
              <w:rPr>
                <w:color w:val="000000"/>
                <w:sz w:val="19"/>
                <w:szCs w:val="19"/>
              </w:rPr>
              <w:t>Reconocimiento jurídico en Cuba</w:t>
            </w:r>
          </w:p>
        </w:tc>
        <w:tc>
          <w:tcPr>
            <w:tcW w:w="2500" w:type="dxa"/>
            <w:shd w:val="clear" w:color="auto" w:fill="F5F5F5"/>
            <w:tcMar>
              <w:top w:w="80" w:type="dxa"/>
              <w:left w:w="100" w:type="dxa"/>
              <w:bottom w:w="80" w:type="dxa"/>
              <w:right w:w="100" w:type="dxa"/>
            </w:tcMar>
            <w:vAlign w:val="center"/>
          </w:tcPr>
          <w:p w14:paraId="4389E2C3" w14:textId="77777777" w:rsidR="003D748E" w:rsidRDefault="00DF2056">
            <w:r>
              <w:rPr>
                <w:color w:val="000000"/>
                <w:sz w:val="19"/>
                <w:szCs w:val="19"/>
              </w:rPr>
              <w:t>No tipificada autónomamente</w:t>
            </w:r>
          </w:p>
        </w:tc>
        <w:tc>
          <w:tcPr>
            <w:tcW w:w="2500" w:type="dxa"/>
            <w:shd w:val="clear" w:color="auto" w:fill="F5F5F5"/>
            <w:tcMar>
              <w:top w:w="80" w:type="dxa"/>
              <w:left w:w="100" w:type="dxa"/>
              <w:bottom w:w="80" w:type="dxa"/>
              <w:right w:w="100" w:type="dxa"/>
            </w:tcMar>
            <w:vAlign w:val="center"/>
          </w:tcPr>
          <w:p w14:paraId="444818DE" w14:textId="77777777" w:rsidR="003D748E" w:rsidRDefault="00DF2056">
            <w:r>
              <w:rPr>
                <w:color w:val="000000"/>
                <w:sz w:val="19"/>
                <w:szCs w:val="19"/>
              </w:rPr>
              <w:t>Vía responsabilidad civil/penal general</w:t>
            </w:r>
          </w:p>
        </w:tc>
        <w:tc>
          <w:tcPr>
            <w:tcW w:w="2500" w:type="dxa"/>
            <w:shd w:val="clear" w:color="auto" w:fill="F5F5F5"/>
            <w:tcMar>
              <w:top w:w="80" w:type="dxa"/>
              <w:left w:w="100" w:type="dxa"/>
              <w:bottom w:w="80" w:type="dxa"/>
              <w:right w:w="100" w:type="dxa"/>
            </w:tcMar>
            <w:vAlign w:val="center"/>
          </w:tcPr>
          <w:p w14:paraId="68211654" w14:textId="77777777" w:rsidR="003D748E" w:rsidRDefault="00DF2056">
            <w:r>
              <w:rPr>
                <w:color w:val="000000"/>
                <w:sz w:val="19"/>
                <w:szCs w:val="19"/>
              </w:rPr>
              <w:t>Vía responsabilidad civil/penal general</w:t>
            </w:r>
          </w:p>
        </w:tc>
      </w:tr>
    </w:tbl>
    <w:p w14:paraId="5FFF0B8A" w14:textId="77777777" w:rsidR="003D748E" w:rsidRDefault="00DF2056">
      <w:pPr>
        <w:pStyle w:val="Ttulo2"/>
        <w:spacing w:before="300" w:after="150"/>
      </w:pPr>
      <w:r>
        <w:rPr>
          <w:b/>
          <w:bCs/>
          <w:color w:val="1F3864"/>
          <w:sz w:val="25"/>
          <w:szCs w:val="25"/>
        </w:rPr>
        <w:t>4. Actividades de aprendizaje</w:t>
      </w:r>
    </w:p>
    <w:p w14:paraId="6DF96B47" w14:textId="77777777" w:rsidR="003D748E" w:rsidRDefault="00DF2056">
      <w:pPr>
        <w:pStyle w:val="Ttulo3"/>
        <w:spacing w:before="200" w:after="100"/>
      </w:pPr>
      <w:r>
        <w:rPr>
          <w:b/>
          <w:bCs/>
          <w:i/>
          <w:iCs/>
          <w:color w:val="8B6F1F"/>
          <w:sz w:val="22"/>
          <w:szCs w:val="22"/>
        </w:rPr>
        <w:t>Comprensión</w:t>
      </w:r>
    </w:p>
    <w:p w14:paraId="2C1BFA68" w14:textId="77777777" w:rsidR="003D748E" w:rsidRDefault="00DF2056">
      <w:pPr>
        <w:pStyle w:val="Prrafodelista"/>
        <w:numPr>
          <w:ilvl w:val="0"/>
          <w:numId w:val="2"/>
        </w:numPr>
        <w:spacing w:after="100"/>
      </w:pPr>
      <w:r>
        <w:rPr>
          <w:szCs w:val="21"/>
        </w:rPr>
        <w:t>Elabore una definición propia de violencia obstétrica que incorpore los tres elementos configurativos estudiados, justificando cada componente con referencia a la doctrina revisada.</w:t>
      </w:r>
    </w:p>
    <w:p w14:paraId="3617E963" w14:textId="77777777" w:rsidR="003D748E" w:rsidRDefault="00DF2056">
      <w:pPr>
        <w:pStyle w:val="Prrafodelista"/>
        <w:numPr>
          <w:ilvl w:val="0"/>
          <w:numId w:val="2"/>
        </w:numPr>
        <w:spacing w:after="100"/>
      </w:pPr>
      <w:r>
        <w:rPr>
          <w:szCs w:val="21"/>
        </w:rPr>
        <w:t>Construya un mapa conceptual que sitúe la violencia obstétrica dentro del género próximo de la violencia de género y explicite su diferencia específica.</w:t>
      </w:r>
    </w:p>
    <w:p w14:paraId="4AFFB8BB" w14:textId="77777777" w:rsidR="003D748E" w:rsidRDefault="003D748E">
      <w:pPr>
        <w:pStyle w:val="Ttulo3"/>
        <w:spacing w:before="200" w:after="100"/>
        <w:rPr>
          <w:b/>
          <w:bCs/>
          <w:i/>
          <w:iCs/>
          <w:color w:val="8B6F1F"/>
          <w:sz w:val="22"/>
          <w:szCs w:val="22"/>
        </w:rPr>
      </w:pPr>
    </w:p>
    <w:p w14:paraId="0B03247F" w14:textId="77777777" w:rsidR="003D748E" w:rsidRDefault="00DF2056">
      <w:pPr>
        <w:pStyle w:val="Ttulo3"/>
        <w:spacing w:before="200" w:after="100"/>
      </w:pPr>
      <w:r>
        <w:rPr>
          <w:b/>
          <w:bCs/>
          <w:i/>
          <w:iCs/>
          <w:color w:val="8B6F1F"/>
          <w:sz w:val="22"/>
          <w:szCs w:val="22"/>
        </w:rPr>
        <w:lastRenderedPageBreak/>
        <w:t>Aplicación</w:t>
      </w:r>
    </w:p>
    <w:p w14:paraId="6710277D" w14:textId="77777777" w:rsidR="003D748E" w:rsidRDefault="00DF2056">
      <w:pPr>
        <w:pStyle w:val="Prrafodelista"/>
        <w:numPr>
          <w:ilvl w:val="0"/>
          <w:numId w:val="2"/>
        </w:numPr>
        <w:spacing w:after="100"/>
      </w:pPr>
      <w:r>
        <w:rPr>
          <w:szCs w:val="21"/>
        </w:rPr>
        <w:t>A partir de tres relatos breves de experiencias de parto (que el profesor proporcionará o el estudiante recopilará de fuentes verificables), clasifique cada uno como violencia obstétrica, mala praxis o ninguna de las anteriores, fundamentando la calificación.</w:t>
      </w:r>
    </w:p>
    <w:p w14:paraId="6CEA1F4C" w14:textId="77777777" w:rsidR="003D748E" w:rsidRDefault="00DF2056">
      <w:pPr>
        <w:pStyle w:val="Ttulo3"/>
        <w:spacing w:before="200" w:after="100"/>
      </w:pPr>
      <w:r>
        <w:rPr>
          <w:b/>
          <w:bCs/>
          <w:i/>
          <w:iCs/>
          <w:color w:val="8B6F1F"/>
          <w:sz w:val="22"/>
          <w:szCs w:val="22"/>
        </w:rPr>
        <w:t>Valoración crítica</w:t>
      </w:r>
    </w:p>
    <w:p w14:paraId="2CAD0486" w14:textId="77777777" w:rsidR="003D748E" w:rsidRDefault="00DF2056">
      <w:pPr>
        <w:pStyle w:val="Prrafodelista"/>
        <w:numPr>
          <w:ilvl w:val="0"/>
          <w:numId w:val="2"/>
        </w:numPr>
        <w:spacing w:after="100"/>
      </w:pPr>
      <w:r>
        <w:rPr>
          <w:szCs w:val="21"/>
        </w:rPr>
        <w:t>Discuta en seminario: ¿es metodológicamente correcto trasladar sin mediaciones un concepto acuñado en el derecho venezolano o argentino al análisis del sistema de salud cubano, dadas sus diferencias estructurales (carácter público y gratuito, modelo de atención primaria)? Argumente en no más de una cuartilla.</w:t>
      </w:r>
    </w:p>
    <w:p w14:paraId="496049A7" w14:textId="77777777" w:rsidR="003D748E" w:rsidRDefault="00DF2056">
      <w:pPr>
        <w:pStyle w:val="Ttulo2"/>
        <w:spacing w:before="300" w:after="150"/>
      </w:pPr>
      <w:r>
        <w:rPr>
          <w:b/>
          <w:bCs/>
          <w:color w:val="1F3864"/>
          <w:sz w:val="25"/>
          <w:szCs w:val="25"/>
        </w:rPr>
        <w:t>5. Preguntas de autoevaluación</w:t>
      </w:r>
    </w:p>
    <w:p w14:paraId="72D87F1E" w14:textId="77777777" w:rsidR="003D748E" w:rsidRDefault="00DF2056">
      <w:pPr>
        <w:pStyle w:val="Prrafodelista"/>
        <w:numPr>
          <w:ilvl w:val="0"/>
          <w:numId w:val="1"/>
        </w:numPr>
        <w:spacing w:after="100"/>
      </w:pPr>
      <w:r>
        <w:rPr>
          <w:szCs w:val="21"/>
        </w:rPr>
        <w:t>¿Qué diferencia, en términos de imputación jurídica, existe entre violencia obstétrica y negligencia médica?</w:t>
      </w:r>
    </w:p>
    <w:p w14:paraId="1AFE6444" w14:textId="77777777" w:rsidR="003D748E" w:rsidRDefault="00DF2056">
      <w:pPr>
        <w:pStyle w:val="Prrafodelista"/>
        <w:numPr>
          <w:ilvl w:val="0"/>
          <w:numId w:val="1"/>
        </w:numPr>
        <w:spacing w:after="100"/>
      </w:pPr>
      <w:r>
        <w:rPr>
          <w:szCs w:val="21"/>
        </w:rPr>
        <w:t>Mencione tres manifestaciones fácticas de violencia obstétrica identificadas por la OMS (2014).</w:t>
      </w:r>
    </w:p>
    <w:p w14:paraId="189C290B" w14:textId="77777777" w:rsidR="003D748E" w:rsidRDefault="00DF2056">
      <w:pPr>
        <w:pStyle w:val="Prrafodelista"/>
        <w:numPr>
          <w:ilvl w:val="0"/>
          <w:numId w:val="1"/>
        </w:numPr>
        <w:spacing w:after="100"/>
      </w:pPr>
      <w:r>
        <w:rPr>
          <w:szCs w:val="21"/>
        </w:rPr>
        <w:t>¿Por qué se afirma que la violencia obstétrica puede configurarse sin necesidad de un daño físico objetivable?</w:t>
      </w:r>
    </w:p>
    <w:p w14:paraId="54F928BE" w14:textId="77777777" w:rsidR="003D748E" w:rsidRDefault="00DF2056">
      <w:r>
        <w:br w:type="page"/>
      </w:r>
    </w:p>
    <w:p w14:paraId="3E2C8855" w14:textId="77777777" w:rsidR="003D748E" w:rsidRDefault="00DF2056">
      <w:pPr>
        <w:pStyle w:val="Ttulo1"/>
        <w:pBdr>
          <w:bottom w:val="single" w:sz="8" w:space="4" w:color="1F3864"/>
        </w:pBdr>
        <w:spacing w:before="400" w:after="200"/>
      </w:pPr>
      <w:r>
        <w:rPr>
          <w:b/>
          <w:bCs/>
          <w:color w:val="1F3864"/>
          <w:sz w:val="30"/>
          <w:szCs w:val="30"/>
        </w:rPr>
        <w:lastRenderedPageBreak/>
        <w:t>TEMA II. MARCO JURÍDICO INTERNACIONAL DE LOS DERECHOS REPRODUCTIVOS Y LA VIOLENCIA OBSTÉTRICA</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2684164A" w14:textId="77777777">
        <w:trPr>
          <w:tblHeader/>
        </w:trPr>
        <w:tc>
          <w:tcPr>
            <w:tcW w:w="3000" w:type="dxa"/>
            <w:shd w:val="clear" w:color="auto" w:fill="1F3864"/>
            <w:tcMar>
              <w:top w:w="80" w:type="dxa"/>
              <w:left w:w="100" w:type="dxa"/>
              <w:bottom w:w="80" w:type="dxa"/>
              <w:right w:w="100" w:type="dxa"/>
            </w:tcMar>
            <w:vAlign w:val="center"/>
          </w:tcPr>
          <w:p w14:paraId="775036AC"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48E08D8B" w14:textId="77777777" w:rsidR="003D748E" w:rsidRDefault="003D748E">
            <w:pPr>
              <w:jc w:val="center"/>
            </w:pPr>
          </w:p>
        </w:tc>
      </w:tr>
      <w:tr w:rsidR="003D748E" w14:paraId="595C4521" w14:textId="77777777">
        <w:tc>
          <w:tcPr>
            <w:tcW w:w="3000" w:type="dxa"/>
            <w:shd w:val="clear" w:color="auto" w:fill="F5F5F5"/>
            <w:tcMar>
              <w:top w:w="80" w:type="dxa"/>
              <w:left w:w="100" w:type="dxa"/>
              <w:bottom w:w="80" w:type="dxa"/>
              <w:right w:w="100" w:type="dxa"/>
            </w:tcMar>
            <w:vAlign w:val="center"/>
          </w:tcPr>
          <w:p w14:paraId="5DD2CBAD"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73F8D31E" w14:textId="77777777" w:rsidR="003D748E" w:rsidRDefault="00DF2056">
            <w:r>
              <w:rPr>
                <w:color w:val="000000"/>
                <w:sz w:val="19"/>
                <w:szCs w:val="19"/>
              </w:rPr>
              <w:t>8</w:t>
            </w:r>
          </w:p>
        </w:tc>
      </w:tr>
      <w:tr w:rsidR="003D748E" w14:paraId="61B3C561" w14:textId="77777777">
        <w:tc>
          <w:tcPr>
            <w:tcW w:w="3000" w:type="dxa"/>
            <w:shd w:val="clear" w:color="auto" w:fill="FFFFFF"/>
            <w:tcMar>
              <w:top w:w="80" w:type="dxa"/>
              <w:left w:w="100" w:type="dxa"/>
              <w:bottom w:w="80" w:type="dxa"/>
              <w:right w:w="100" w:type="dxa"/>
            </w:tcMar>
            <w:vAlign w:val="center"/>
          </w:tcPr>
          <w:p w14:paraId="386A17C9"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1CE9D781" w14:textId="77777777" w:rsidR="003D748E" w:rsidRDefault="00DF2056">
            <w:r>
              <w:rPr>
                <w:color w:val="000000"/>
                <w:sz w:val="19"/>
                <w:szCs w:val="19"/>
              </w:rPr>
              <w:t>Analizar el sistema normativo internacional de protección de los derechos reproductivos aplicable a la violencia obstétrica y su recepción en el ordenamiento jurídico cubano.</w:t>
            </w:r>
          </w:p>
        </w:tc>
      </w:tr>
    </w:tbl>
    <w:p w14:paraId="38D14C0F" w14:textId="77777777" w:rsidR="003D748E" w:rsidRDefault="003D748E">
      <w:pPr>
        <w:spacing w:after="120"/>
      </w:pPr>
    </w:p>
    <w:p w14:paraId="7B89B661" w14:textId="77777777" w:rsidR="003D748E" w:rsidRDefault="00DF2056">
      <w:pPr>
        <w:pStyle w:val="Ttulo3"/>
        <w:spacing w:before="200" w:after="100"/>
      </w:pPr>
      <w:r>
        <w:rPr>
          <w:b/>
          <w:bCs/>
          <w:i/>
          <w:iCs/>
          <w:color w:val="8B6F1F"/>
          <w:sz w:val="22"/>
          <w:szCs w:val="22"/>
        </w:rPr>
        <w:t>Objetivos específicos del tema</w:t>
      </w:r>
    </w:p>
    <w:p w14:paraId="4789697F" w14:textId="77777777" w:rsidR="003D748E" w:rsidRDefault="00DF2056">
      <w:pPr>
        <w:pStyle w:val="Prrafodelista"/>
        <w:numPr>
          <w:ilvl w:val="0"/>
          <w:numId w:val="1"/>
        </w:numPr>
        <w:spacing w:after="100"/>
      </w:pPr>
      <w:r>
        <w:rPr>
          <w:szCs w:val="21"/>
        </w:rPr>
        <w:t>Interpretar el contenido normativo de CEDAW y la Convención de Belém do Pará en relación con la salud reproductiva.</w:t>
      </w:r>
    </w:p>
    <w:p w14:paraId="73B1679A" w14:textId="77777777" w:rsidR="003D748E" w:rsidRDefault="00DF2056">
      <w:pPr>
        <w:pStyle w:val="Prrafodelista"/>
        <w:numPr>
          <w:ilvl w:val="0"/>
          <w:numId w:val="1"/>
        </w:numPr>
        <w:spacing w:after="100"/>
      </w:pPr>
      <w:r>
        <w:rPr>
          <w:szCs w:val="21"/>
        </w:rPr>
        <w:t>Examinar los estándares del Sistema Interamericano y de Naciones Unidas sobre violencia obstétrica.</w:t>
      </w:r>
    </w:p>
    <w:p w14:paraId="0949F4BF" w14:textId="77777777" w:rsidR="003D748E" w:rsidRDefault="00DF2056">
      <w:pPr>
        <w:pStyle w:val="Prrafodelista"/>
        <w:numPr>
          <w:ilvl w:val="0"/>
          <w:numId w:val="1"/>
        </w:numPr>
        <w:spacing w:after="100"/>
      </w:pPr>
      <w:r>
        <w:rPr>
          <w:szCs w:val="21"/>
        </w:rPr>
        <w:t>Determinar el estatus normativo de los tratados internacionales en el ordenamiento jurídico cubano conforme al artículo 8 de la Constitución de 2019.</w:t>
      </w:r>
    </w:p>
    <w:p w14:paraId="3914C6E7" w14:textId="77777777" w:rsidR="003D748E" w:rsidRDefault="00DF2056">
      <w:pPr>
        <w:pStyle w:val="Ttulo2"/>
        <w:spacing w:before="300" w:after="150"/>
      </w:pPr>
      <w:r>
        <w:rPr>
          <w:b/>
          <w:bCs/>
          <w:color w:val="1F3864"/>
          <w:sz w:val="25"/>
          <w:szCs w:val="25"/>
        </w:rPr>
        <w:t>1. Síntesis de contenidos por subtema</w:t>
      </w:r>
    </w:p>
    <w:p w14:paraId="5EE0A3FB" w14:textId="77777777" w:rsidR="003D748E" w:rsidRDefault="00DF2056">
      <w:pPr>
        <w:pStyle w:val="Ttulo3"/>
        <w:spacing w:before="200" w:after="100"/>
      </w:pPr>
      <w:r>
        <w:rPr>
          <w:b/>
          <w:bCs/>
          <w:i/>
          <w:iCs/>
          <w:color w:val="8B6F1F"/>
          <w:sz w:val="22"/>
          <w:szCs w:val="22"/>
        </w:rPr>
        <w:t>2.1. Sistema universal de protección</w:t>
      </w:r>
    </w:p>
    <w:p w14:paraId="087A5A6C" w14:textId="77777777" w:rsidR="003D748E" w:rsidRDefault="00DF2056">
      <w:pPr>
        <w:spacing w:after="160" w:line="276" w:lineRule="auto"/>
        <w:jc w:val="both"/>
      </w:pPr>
      <w:r>
        <w:rPr>
          <w:szCs w:val="21"/>
        </w:rPr>
        <w:t>La CEDAW (arts. 12 y 16) constituye el instrumento matriz en materia de igualdad y salud reproductiva; la Observación General No. 24 del Comité CEDAW (2016) precisa las obligaciones estatales respecto al acceso a servicios de salud reproductiva libres de discriminación y violencia. El Pacto Internacional de Derechos Económicos, Sociales y Culturales (art. 12) complementa este marco desde el derecho al más alto nivel posible de salud. La Relatoría Especial de Naciones Unidas sobre violencia contra la mujer produjo en 2019 un informe temático específico sobre enfoque basado en derechos humanos frente al maltrato y la violencia obstétrica, de valor interpretativo relevante.</w:t>
      </w:r>
    </w:p>
    <w:p w14:paraId="5C757A61" w14:textId="77777777" w:rsidR="003D748E" w:rsidRDefault="00DF2056">
      <w:pPr>
        <w:pStyle w:val="Ttulo3"/>
        <w:spacing w:before="200" w:after="100"/>
      </w:pPr>
      <w:r>
        <w:rPr>
          <w:b/>
          <w:bCs/>
          <w:i/>
          <w:iCs/>
          <w:color w:val="8B6F1F"/>
          <w:sz w:val="22"/>
          <w:szCs w:val="22"/>
        </w:rPr>
        <w:t>2.2. Sistema Interamericano</w:t>
      </w:r>
    </w:p>
    <w:p w14:paraId="7A372A28" w14:textId="77777777" w:rsidR="003D748E" w:rsidRDefault="00DF2056">
      <w:pPr>
        <w:spacing w:after="160" w:line="276" w:lineRule="auto"/>
        <w:jc w:val="both"/>
      </w:pPr>
      <w:r>
        <w:rPr>
          <w:szCs w:val="21"/>
        </w:rPr>
        <w:t>La Convención de Belém do Pará (1994) define la violencia contra la mujer en términos amplios que permiten subsumir la violencia obstétrica como modalidad institucional. La jurisprudencia de la Corte Interamericana de Derechos Humanos —singularmente los casos I.V. vs. Bolivia (2016, esterilización no consentida) y Manuela vs. El Salvador (2021, criminalización de emergencias obstétricas</w:t>
      </w:r>
      <w:proofErr w:type="gramStart"/>
      <w:r>
        <w:rPr>
          <w:szCs w:val="21"/>
        </w:rPr>
        <w:t>)—</w:t>
      </w:r>
      <w:proofErr w:type="gramEnd"/>
      <w:r>
        <w:rPr>
          <w:szCs w:val="21"/>
        </w:rPr>
        <w:t xml:space="preserve"> configura un estándar interpretativo de primer orden sobre consentimiento informado y autonomía reproductiva, aplicable analógicamente al análisis de la violencia obstétrica en general.</w:t>
      </w:r>
    </w:p>
    <w:p w14:paraId="2D6909E4" w14:textId="77777777" w:rsidR="003D748E" w:rsidRDefault="00DF2056">
      <w:pPr>
        <w:pStyle w:val="Ttulo3"/>
        <w:spacing w:before="200" w:after="100"/>
      </w:pPr>
      <w:r>
        <w:rPr>
          <w:b/>
          <w:bCs/>
          <w:i/>
          <w:iCs/>
          <w:color w:val="8B6F1F"/>
          <w:sz w:val="22"/>
          <w:szCs w:val="22"/>
        </w:rPr>
        <w:t>2.3. Declaración de la OMS (2014)</w:t>
      </w:r>
    </w:p>
    <w:p w14:paraId="4CAA64CF" w14:textId="77777777" w:rsidR="003D748E" w:rsidRDefault="00DF2056">
      <w:pPr>
        <w:spacing w:after="160" w:line="276" w:lineRule="auto"/>
        <w:jc w:val="both"/>
      </w:pPr>
      <w:r>
        <w:rPr>
          <w:szCs w:val="21"/>
        </w:rPr>
        <w:t xml:space="preserve">Sin naturaleza de tratado, constituye </w:t>
      </w:r>
      <w:proofErr w:type="spellStart"/>
      <w:r>
        <w:rPr>
          <w:szCs w:val="21"/>
        </w:rPr>
        <w:t>soft</w:t>
      </w:r>
      <w:proofErr w:type="spellEnd"/>
      <w:r>
        <w:rPr>
          <w:szCs w:val="21"/>
        </w:rPr>
        <w:t xml:space="preserve"> </w:t>
      </w:r>
      <w:proofErr w:type="spellStart"/>
      <w:r>
        <w:rPr>
          <w:szCs w:val="21"/>
        </w:rPr>
        <w:t>law</w:t>
      </w:r>
      <w:proofErr w:type="spellEnd"/>
      <w:r>
        <w:rPr>
          <w:szCs w:val="21"/>
        </w:rPr>
        <w:t xml:space="preserve"> de autoridad técnica reconocida, empleada como parámetro interpretativo por órganos jurisdiccionales y cuasi-jurisdiccionales para precisar el contenido del derecho a una atención obstétrica respetuosa.</w:t>
      </w:r>
    </w:p>
    <w:p w14:paraId="2C7EED38" w14:textId="77777777" w:rsidR="003D748E" w:rsidRDefault="00DF2056">
      <w:pPr>
        <w:pStyle w:val="Ttulo3"/>
        <w:spacing w:before="200" w:after="100"/>
      </w:pPr>
      <w:r>
        <w:rPr>
          <w:b/>
          <w:bCs/>
          <w:i/>
          <w:iCs/>
          <w:color w:val="8B6F1F"/>
          <w:sz w:val="22"/>
          <w:szCs w:val="22"/>
        </w:rPr>
        <w:t>2.4. Recepción en el ordenamiento cubano</w:t>
      </w:r>
    </w:p>
    <w:p w14:paraId="1F757B4A" w14:textId="77777777" w:rsidR="003D748E" w:rsidRDefault="00DF2056">
      <w:pPr>
        <w:spacing w:after="160" w:line="276" w:lineRule="auto"/>
        <w:jc w:val="both"/>
      </w:pPr>
      <w:r>
        <w:rPr>
          <w:szCs w:val="21"/>
        </w:rPr>
        <w:t xml:space="preserve">El artículo 8 de la Constitución de la República de Cuba (2019) reconoce y garantiza en el orden interno el goce de los derechos reconocidos en los instrumentos internacionales de derechos humanos de los que Cuba es parte. Se impone al estudiante examinar con rigor: (i) qué instrumentos ha ratificado Cuba (Cuba es Estado parte de la CEDAW, no así de la Convención Americana sobre Derechos Humanos, lo que condiciona la aplicabilidad directa de la jurisprudencia de </w:t>
      </w:r>
      <w:r>
        <w:rPr>
          <w:szCs w:val="21"/>
        </w:rPr>
        <w:lastRenderedPageBreak/>
        <w:t xml:space="preserve">la Corte IDH, que opera entonces como referente interpretativo persuasivo y no como fuente vinculante); (ii) el mecanismo concreto de incorporación e </w:t>
      </w:r>
      <w:proofErr w:type="spellStart"/>
      <w:r>
        <w:rPr>
          <w:szCs w:val="21"/>
        </w:rPr>
        <w:t>invocabilidad</w:t>
      </w:r>
      <w:proofErr w:type="spellEnd"/>
      <w:r>
        <w:rPr>
          <w:szCs w:val="21"/>
        </w:rPr>
        <w:t xml:space="preserve"> de dichas normas ante operadores jurídicos internos.</w:t>
      </w:r>
    </w:p>
    <w:p w14:paraId="0326AADC"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7AF90480" w14:textId="77777777">
        <w:trPr>
          <w:tblHeader/>
        </w:trPr>
        <w:tc>
          <w:tcPr>
            <w:tcW w:w="2600" w:type="dxa"/>
            <w:shd w:val="clear" w:color="auto" w:fill="1F3864"/>
            <w:tcMar>
              <w:top w:w="80" w:type="dxa"/>
              <w:left w:w="100" w:type="dxa"/>
              <w:bottom w:w="80" w:type="dxa"/>
              <w:right w:w="100" w:type="dxa"/>
            </w:tcMar>
            <w:vAlign w:val="center"/>
          </w:tcPr>
          <w:p w14:paraId="4D0E3510"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38DC4CB8" w14:textId="77777777" w:rsidR="003D748E" w:rsidRDefault="00DF2056">
            <w:pPr>
              <w:jc w:val="center"/>
            </w:pPr>
            <w:r>
              <w:rPr>
                <w:b/>
                <w:bCs/>
                <w:color w:val="FFFFFF"/>
                <w:sz w:val="19"/>
                <w:szCs w:val="19"/>
              </w:rPr>
              <w:t>Definición operativa</w:t>
            </w:r>
          </w:p>
        </w:tc>
      </w:tr>
      <w:tr w:rsidR="003D748E" w14:paraId="17B5DCD0" w14:textId="77777777">
        <w:tc>
          <w:tcPr>
            <w:tcW w:w="2600" w:type="dxa"/>
            <w:shd w:val="clear" w:color="auto" w:fill="F5F5F5"/>
            <w:tcMar>
              <w:top w:w="80" w:type="dxa"/>
              <w:left w:w="100" w:type="dxa"/>
              <w:bottom w:w="80" w:type="dxa"/>
              <w:right w:w="100" w:type="dxa"/>
            </w:tcMar>
            <w:vAlign w:val="center"/>
          </w:tcPr>
          <w:p w14:paraId="524386D9" w14:textId="77777777" w:rsidR="003D748E" w:rsidRDefault="00DF2056">
            <w:r>
              <w:rPr>
                <w:color w:val="000000"/>
                <w:sz w:val="19"/>
                <w:szCs w:val="19"/>
              </w:rPr>
              <w:t>Bloque de constitucionalidad</w:t>
            </w:r>
          </w:p>
        </w:tc>
        <w:tc>
          <w:tcPr>
            <w:tcW w:w="7200" w:type="dxa"/>
            <w:shd w:val="clear" w:color="auto" w:fill="F5F5F5"/>
            <w:tcMar>
              <w:top w:w="80" w:type="dxa"/>
              <w:left w:w="100" w:type="dxa"/>
              <w:bottom w:w="80" w:type="dxa"/>
              <w:right w:w="100" w:type="dxa"/>
            </w:tcMar>
            <w:vAlign w:val="center"/>
          </w:tcPr>
          <w:p w14:paraId="7FFD1661" w14:textId="77777777" w:rsidR="003D748E" w:rsidRDefault="00DF2056">
            <w:r>
              <w:rPr>
                <w:color w:val="000000"/>
                <w:sz w:val="19"/>
                <w:szCs w:val="19"/>
              </w:rPr>
              <w:t>Conjunto normativo integrado por la Constitución y los instrumentos internacionales de derechos humanos que, por mandato constitucional expreso, se incorporan con jerarquía y eficacia interpretativa reforzada al ordenamiento interno.</w:t>
            </w:r>
          </w:p>
        </w:tc>
      </w:tr>
      <w:tr w:rsidR="003D748E" w14:paraId="0B08A809" w14:textId="77777777">
        <w:tc>
          <w:tcPr>
            <w:tcW w:w="2600" w:type="dxa"/>
            <w:shd w:val="clear" w:color="auto" w:fill="FFFFFF"/>
            <w:tcMar>
              <w:top w:w="80" w:type="dxa"/>
              <w:left w:w="100" w:type="dxa"/>
              <w:bottom w:w="80" w:type="dxa"/>
              <w:right w:w="100" w:type="dxa"/>
            </w:tcMar>
            <w:vAlign w:val="center"/>
          </w:tcPr>
          <w:p w14:paraId="6B474B5B" w14:textId="77777777" w:rsidR="003D748E" w:rsidRDefault="00DF2056">
            <w:proofErr w:type="spellStart"/>
            <w:r>
              <w:rPr>
                <w:color w:val="000000"/>
                <w:sz w:val="19"/>
                <w:szCs w:val="19"/>
              </w:rPr>
              <w:t>Soft</w:t>
            </w:r>
            <w:proofErr w:type="spellEnd"/>
            <w:r>
              <w:rPr>
                <w:color w:val="000000"/>
                <w:sz w:val="19"/>
                <w:szCs w:val="19"/>
              </w:rPr>
              <w:t xml:space="preserve"> </w:t>
            </w:r>
            <w:proofErr w:type="spellStart"/>
            <w:r>
              <w:rPr>
                <w:color w:val="000000"/>
                <w:sz w:val="19"/>
                <w:szCs w:val="19"/>
              </w:rPr>
              <w:t>law</w:t>
            </w:r>
            <w:proofErr w:type="spellEnd"/>
          </w:p>
        </w:tc>
        <w:tc>
          <w:tcPr>
            <w:tcW w:w="7200" w:type="dxa"/>
            <w:shd w:val="clear" w:color="auto" w:fill="FFFFFF"/>
            <w:tcMar>
              <w:top w:w="80" w:type="dxa"/>
              <w:left w:w="100" w:type="dxa"/>
              <w:bottom w:w="80" w:type="dxa"/>
              <w:right w:w="100" w:type="dxa"/>
            </w:tcMar>
            <w:vAlign w:val="center"/>
          </w:tcPr>
          <w:p w14:paraId="2101896B" w14:textId="77777777" w:rsidR="003D748E" w:rsidRDefault="00DF2056">
            <w:r>
              <w:rPr>
                <w:color w:val="000000"/>
                <w:sz w:val="19"/>
                <w:szCs w:val="19"/>
              </w:rPr>
              <w:t>Conjunto de instrumentos internacionales (declaraciones, recomendaciones, observaciones generales) desprovistos de fuerza vinculante formal, pero dotados de valor interpretativo y persuasivo relevante para la determinación del contenido de las obligaciones estatales.</w:t>
            </w:r>
          </w:p>
        </w:tc>
      </w:tr>
      <w:tr w:rsidR="003D748E" w14:paraId="66F1D3B8" w14:textId="77777777">
        <w:tc>
          <w:tcPr>
            <w:tcW w:w="2600" w:type="dxa"/>
            <w:shd w:val="clear" w:color="auto" w:fill="F5F5F5"/>
            <w:tcMar>
              <w:top w:w="80" w:type="dxa"/>
              <w:left w:w="100" w:type="dxa"/>
              <w:bottom w:w="80" w:type="dxa"/>
              <w:right w:w="100" w:type="dxa"/>
            </w:tcMar>
            <w:vAlign w:val="center"/>
          </w:tcPr>
          <w:p w14:paraId="3FF5DCB5" w14:textId="77777777" w:rsidR="003D748E" w:rsidRDefault="00DF2056">
            <w:r>
              <w:rPr>
                <w:color w:val="000000"/>
                <w:sz w:val="19"/>
                <w:szCs w:val="19"/>
              </w:rPr>
              <w:t>Control de convencionalidad</w:t>
            </w:r>
          </w:p>
        </w:tc>
        <w:tc>
          <w:tcPr>
            <w:tcW w:w="7200" w:type="dxa"/>
            <w:shd w:val="clear" w:color="auto" w:fill="F5F5F5"/>
            <w:tcMar>
              <w:top w:w="80" w:type="dxa"/>
              <w:left w:w="100" w:type="dxa"/>
              <w:bottom w:w="80" w:type="dxa"/>
              <w:right w:w="100" w:type="dxa"/>
            </w:tcMar>
            <w:vAlign w:val="center"/>
          </w:tcPr>
          <w:p w14:paraId="562530EA" w14:textId="77777777" w:rsidR="003D748E" w:rsidRDefault="00DF2056">
            <w:r>
              <w:rPr>
                <w:color w:val="000000"/>
                <w:sz w:val="19"/>
                <w:szCs w:val="19"/>
              </w:rPr>
              <w:t>Mecanismo mediante el cual los operadores jurídicos internos contrastan la normativa nacional con los estándares de los tratados internacionales de derechos humanos ratificados por el Estado.</w:t>
            </w:r>
          </w:p>
        </w:tc>
      </w:tr>
      <w:tr w:rsidR="003D748E" w14:paraId="5FE271BA" w14:textId="77777777">
        <w:tc>
          <w:tcPr>
            <w:tcW w:w="2600" w:type="dxa"/>
            <w:shd w:val="clear" w:color="auto" w:fill="FFFFFF"/>
            <w:tcMar>
              <w:top w:w="80" w:type="dxa"/>
              <w:left w:w="100" w:type="dxa"/>
              <w:bottom w:w="80" w:type="dxa"/>
              <w:right w:w="100" w:type="dxa"/>
            </w:tcMar>
            <w:vAlign w:val="center"/>
          </w:tcPr>
          <w:p w14:paraId="56AB2B31" w14:textId="77777777" w:rsidR="003D748E" w:rsidRDefault="00DF2056">
            <w:r>
              <w:rPr>
                <w:color w:val="000000"/>
                <w:sz w:val="19"/>
                <w:szCs w:val="19"/>
              </w:rPr>
              <w:t>Consentimiento informado</w:t>
            </w:r>
          </w:p>
        </w:tc>
        <w:tc>
          <w:tcPr>
            <w:tcW w:w="7200" w:type="dxa"/>
            <w:shd w:val="clear" w:color="auto" w:fill="FFFFFF"/>
            <w:tcMar>
              <w:top w:w="80" w:type="dxa"/>
              <w:left w:w="100" w:type="dxa"/>
              <w:bottom w:w="80" w:type="dxa"/>
              <w:right w:w="100" w:type="dxa"/>
            </w:tcMar>
            <w:vAlign w:val="center"/>
          </w:tcPr>
          <w:p w14:paraId="7BDAA5F2" w14:textId="77777777" w:rsidR="003D748E" w:rsidRDefault="00DF2056">
            <w:r>
              <w:rPr>
                <w:color w:val="000000"/>
                <w:sz w:val="19"/>
                <w:szCs w:val="19"/>
              </w:rPr>
              <w:t>Manifestación libre, voluntaria y suficientemente informada de la voluntad del paciente, presupuesto de licitud de toda intervención médica, cuyo desconocimiento genera responsabilidad jurídica autónoma.</w:t>
            </w:r>
          </w:p>
        </w:tc>
      </w:tr>
      <w:tr w:rsidR="003D748E" w14:paraId="585A59F0" w14:textId="77777777">
        <w:tc>
          <w:tcPr>
            <w:tcW w:w="2600" w:type="dxa"/>
            <w:shd w:val="clear" w:color="auto" w:fill="F5F5F5"/>
            <w:tcMar>
              <w:top w:w="80" w:type="dxa"/>
              <w:left w:w="100" w:type="dxa"/>
              <w:bottom w:w="80" w:type="dxa"/>
              <w:right w:w="100" w:type="dxa"/>
            </w:tcMar>
            <w:vAlign w:val="center"/>
          </w:tcPr>
          <w:p w14:paraId="14551B78" w14:textId="77777777" w:rsidR="003D748E" w:rsidRDefault="00DF2056">
            <w:r>
              <w:rPr>
                <w:color w:val="000000"/>
                <w:sz w:val="19"/>
                <w:szCs w:val="19"/>
              </w:rPr>
              <w:t>Obligación de debida diligencia</w:t>
            </w:r>
          </w:p>
        </w:tc>
        <w:tc>
          <w:tcPr>
            <w:tcW w:w="7200" w:type="dxa"/>
            <w:shd w:val="clear" w:color="auto" w:fill="F5F5F5"/>
            <w:tcMar>
              <w:top w:w="80" w:type="dxa"/>
              <w:left w:w="100" w:type="dxa"/>
              <w:bottom w:w="80" w:type="dxa"/>
              <w:right w:w="100" w:type="dxa"/>
            </w:tcMar>
            <w:vAlign w:val="center"/>
          </w:tcPr>
          <w:p w14:paraId="7F3BEA92" w14:textId="77777777" w:rsidR="003D748E" w:rsidRDefault="00DF2056">
            <w:r>
              <w:rPr>
                <w:color w:val="000000"/>
                <w:sz w:val="19"/>
                <w:szCs w:val="19"/>
              </w:rPr>
              <w:t>Estándar interamericano que exige al Estado prevenir, investigar, sancionar y reparar las violaciones de derechos humanos, incluidas las cometidas por agentes no estatales cuando el Estado incumple su deber de protección.</w:t>
            </w:r>
          </w:p>
        </w:tc>
      </w:tr>
    </w:tbl>
    <w:p w14:paraId="54B425B3" w14:textId="77777777" w:rsidR="003D748E" w:rsidRDefault="00DF2056">
      <w:pPr>
        <w:pStyle w:val="Ttulo2"/>
        <w:spacing w:before="300" w:after="150"/>
      </w:pPr>
      <w:r>
        <w:rPr>
          <w:b/>
          <w:bCs/>
          <w:color w:val="1F3864"/>
          <w:sz w:val="25"/>
          <w:szCs w:val="25"/>
        </w:rPr>
        <w:t>3. Tabla comparativa: instrumentos internacionales aplicables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100"/>
        <w:gridCol w:w="2100"/>
        <w:gridCol w:w="2600"/>
      </w:tblGrid>
      <w:tr w:rsidR="003D748E" w14:paraId="5D7E7002" w14:textId="77777777">
        <w:trPr>
          <w:tblHeader/>
        </w:trPr>
        <w:tc>
          <w:tcPr>
            <w:tcW w:w="2600" w:type="dxa"/>
            <w:shd w:val="clear" w:color="auto" w:fill="1F3864"/>
            <w:tcMar>
              <w:top w:w="80" w:type="dxa"/>
              <w:left w:w="100" w:type="dxa"/>
              <w:bottom w:w="80" w:type="dxa"/>
              <w:right w:w="100" w:type="dxa"/>
            </w:tcMar>
            <w:vAlign w:val="center"/>
          </w:tcPr>
          <w:p w14:paraId="61C0B3EF" w14:textId="77777777" w:rsidR="003D748E" w:rsidRDefault="00DF2056">
            <w:pPr>
              <w:jc w:val="center"/>
            </w:pPr>
            <w:r>
              <w:rPr>
                <w:b/>
                <w:bCs/>
                <w:color w:val="FFFFFF"/>
                <w:sz w:val="19"/>
                <w:szCs w:val="19"/>
              </w:rPr>
              <w:t>Instrumento</w:t>
            </w:r>
          </w:p>
        </w:tc>
        <w:tc>
          <w:tcPr>
            <w:tcW w:w="2100" w:type="dxa"/>
            <w:shd w:val="clear" w:color="auto" w:fill="1F3864"/>
            <w:tcMar>
              <w:top w:w="80" w:type="dxa"/>
              <w:left w:w="100" w:type="dxa"/>
              <w:bottom w:w="80" w:type="dxa"/>
              <w:right w:w="100" w:type="dxa"/>
            </w:tcMar>
            <w:vAlign w:val="center"/>
          </w:tcPr>
          <w:p w14:paraId="3C0C6FF8" w14:textId="77777777" w:rsidR="003D748E" w:rsidRDefault="00DF2056">
            <w:pPr>
              <w:jc w:val="center"/>
            </w:pPr>
            <w:r>
              <w:rPr>
                <w:b/>
                <w:bCs/>
                <w:color w:val="FFFFFF"/>
                <w:sz w:val="19"/>
                <w:szCs w:val="19"/>
              </w:rPr>
              <w:t>Naturaleza</w:t>
            </w:r>
          </w:p>
        </w:tc>
        <w:tc>
          <w:tcPr>
            <w:tcW w:w="2100" w:type="dxa"/>
            <w:shd w:val="clear" w:color="auto" w:fill="1F3864"/>
            <w:tcMar>
              <w:top w:w="80" w:type="dxa"/>
              <w:left w:w="100" w:type="dxa"/>
              <w:bottom w:w="80" w:type="dxa"/>
              <w:right w:w="100" w:type="dxa"/>
            </w:tcMar>
            <w:vAlign w:val="center"/>
          </w:tcPr>
          <w:p w14:paraId="03E4A357" w14:textId="77777777" w:rsidR="003D748E" w:rsidRDefault="00DF2056">
            <w:pPr>
              <w:jc w:val="center"/>
            </w:pPr>
            <w:r>
              <w:rPr>
                <w:b/>
                <w:bCs/>
                <w:color w:val="FFFFFF"/>
                <w:sz w:val="19"/>
                <w:szCs w:val="19"/>
              </w:rPr>
              <w:t>Órgano de control</w:t>
            </w:r>
          </w:p>
        </w:tc>
        <w:tc>
          <w:tcPr>
            <w:tcW w:w="2600" w:type="dxa"/>
            <w:shd w:val="clear" w:color="auto" w:fill="1F3864"/>
            <w:tcMar>
              <w:top w:w="80" w:type="dxa"/>
              <w:left w:w="100" w:type="dxa"/>
              <w:bottom w:w="80" w:type="dxa"/>
              <w:right w:w="100" w:type="dxa"/>
            </w:tcMar>
            <w:vAlign w:val="center"/>
          </w:tcPr>
          <w:p w14:paraId="5A2BC78A" w14:textId="77777777" w:rsidR="003D748E" w:rsidRDefault="00DF2056">
            <w:pPr>
              <w:jc w:val="center"/>
            </w:pPr>
            <w:r>
              <w:rPr>
                <w:b/>
                <w:bCs/>
                <w:color w:val="FFFFFF"/>
                <w:sz w:val="19"/>
                <w:szCs w:val="19"/>
              </w:rPr>
              <w:t>¿Cuba es parte / aplicable?</w:t>
            </w:r>
          </w:p>
        </w:tc>
      </w:tr>
      <w:tr w:rsidR="003D748E" w14:paraId="32E7BC67" w14:textId="77777777">
        <w:tc>
          <w:tcPr>
            <w:tcW w:w="2600" w:type="dxa"/>
            <w:shd w:val="clear" w:color="auto" w:fill="F5F5F5"/>
            <w:tcMar>
              <w:top w:w="80" w:type="dxa"/>
              <w:left w:w="100" w:type="dxa"/>
              <w:bottom w:w="80" w:type="dxa"/>
              <w:right w:w="100" w:type="dxa"/>
            </w:tcMar>
            <w:vAlign w:val="center"/>
          </w:tcPr>
          <w:p w14:paraId="6B95F3E3" w14:textId="77777777" w:rsidR="003D748E" w:rsidRDefault="00DF2056">
            <w:r>
              <w:rPr>
                <w:color w:val="000000"/>
                <w:sz w:val="19"/>
                <w:szCs w:val="19"/>
              </w:rPr>
              <w:t>CEDAW (1979)</w:t>
            </w:r>
          </w:p>
        </w:tc>
        <w:tc>
          <w:tcPr>
            <w:tcW w:w="2100" w:type="dxa"/>
            <w:shd w:val="clear" w:color="auto" w:fill="F5F5F5"/>
            <w:tcMar>
              <w:top w:w="80" w:type="dxa"/>
              <w:left w:w="100" w:type="dxa"/>
              <w:bottom w:w="80" w:type="dxa"/>
              <w:right w:w="100" w:type="dxa"/>
            </w:tcMar>
            <w:vAlign w:val="center"/>
          </w:tcPr>
          <w:p w14:paraId="4BE5FC85" w14:textId="77777777" w:rsidR="003D748E" w:rsidRDefault="00DF2056">
            <w:r>
              <w:rPr>
                <w:color w:val="000000"/>
                <w:sz w:val="19"/>
                <w:szCs w:val="19"/>
              </w:rPr>
              <w:t>Tratado vinculante</w:t>
            </w:r>
          </w:p>
        </w:tc>
        <w:tc>
          <w:tcPr>
            <w:tcW w:w="2100" w:type="dxa"/>
            <w:shd w:val="clear" w:color="auto" w:fill="F5F5F5"/>
            <w:tcMar>
              <w:top w:w="80" w:type="dxa"/>
              <w:left w:w="100" w:type="dxa"/>
              <w:bottom w:w="80" w:type="dxa"/>
              <w:right w:w="100" w:type="dxa"/>
            </w:tcMar>
            <w:vAlign w:val="center"/>
          </w:tcPr>
          <w:p w14:paraId="50ABA80F" w14:textId="77777777" w:rsidR="003D748E" w:rsidRDefault="00DF2056">
            <w:r>
              <w:rPr>
                <w:color w:val="000000"/>
                <w:sz w:val="19"/>
                <w:szCs w:val="19"/>
              </w:rPr>
              <w:t>Comité CEDAW</w:t>
            </w:r>
          </w:p>
        </w:tc>
        <w:tc>
          <w:tcPr>
            <w:tcW w:w="2600" w:type="dxa"/>
            <w:shd w:val="clear" w:color="auto" w:fill="F5F5F5"/>
            <w:tcMar>
              <w:top w:w="80" w:type="dxa"/>
              <w:left w:w="100" w:type="dxa"/>
              <w:bottom w:w="80" w:type="dxa"/>
              <w:right w:w="100" w:type="dxa"/>
            </w:tcMar>
            <w:vAlign w:val="center"/>
          </w:tcPr>
          <w:p w14:paraId="787DD0EF" w14:textId="77777777" w:rsidR="003D748E" w:rsidRDefault="00DF2056">
            <w:r>
              <w:rPr>
                <w:color w:val="000000"/>
                <w:sz w:val="19"/>
                <w:szCs w:val="19"/>
              </w:rPr>
              <w:t>Sí — ratificada por Cuba</w:t>
            </w:r>
          </w:p>
        </w:tc>
      </w:tr>
      <w:tr w:rsidR="003D748E" w14:paraId="1710742E" w14:textId="77777777">
        <w:tc>
          <w:tcPr>
            <w:tcW w:w="2600" w:type="dxa"/>
            <w:shd w:val="clear" w:color="auto" w:fill="FFFFFF"/>
            <w:tcMar>
              <w:top w:w="80" w:type="dxa"/>
              <w:left w:w="100" w:type="dxa"/>
              <w:bottom w:w="80" w:type="dxa"/>
              <w:right w:w="100" w:type="dxa"/>
            </w:tcMar>
            <w:vAlign w:val="center"/>
          </w:tcPr>
          <w:p w14:paraId="5CF165C2" w14:textId="77777777" w:rsidR="003D748E" w:rsidRDefault="00DF2056">
            <w:r>
              <w:rPr>
                <w:color w:val="000000"/>
                <w:sz w:val="19"/>
                <w:szCs w:val="19"/>
              </w:rPr>
              <w:t>Convención Belém do Pará (1994)</w:t>
            </w:r>
          </w:p>
        </w:tc>
        <w:tc>
          <w:tcPr>
            <w:tcW w:w="2100" w:type="dxa"/>
            <w:shd w:val="clear" w:color="auto" w:fill="FFFFFF"/>
            <w:tcMar>
              <w:top w:w="80" w:type="dxa"/>
              <w:left w:w="100" w:type="dxa"/>
              <w:bottom w:w="80" w:type="dxa"/>
              <w:right w:w="100" w:type="dxa"/>
            </w:tcMar>
            <w:vAlign w:val="center"/>
          </w:tcPr>
          <w:p w14:paraId="77F7840B" w14:textId="77777777" w:rsidR="003D748E" w:rsidRDefault="00DF2056">
            <w:r>
              <w:rPr>
                <w:color w:val="000000"/>
                <w:sz w:val="19"/>
                <w:szCs w:val="19"/>
              </w:rPr>
              <w:t>Tratado vinculante (sistema OEA)</w:t>
            </w:r>
          </w:p>
        </w:tc>
        <w:tc>
          <w:tcPr>
            <w:tcW w:w="2100" w:type="dxa"/>
            <w:shd w:val="clear" w:color="auto" w:fill="FFFFFF"/>
            <w:tcMar>
              <w:top w:w="80" w:type="dxa"/>
              <w:left w:w="100" w:type="dxa"/>
              <w:bottom w:w="80" w:type="dxa"/>
              <w:right w:w="100" w:type="dxa"/>
            </w:tcMar>
            <w:vAlign w:val="center"/>
          </w:tcPr>
          <w:p w14:paraId="2A26D065" w14:textId="77777777" w:rsidR="003D748E" w:rsidRDefault="00DF2056">
            <w:r>
              <w:rPr>
                <w:color w:val="000000"/>
                <w:sz w:val="19"/>
                <w:szCs w:val="19"/>
              </w:rPr>
              <w:t>Mecanismo de Seguimiento MESECVI</w:t>
            </w:r>
          </w:p>
        </w:tc>
        <w:tc>
          <w:tcPr>
            <w:tcW w:w="2600" w:type="dxa"/>
            <w:shd w:val="clear" w:color="auto" w:fill="FFFFFF"/>
            <w:tcMar>
              <w:top w:w="80" w:type="dxa"/>
              <w:left w:w="100" w:type="dxa"/>
              <w:bottom w:w="80" w:type="dxa"/>
              <w:right w:w="100" w:type="dxa"/>
            </w:tcMar>
            <w:vAlign w:val="center"/>
          </w:tcPr>
          <w:p w14:paraId="3A24C9E1" w14:textId="77777777" w:rsidR="003D748E" w:rsidRDefault="00DF2056">
            <w:r>
              <w:rPr>
                <w:color w:val="000000"/>
                <w:sz w:val="19"/>
                <w:szCs w:val="19"/>
              </w:rPr>
              <w:t>No — Cuba no es miembro de la OEA activo en este mecanismo</w:t>
            </w:r>
          </w:p>
        </w:tc>
      </w:tr>
      <w:tr w:rsidR="003D748E" w14:paraId="7BB29F35" w14:textId="77777777">
        <w:tc>
          <w:tcPr>
            <w:tcW w:w="2600" w:type="dxa"/>
            <w:shd w:val="clear" w:color="auto" w:fill="F5F5F5"/>
            <w:tcMar>
              <w:top w:w="80" w:type="dxa"/>
              <w:left w:w="100" w:type="dxa"/>
              <w:bottom w:w="80" w:type="dxa"/>
              <w:right w:w="100" w:type="dxa"/>
            </w:tcMar>
            <w:vAlign w:val="center"/>
          </w:tcPr>
          <w:p w14:paraId="232D9950" w14:textId="77777777" w:rsidR="003D748E" w:rsidRDefault="00DF2056">
            <w:r>
              <w:rPr>
                <w:color w:val="000000"/>
                <w:sz w:val="19"/>
                <w:szCs w:val="19"/>
              </w:rPr>
              <w:t>Convención Americana sobre DDHH</w:t>
            </w:r>
          </w:p>
        </w:tc>
        <w:tc>
          <w:tcPr>
            <w:tcW w:w="2100" w:type="dxa"/>
            <w:shd w:val="clear" w:color="auto" w:fill="F5F5F5"/>
            <w:tcMar>
              <w:top w:w="80" w:type="dxa"/>
              <w:left w:w="100" w:type="dxa"/>
              <w:bottom w:w="80" w:type="dxa"/>
              <w:right w:w="100" w:type="dxa"/>
            </w:tcMar>
            <w:vAlign w:val="center"/>
          </w:tcPr>
          <w:p w14:paraId="4423AA68" w14:textId="77777777" w:rsidR="003D748E" w:rsidRDefault="00DF2056">
            <w:r>
              <w:rPr>
                <w:color w:val="000000"/>
                <w:sz w:val="19"/>
                <w:szCs w:val="19"/>
              </w:rPr>
              <w:t>Tratado vinculante (sistema OEA)</w:t>
            </w:r>
          </w:p>
        </w:tc>
        <w:tc>
          <w:tcPr>
            <w:tcW w:w="2100" w:type="dxa"/>
            <w:shd w:val="clear" w:color="auto" w:fill="F5F5F5"/>
            <w:tcMar>
              <w:top w:w="80" w:type="dxa"/>
              <w:left w:w="100" w:type="dxa"/>
              <w:bottom w:w="80" w:type="dxa"/>
              <w:right w:w="100" w:type="dxa"/>
            </w:tcMar>
            <w:vAlign w:val="center"/>
          </w:tcPr>
          <w:p w14:paraId="2DA10EFE" w14:textId="77777777" w:rsidR="003D748E" w:rsidRDefault="00DF2056">
            <w:r>
              <w:rPr>
                <w:color w:val="000000"/>
                <w:sz w:val="19"/>
                <w:szCs w:val="19"/>
              </w:rPr>
              <w:t>Corte IDH / CIDH</w:t>
            </w:r>
          </w:p>
        </w:tc>
        <w:tc>
          <w:tcPr>
            <w:tcW w:w="2600" w:type="dxa"/>
            <w:shd w:val="clear" w:color="auto" w:fill="F5F5F5"/>
            <w:tcMar>
              <w:top w:w="80" w:type="dxa"/>
              <w:left w:w="100" w:type="dxa"/>
              <w:bottom w:w="80" w:type="dxa"/>
              <w:right w:w="100" w:type="dxa"/>
            </w:tcMar>
            <w:vAlign w:val="center"/>
          </w:tcPr>
          <w:p w14:paraId="2A6C51B9" w14:textId="77777777" w:rsidR="003D748E" w:rsidRDefault="00DF2056">
            <w:r>
              <w:rPr>
                <w:color w:val="000000"/>
                <w:sz w:val="19"/>
                <w:szCs w:val="19"/>
              </w:rPr>
              <w:t>No ratificada por Cuba; jurisprudencia con valor persuasivo, no vinculante directo</w:t>
            </w:r>
          </w:p>
        </w:tc>
      </w:tr>
      <w:tr w:rsidR="003D748E" w14:paraId="47E7B587" w14:textId="77777777">
        <w:tc>
          <w:tcPr>
            <w:tcW w:w="2600" w:type="dxa"/>
            <w:shd w:val="clear" w:color="auto" w:fill="FFFFFF"/>
            <w:tcMar>
              <w:top w:w="80" w:type="dxa"/>
              <w:left w:w="100" w:type="dxa"/>
              <w:bottom w:w="80" w:type="dxa"/>
              <w:right w:w="100" w:type="dxa"/>
            </w:tcMar>
            <w:vAlign w:val="center"/>
          </w:tcPr>
          <w:p w14:paraId="069EEE6F" w14:textId="77777777" w:rsidR="003D748E" w:rsidRDefault="00DF2056">
            <w:r>
              <w:rPr>
                <w:color w:val="000000"/>
                <w:sz w:val="19"/>
                <w:szCs w:val="19"/>
              </w:rPr>
              <w:t>Observación General 24, Comité CEDAW</w:t>
            </w:r>
          </w:p>
        </w:tc>
        <w:tc>
          <w:tcPr>
            <w:tcW w:w="2100" w:type="dxa"/>
            <w:shd w:val="clear" w:color="auto" w:fill="FFFFFF"/>
            <w:tcMar>
              <w:top w:w="80" w:type="dxa"/>
              <w:left w:w="100" w:type="dxa"/>
              <w:bottom w:w="80" w:type="dxa"/>
              <w:right w:w="100" w:type="dxa"/>
            </w:tcMar>
            <w:vAlign w:val="center"/>
          </w:tcPr>
          <w:p w14:paraId="355190A0" w14:textId="77777777" w:rsidR="003D748E" w:rsidRDefault="00DF2056">
            <w:proofErr w:type="spellStart"/>
            <w:r>
              <w:rPr>
                <w:color w:val="000000"/>
                <w:sz w:val="19"/>
                <w:szCs w:val="19"/>
              </w:rPr>
              <w:t>Soft</w:t>
            </w:r>
            <w:proofErr w:type="spellEnd"/>
            <w:r>
              <w:rPr>
                <w:color w:val="000000"/>
                <w:sz w:val="19"/>
                <w:szCs w:val="19"/>
              </w:rPr>
              <w:t xml:space="preserve"> </w:t>
            </w:r>
            <w:proofErr w:type="spellStart"/>
            <w:r>
              <w:rPr>
                <w:color w:val="000000"/>
                <w:sz w:val="19"/>
                <w:szCs w:val="19"/>
              </w:rPr>
              <w:t>law</w:t>
            </w:r>
            <w:proofErr w:type="spellEnd"/>
            <w:r>
              <w:rPr>
                <w:color w:val="000000"/>
                <w:sz w:val="19"/>
                <w:szCs w:val="19"/>
              </w:rPr>
              <w:t xml:space="preserve"> interpretativo</w:t>
            </w:r>
          </w:p>
        </w:tc>
        <w:tc>
          <w:tcPr>
            <w:tcW w:w="2100" w:type="dxa"/>
            <w:shd w:val="clear" w:color="auto" w:fill="FFFFFF"/>
            <w:tcMar>
              <w:top w:w="80" w:type="dxa"/>
              <w:left w:w="100" w:type="dxa"/>
              <w:bottom w:w="80" w:type="dxa"/>
              <w:right w:w="100" w:type="dxa"/>
            </w:tcMar>
            <w:vAlign w:val="center"/>
          </w:tcPr>
          <w:p w14:paraId="2CB233FB" w14:textId="77777777" w:rsidR="003D748E" w:rsidRDefault="00DF2056">
            <w:r>
              <w:rPr>
                <w:color w:val="000000"/>
                <w:sz w:val="19"/>
                <w:szCs w:val="19"/>
              </w:rPr>
              <w:t>Comité CEDAW</w:t>
            </w:r>
          </w:p>
        </w:tc>
        <w:tc>
          <w:tcPr>
            <w:tcW w:w="2600" w:type="dxa"/>
            <w:shd w:val="clear" w:color="auto" w:fill="FFFFFF"/>
            <w:tcMar>
              <w:top w:w="80" w:type="dxa"/>
              <w:left w:w="100" w:type="dxa"/>
              <w:bottom w:w="80" w:type="dxa"/>
              <w:right w:w="100" w:type="dxa"/>
            </w:tcMar>
            <w:vAlign w:val="center"/>
          </w:tcPr>
          <w:p w14:paraId="71AE8B55" w14:textId="77777777" w:rsidR="003D748E" w:rsidRDefault="00DF2056">
            <w:r>
              <w:rPr>
                <w:color w:val="000000"/>
                <w:sz w:val="19"/>
                <w:szCs w:val="19"/>
              </w:rPr>
              <w:t>Aplicable por remisión a CEDAW</w:t>
            </w:r>
          </w:p>
        </w:tc>
      </w:tr>
      <w:tr w:rsidR="003D748E" w14:paraId="7EC6B0C5" w14:textId="77777777">
        <w:tc>
          <w:tcPr>
            <w:tcW w:w="2600" w:type="dxa"/>
            <w:shd w:val="clear" w:color="auto" w:fill="F5F5F5"/>
            <w:tcMar>
              <w:top w:w="80" w:type="dxa"/>
              <w:left w:w="100" w:type="dxa"/>
              <w:bottom w:w="80" w:type="dxa"/>
              <w:right w:w="100" w:type="dxa"/>
            </w:tcMar>
            <w:vAlign w:val="center"/>
          </w:tcPr>
          <w:p w14:paraId="12ACAEFF" w14:textId="77777777" w:rsidR="003D748E" w:rsidRDefault="00DF2056">
            <w:r>
              <w:rPr>
                <w:color w:val="000000"/>
                <w:sz w:val="19"/>
                <w:szCs w:val="19"/>
              </w:rPr>
              <w:t>Declaración OMS (2014)</w:t>
            </w:r>
          </w:p>
        </w:tc>
        <w:tc>
          <w:tcPr>
            <w:tcW w:w="2100" w:type="dxa"/>
            <w:shd w:val="clear" w:color="auto" w:fill="F5F5F5"/>
            <w:tcMar>
              <w:top w:w="80" w:type="dxa"/>
              <w:left w:w="100" w:type="dxa"/>
              <w:bottom w:w="80" w:type="dxa"/>
              <w:right w:w="100" w:type="dxa"/>
            </w:tcMar>
            <w:vAlign w:val="center"/>
          </w:tcPr>
          <w:p w14:paraId="1D7C946C" w14:textId="77777777" w:rsidR="003D748E" w:rsidRDefault="00DF2056">
            <w:proofErr w:type="spellStart"/>
            <w:r>
              <w:rPr>
                <w:color w:val="000000"/>
                <w:sz w:val="19"/>
                <w:szCs w:val="19"/>
              </w:rPr>
              <w:t>Soft</w:t>
            </w:r>
            <w:proofErr w:type="spellEnd"/>
            <w:r>
              <w:rPr>
                <w:color w:val="000000"/>
                <w:sz w:val="19"/>
                <w:szCs w:val="19"/>
              </w:rPr>
              <w:t xml:space="preserve"> </w:t>
            </w:r>
            <w:proofErr w:type="spellStart"/>
            <w:r>
              <w:rPr>
                <w:color w:val="000000"/>
                <w:sz w:val="19"/>
                <w:szCs w:val="19"/>
              </w:rPr>
              <w:t>law</w:t>
            </w:r>
            <w:proofErr w:type="spellEnd"/>
            <w:r>
              <w:rPr>
                <w:color w:val="000000"/>
                <w:sz w:val="19"/>
                <w:szCs w:val="19"/>
              </w:rPr>
              <w:t xml:space="preserve"> técnico</w:t>
            </w:r>
          </w:p>
        </w:tc>
        <w:tc>
          <w:tcPr>
            <w:tcW w:w="2100" w:type="dxa"/>
            <w:shd w:val="clear" w:color="auto" w:fill="F5F5F5"/>
            <w:tcMar>
              <w:top w:w="80" w:type="dxa"/>
              <w:left w:w="100" w:type="dxa"/>
              <w:bottom w:w="80" w:type="dxa"/>
              <w:right w:w="100" w:type="dxa"/>
            </w:tcMar>
            <w:vAlign w:val="center"/>
          </w:tcPr>
          <w:p w14:paraId="6B31D90E" w14:textId="77777777" w:rsidR="003D748E" w:rsidRDefault="00DF2056">
            <w:r>
              <w:rPr>
                <w:color w:val="000000"/>
                <w:sz w:val="19"/>
                <w:szCs w:val="19"/>
              </w:rPr>
              <w:t>OMS</w:t>
            </w:r>
          </w:p>
        </w:tc>
        <w:tc>
          <w:tcPr>
            <w:tcW w:w="2600" w:type="dxa"/>
            <w:shd w:val="clear" w:color="auto" w:fill="F5F5F5"/>
            <w:tcMar>
              <w:top w:w="80" w:type="dxa"/>
              <w:left w:w="100" w:type="dxa"/>
              <w:bottom w:w="80" w:type="dxa"/>
              <w:right w:w="100" w:type="dxa"/>
            </w:tcMar>
            <w:vAlign w:val="center"/>
          </w:tcPr>
          <w:p w14:paraId="6B99A557" w14:textId="77777777" w:rsidR="003D748E" w:rsidRDefault="00DF2056">
            <w:r>
              <w:rPr>
                <w:color w:val="000000"/>
                <w:sz w:val="19"/>
                <w:szCs w:val="19"/>
              </w:rPr>
              <w:t>Aplicable como estándar técnico-interpretativo</w:t>
            </w:r>
          </w:p>
        </w:tc>
      </w:tr>
    </w:tbl>
    <w:p w14:paraId="553D6983" w14:textId="77777777" w:rsidR="003D748E" w:rsidRDefault="00DF2056">
      <w:pPr>
        <w:pStyle w:val="Ttulo2"/>
        <w:spacing w:before="300" w:after="150"/>
      </w:pPr>
      <w:r>
        <w:rPr>
          <w:b/>
          <w:bCs/>
          <w:color w:val="1F3864"/>
          <w:sz w:val="25"/>
          <w:szCs w:val="25"/>
        </w:rPr>
        <w:t>4. Actividades de aprendizaje</w:t>
      </w:r>
    </w:p>
    <w:p w14:paraId="49B6CD26" w14:textId="77777777" w:rsidR="003D748E" w:rsidRDefault="00DF2056">
      <w:pPr>
        <w:pStyle w:val="Ttulo3"/>
        <w:spacing w:before="200" w:after="100"/>
      </w:pPr>
      <w:r>
        <w:rPr>
          <w:b/>
          <w:bCs/>
          <w:i/>
          <w:iCs/>
          <w:color w:val="8B6F1F"/>
          <w:sz w:val="22"/>
          <w:szCs w:val="22"/>
        </w:rPr>
        <w:t>Comprensión</w:t>
      </w:r>
    </w:p>
    <w:p w14:paraId="43C1A994" w14:textId="77777777" w:rsidR="003D748E" w:rsidRDefault="00DF2056">
      <w:pPr>
        <w:pStyle w:val="Prrafodelista"/>
        <w:numPr>
          <w:ilvl w:val="0"/>
          <w:numId w:val="2"/>
        </w:numPr>
        <w:spacing w:after="100"/>
      </w:pPr>
      <w:r>
        <w:rPr>
          <w:szCs w:val="21"/>
        </w:rPr>
        <w:t>Elabore una ficha técnica del caso I.V. vs. Bolivia identificando: hechos, derechos vulnerados, estándar fijado por la Corte IDH.</w:t>
      </w:r>
    </w:p>
    <w:p w14:paraId="7CB89581" w14:textId="77777777" w:rsidR="003D748E" w:rsidRDefault="003D748E">
      <w:pPr>
        <w:pStyle w:val="Ttulo3"/>
        <w:spacing w:before="200" w:after="100"/>
        <w:rPr>
          <w:b/>
          <w:bCs/>
          <w:i/>
          <w:iCs/>
          <w:color w:val="8B6F1F"/>
          <w:sz w:val="22"/>
          <w:szCs w:val="22"/>
        </w:rPr>
      </w:pPr>
    </w:p>
    <w:p w14:paraId="39419D27" w14:textId="77777777" w:rsidR="003D748E" w:rsidRDefault="00DF2056">
      <w:pPr>
        <w:pStyle w:val="Ttulo3"/>
        <w:spacing w:before="200" w:after="100"/>
      </w:pPr>
      <w:r>
        <w:rPr>
          <w:b/>
          <w:bCs/>
          <w:i/>
          <w:iCs/>
          <w:color w:val="8B6F1F"/>
          <w:sz w:val="22"/>
          <w:szCs w:val="22"/>
        </w:rPr>
        <w:lastRenderedPageBreak/>
        <w:t>Aplicación</w:t>
      </w:r>
    </w:p>
    <w:p w14:paraId="3228A61F" w14:textId="77777777" w:rsidR="003D748E" w:rsidRDefault="00DF2056">
      <w:pPr>
        <w:pStyle w:val="Prrafodelista"/>
        <w:numPr>
          <w:ilvl w:val="0"/>
          <w:numId w:val="2"/>
        </w:numPr>
        <w:spacing w:after="100"/>
      </w:pPr>
      <w:r>
        <w:rPr>
          <w:szCs w:val="21"/>
        </w:rPr>
        <w:t>Redacte un dictamen breve (máximo dos cuartillas) sobre el valor jurídico que, en el ordenamiento cubano, puede atribuirse a la jurisprudencia de la Corte IDH en un caso de violencia obstétrica, dado que Cuba no ha ratificado la Convención Americana.</w:t>
      </w:r>
    </w:p>
    <w:p w14:paraId="25A37636" w14:textId="77777777" w:rsidR="003D748E" w:rsidRDefault="00DF2056">
      <w:pPr>
        <w:pStyle w:val="Ttulo3"/>
        <w:spacing w:before="200" w:after="100"/>
      </w:pPr>
      <w:r>
        <w:rPr>
          <w:b/>
          <w:bCs/>
          <w:i/>
          <w:iCs/>
          <w:color w:val="8B6F1F"/>
          <w:sz w:val="22"/>
          <w:szCs w:val="22"/>
        </w:rPr>
        <w:t>Valoración crítica</w:t>
      </w:r>
    </w:p>
    <w:p w14:paraId="623D5322" w14:textId="77777777" w:rsidR="003D748E" w:rsidRDefault="00DF2056">
      <w:pPr>
        <w:pStyle w:val="Prrafodelista"/>
        <w:numPr>
          <w:ilvl w:val="0"/>
          <w:numId w:val="2"/>
        </w:numPr>
        <w:spacing w:after="100"/>
      </w:pPr>
      <w:r>
        <w:rPr>
          <w:szCs w:val="21"/>
        </w:rPr>
        <w:t>Debata en seminario: ¿resulta jurídicamente sostenible invocar el artículo 8 constitucional para fundamentar en Cuba pretensiones derivadas de la violencia obstétrica exclusivamente a partir de la CEDAW, sin mediación del Sistema Interamericano? Identifique fortalezas y debilidades de esa estrategia argumentativa.</w:t>
      </w:r>
    </w:p>
    <w:p w14:paraId="26F282B4" w14:textId="77777777" w:rsidR="003D748E" w:rsidRDefault="00DF2056">
      <w:pPr>
        <w:pStyle w:val="Ttulo2"/>
        <w:spacing w:before="300" w:after="150"/>
      </w:pPr>
      <w:r>
        <w:rPr>
          <w:b/>
          <w:bCs/>
          <w:color w:val="1F3864"/>
          <w:sz w:val="25"/>
          <w:szCs w:val="25"/>
        </w:rPr>
        <w:t>5. Preguntas de autoevaluación</w:t>
      </w:r>
    </w:p>
    <w:p w14:paraId="045DFB0B" w14:textId="77777777" w:rsidR="003D748E" w:rsidRDefault="00DF2056">
      <w:pPr>
        <w:pStyle w:val="Prrafodelista"/>
        <w:numPr>
          <w:ilvl w:val="0"/>
          <w:numId w:val="1"/>
        </w:numPr>
        <w:spacing w:after="100"/>
      </w:pPr>
      <w:r>
        <w:rPr>
          <w:szCs w:val="21"/>
        </w:rPr>
        <w:t>¿Qué establece el artículo 8 de la Constitución cubana de 2019 respecto a los tratados internacionales de derechos humanos?</w:t>
      </w:r>
    </w:p>
    <w:p w14:paraId="03B5EE29" w14:textId="77777777" w:rsidR="003D748E" w:rsidRDefault="00DF2056">
      <w:pPr>
        <w:pStyle w:val="Prrafodelista"/>
        <w:numPr>
          <w:ilvl w:val="0"/>
          <w:numId w:val="1"/>
        </w:numPr>
        <w:spacing w:after="100"/>
      </w:pPr>
      <w:r>
        <w:rPr>
          <w:szCs w:val="21"/>
        </w:rPr>
        <w:t>¿Por qué la jurisprudencia de la Corte IDH no vincula directamente al Estado cubano?</w:t>
      </w:r>
    </w:p>
    <w:p w14:paraId="76129B96" w14:textId="77777777" w:rsidR="003D748E" w:rsidRDefault="00DF2056">
      <w:pPr>
        <w:pStyle w:val="Prrafodelista"/>
        <w:numPr>
          <w:ilvl w:val="0"/>
          <w:numId w:val="1"/>
        </w:numPr>
        <w:spacing w:after="100"/>
      </w:pPr>
      <w:r>
        <w:rPr>
          <w:szCs w:val="21"/>
        </w:rPr>
        <w:t xml:space="preserve">Explique la diferencia entre un tratado vinculante y un instrumento de </w:t>
      </w:r>
      <w:proofErr w:type="spellStart"/>
      <w:r>
        <w:rPr>
          <w:szCs w:val="21"/>
        </w:rPr>
        <w:t>soft</w:t>
      </w:r>
      <w:proofErr w:type="spellEnd"/>
      <w:r>
        <w:rPr>
          <w:szCs w:val="21"/>
        </w:rPr>
        <w:t xml:space="preserve"> </w:t>
      </w:r>
      <w:proofErr w:type="spellStart"/>
      <w:r>
        <w:rPr>
          <w:szCs w:val="21"/>
        </w:rPr>
        <w:t>law</w:t>
      </w:r>
      <w:proofErr w:type="spellEnd"/>
      <w:r>
        <w:rPr>
          <w:szCs w:val="21"/>
        </w:rPr>
        <w:t>, con un ejemplo de cada uno estudiado en este tema.</w:t>
      </w:r>
    </w:p>
    <w:p w14:paraId="09E2D233" w14:textId="77777777" w:rsidR="003D748E" w:rsidRDefault="00DF2056">
      <w:r>
        <w:br w:type="page"/>
      </w:r>
    </w:p>
    <w:p w14:paraId="7DEB3D1E" w14:textId="77777777" w:rsidR="003D748E" w:rsidRDefault="00DF2056">
      <w:pPr>
        <w:pStyle w:val="Ttulo1"/>
        <w:pBdr>
          <w:bottom w:val="single" w:sz="8" w:space="4" w:color="1F3864"/>
        </w:pBdr>
        <w:spacing w:before="400" w:after="200"/>
      </w:pPr>
      <w:r>
        <w:rPr>
          <w:b/>
          <w:bCs/>
          <w:color w:val="1F3864"/>
          <w:sz w:val="30"/>
          <w:szCs w:val="30"/>
        </w:rPr>
        <w:lastRenderedPageBreak/>
        <w:t>TEMA III. MARCO JURÍDICO NACIONAL CUBANO: CONSTITUCIÓN, CÓDIGO DE LAS FAMILIAS Y SALUD PÚBLICA</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002D6B86" w14:textId="77777777">
        <w:trPr>
          <w:tblHeader/>
        </w:trPr>
        <w:tc>
          <w:tcPr>
            <w:tcW w:w="3000" w:type="dxa"/>
            <w:shd w:val="clear" w:color="auto" w:fill="1F3864"/>
            <w:tcMar>
              <w:top w:w="80" w:type="dxa"/>
              <w:left w:w="100" w:type="dxa"/>
              <w:bottom w:w="80" w:type="dxa"/>
              <w:right w:w="100" w:type="dxa"/>
            </w:tcMar>
            <w:vAlign w:val="center"/>
          </w:tcPr>
          <w:p w14:paraId="07060957"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1A6CF990" w14:textId="77777777" w:rsidR="003D748E" w:rsidRDefault="003D748E">
            <w:pPr>
              <w:jc w:val="center"/>
            </w:pPr>
          </w:p>
        </w:tc>
      </w:tr>
      <w:tr w:rsidR="003D748E" w14:paraId="606691E5" w14:textId="77777777">
        <w:tc>
          <w:tcPr>
            <w:tcW w:w="3000" w:type="dxa"/>
            <w:shd w:val="clear" w:color="auto" w:fill="F5F5F5"/>
            <w:tcMar>
              <w:top w:w="80" w:type="dxa"/>
              <w:left w:w="100" w:type="dxa"/>
              <w:bottom w:w="80" w:type="dxa"/>
              <w:right w:w="100" w:type="dxa"/>
            </w:tcMar>
            <w:vAlign w:val="center"/>
          </w:tcPr>
          <w:p w14:paraId="267856F2"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7822B50C" w14:textId="77777777" w:rsidR="003D748E" w:rsidRDefault="00DF2056">
            <w:r>
              <w:rPr>
                <w:color w:val="000000"/>
                <w:sz w:val="19"/>
                <w:szCs w:val="19"/>
              </w:rPr>
              <w:t>10</w:t>
            </w:r>
          </w:p>
        </w:tc>
      </w:tr>
      <w:tr w:rsidR="003D748E" w14:paraId="0D353FF5" w14:textId="77777777">
        <w:tc>
          <w:tcPr>
            <w:tcW w:w="3000" w:type="dxa"/>
            <w:shd w:val="clear" w:color="auto" w:fill="FFFFFF"/>
            <w:tcMar>
              <w:top w:w="80" w:type="dxa"/>
              <w:left w:w="100" w:type="dxa"/>
              <w:bottom w:w="80" w:type="dxa"/>
              <w:right w:w="100" w:type="dxa"/>
            </w:tcMar>
            <w:vAlign w:val="center"/>
          </w:tcPr>
          <w:p w14:paraId="461AF74C"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10314C42" w14:textId="77777777" w:rsidR="003D748E" w:rsidRDefault="00DF2056">
            <w:r>
              <w:rPr>
                <w:color w:val="000000"/>
                <w:sz w:val="19"/>
                <w:szCs w:val="19"/>
              </w:rPr>
              <w:t>Determinar el alcance y los vacíos del ordenamiento jurídico cubano vigente respecto a la protección frente a la violencia obstétrica.</w:t>
            </w:r>
          </w:p>
        </w:tc>
      </w:tr>
    </w:tbl>
    <w:p w14:paraId="585FB038" w14:textId="77777777" w:rsidR="003D748E" w:rsidRDefault="003D748E">
      <w:pPr>
        <w:spacing w:after="120"/>
      </w:pPr>
    </w:p>
    <w:p w14:paraId="0CE4363C" w14:textId="77777777" w:rsidR="003D748E" w:rsidRDefault="00DF2056">
      <w:pPr>
        <w:pStyle w:val="Ttulo3"/>
        <w:spacing w:before="200" w:after="100"/>
      </w:pPr>
      <w:r>
        <w:rPr>
          <w:b/>
          <w:bCs/>
          <w:i/>
          <w:iCs/>
          <w:color w:val="8B6F1F"/>
          <w:sz w:val="22"/>
          <w:szCs w:val="22"/>
        </w:rPr>
        <w:t>Objetivos específicos del tema</w:t>
      </w:r>
    </w:p>
    <w:p w14:paraId="3918487D" w14:textId="77777777" w:rsidR="003D748E" w:rsidRDefault="00DF2056">
      <w:pPr>
        <w:pStyle w:val="Prrafodelista"/>
        <w:numPr>
          <w:ilvl w:val="0"/>
          <w:numId w:val="1"/>
        </w:numPr>
        <w:spacing w:after="100"/>
      </w:pPr>
      <w:r>
        <w:rPr>
          <w:szCs w:val="21"/>
        </w:rPr>
        <w:t>Analizar el fundamento constitucional de los derechos sexuales y reproductivos en Cuba.</w:t>
      </w:r>
    </w:p>
    <w:p w14:paraId="5B821B7A" w14:textId="77777777" w:rsidR="003D748E" w:rsidRDefault="00DF2056">
      <w:pPr>
        <w:pStyle w:val="Prrafodelista"/>
        <w:numPr>
          <w:ilvl w:val="0"/>
          <w:numId w:val="1"/>
        </w:numPr>
        <w:spacing w:after="100"/>
      </w:pPr>
      <w:r>
        <w:rPr>
          <w:szCs w:val="21"/>
        </w:rPr>
        <w:t>Examinar la Ley No. 156/2022 (Código de las Familias) en lo relativo a autonomía reproductiva y dignidad.</w:t>
      </w:r>
    </w:p>
    <w:p w14:paraId="1DB2A004" w14:textId="77777777" w:rsidR="003D748E" w:rsidRDefault="00DF2056">
      <w:pPr>
        <w:pStyle w:val="Prrafodelista"/>
        <w:numPr>
          <w:ilvl w:val="0"/>
          <w:numId w:val="1"/>
        </w:numPr>
        <w:spacing w:after="100"/>
      </w:pPr>
      <w:r>
        <w:rPr>
          <w:szCs w:val="21"/>
        </w:rPr>
        <w:t>Evaluar el marco regulatorio del sistema de salud pública cubano respecto al consentimiento informado y los derechos del paciente obstétrico.</w:t>
      </w:r>
    </w:p>
    <w:p w14:paraId="6E9793BA" w14:textId="77777777" w:rsidR="003D748E" w:rsidRDefault="00DF2056">
      <w:pPr>
        <w:pStyle w:val="Ttulo2"/>
        <w:spacing w:before="300" w:after="150"/>
      </w:pPr>
      <w:r>
        <w:rPr>
          <w:b/>
          <w:bCs/>
          <w:color w:val="1F3864"/>
          <w:sz w:val="25"/>
          <w:szCs w:val="25"/>
        </w:rPr>
        <w:t>1. Síntesis de contenidos por subtema</w:t>
      </w:r>
    </w:p>
    <w:p w14:paraId="794D4BCA" w14:textId="77777777" w:rsidR="003D748E" w:rsidRDefault="00DF2056">
      <w:pPr>
        <w:pStyle w:val="Ttulo3"/>
        <w:spacing w:before="200" w:after="100"/>
      </w:pPr>
      <w:r>
        <w:rPr>
          <w:b/>
          <w:bCs/>
          <w:i/>
          <w:iCs/>
          <w:color w:val="8B6F1F"/>
          <w:sz w:val="22"/>
          <w:szCs w:val="22"/>
        </w:rPr>
        <w:t>3.1. Fundamento constitucional</w:t>
      </w:r>
    </w:p>
    <w:p w14:paraId="779AB8EB" w14:textId="77777777" w:rsidR="003D748E" w:rsidRDefault="00DF2056">
      <w:pPr>
        <w:spacing w:after="160" w:line="276" w:lineRule="auto"/>
        <w:jc w:val="both"/>
      </w:pPr>
      <w:r>
        <w:rPr>
          <w:szCs w:val="21"/>
        </w:rPr>
        <w:t>La Constitución de la República de Cuba (2019) provee un entramado de derechos fundamentales desde el cual construir la protección frente a la violencia obstétrica, aun sin tipificación expresa: la dignidad humana como valor supremo (art. 40), la integridad física y psíquica (art. 46), el derecho a la salud (art. 72), la no discriminación (art. 42) y el libre desarrollo de la personalidad (art. 44). El ejercicio dogmático central de este subtema consiste en construir, a partir de estas normas de principio, un fundamento constitucional sólido y autónomo, no meramente retórico.</w:t>
      </w:r>
    </w:p>
    <w:p w14:paraId="10027C86" w14:textId="77777777" w:rsidR="003D748E" w:rsidRDefault="00DF2056">
      <w:pPr>
        <w:pStyle w:val="Ttulo3"/>
        <w:spacing w:before="200" w:after="100"/>
      </w:pPr>
      <w:r>
        <w:rPr>
          <w:b/>
          <w:bCs/>
          <w:i/>
          <w:iCs/>
          <w:color w:val="8B6F1F"/>
          <w:sz w:val="22"/>
          <w:szCs w:val="22"/>
        </w:rPr>
        <w:t>3.2. Código de las Familias (Ley 156/2022)</w:t>
      </w:r>
    </w:p>
    <w:p w14:paraId="0D8809D4" w14:textId="77777777" w:rsidR="003D748E" w:rsidRDefault="00DF2056">
      <w:pPr>
        <w:spacing w:after="160" w:line="276" w:lineRule="auto"/>
        <w:jc w:val="both"/>
      </w:pPr>
      <w:r>
        <w:rPr>
          <w:szCs w:val="21"/>
        </w:rPr>
        <w:t>Aunque el Código de las Familias no regula de manera directa la atención obstétrica, su reconocimiento expreso del principio de autonomía progresiva y de la capacidad de decisión sobre el propio cuerpo (particularmente en materia de salud reproductiva y planificación familiar) ofrece un fundamento normativo indirecto, pero jurídicamente aprovechable, para sustentar pretensiones vinculadas a la autonomía decisional durante el proceso de parto. Se exige al estudiante identificar con precisión los artículos aplicables por analogía y valorar críticamente los límites de dicha aplicación analógica.</w:t>
      </w:r>
    </w:p>
    <w:p w14:paraId="7886F1BD" w14:textId="77777777" w:rsidR="003D748E" w:rsidRDefault="00DF2056">
      <w:pPr>
        <w:pStyle w:val="Ttulo3"/>
        <w:spacing w:before="200" w:after="100"/>
      </w:pPr>
      <w:r>
        <w:rPr>
          <w:b/>
          <w:bCs/>
          <w:i/>
          <w:iCs/>
          <w:color w:val="8B6F1F"/>
          <w:sz w:val="22"/>
          <w:szCs w:val="22"/>
        </w:rPr>
        <w:t>3.3. Ley No. 41 de Salud Pública y su Reglamento</w:t>
      </w:r>
    </w:p>
    <w:p w14:paraId="2C8EC62D" w14:textId="77777777" w:rsidR="003D748E" w:rsidRDefault="00DF2056">
      <w:pPr>
        <w:spacing w:after="160" w:line="276" w:lineRule="auto"/>
        <w:jc w:val="both"/>
      </w:pPr>
      <w:r>
        <w:rPr>
          <w:szCs w:val="21"/>
        </w:rPr>
        <w:t>Regula los derechos del paciente, el consentimiento informado, la historia clínica y los procedimientos de queja administrativa. Constituye la vía normativa más directamente aplicable en la actualidad, si bien su carácter general —no diseñado específicamente para la atención obstétrica ni para el enfoque de género— revela una insuficiencia estructural que debe documentarse con rigor técnico.</w:t>
      </w:r>
    </w:p>
    <w:p w14:paraId="50942332" w14:textId="77777777" w:rsidR="003D748E" w:rsidRDefault="00DF2056">
      <w:pPr>
        <w:pStyle w:val="Ttulo3"/>
        <w:spacing w:before="200" w:after="100"/>
      </w:pPr>
      <w:r>
        <w:rPr>
          <w:b/>
          <w:bCs/>
          <w:i/>
          <w:iCs/>
          <w:color w:val="8B6F1F"/>
          <w:sz w:val="22"/>
          <w:szCs w:val="22"/>
        </w:rPr>
        <w:t>3.4. Código Penal (Ley 151/2022)</w:t>
      </w:r>
    </w:p>
    <w:p w14:paraId="04C45D53" w14:textId="77777777" w:rsidR="003D748E" w:rsidRDefault="00DF2056">
      <w:pPr>
        <w:spacing w:after="160" w:line="276" w:lineRule="auto"/>
        <w:jc w:val="both"/>
      </w:pPr>
      <w:r>
        <w:rPr>
          <w:szCs w:val="21"/>
        </w:rPr>
        <w:t xml:space="preserve">El análisis dogmático debe examinar la eventual subsunción de conductas de violencia obstétrica en tipos penales existentes: lesiones, coacción, omisión del deber de socorro. El ejercicio central es demostrar, mediante el método de la tipicidad estricta, por qué ninguno de estos tipos captura de forma satisfactoria el desvalor específico de la violencia obstétrica —particularmente en sus manifestaciones no físicas—, lo que fundamenta la discusión de </w:t>
      </w:r>
      <w:proofErr w:type="spellStart"/>
      <w:r>
        <w:rPr>
          <w:szCs w:val="21"/>
        </w:rPr>
        <w:t>lege</w:t>
      </w:r>
      <w:proofErr w:type="spellEnd"/>
      <w:r>
        <w:rPr>
          <w:szCs w:val="21"/>
        </w:rPr>
        <w:t xml:space="preserve"> </w:t>
      </w:r>
      <w:proofErr w:type="spellStart"/>
      <w:r>
        <w:rPr>
          <w:szCs w:val="21"/>
        </w:rPr>
        <w:t>ferenda</w:t>
      </w:r>
      <w:proofErr w:type="spellEnd"/>
      <w:r>
        <w:rPr>
          <w:szCs w:val="21"/>
        </w:rPr>
        <w:t>.</w:t>
      </w:r>
    </w:p>
    <w:p w14:paraId="1C3A8C74" w14:textId="77777777" w:rsidR="003D748E" w:rsidRDefault="00DF2056">
      <w:pPr>
        <w:pStyle w:val="Ttulo3"/>
        <w:spacing w:before="200" w:after="100"/>
      </w:pPr>
      <w:r>
        <w:rPr>
          <w:b/>
          <w:bCs/>
          <w:i/>
          <w:iCs/>
          <w:color w:val="8B6F1F"/>
          <w:sz w:val="22"/>
          <w:szCs w:val="22"/>
        </w:rPr>
        <w:t>3.5. Responsabilidad administrativa y disciplinaria</w:t>
      </w:r>
    </w:p>
    <w:p w14:paraId="18815272" w14:textId="77777777" w:rsidR="003D748E" w:rsidRDefault="00DF2056">
      <w:pPr>
        <w:spacing w:after="160" w:line="276" w:lineRule="auto"/>
        <w:jc w:val="both"/>
      </w:pPr>
      <w:r>
        <w:rPr>
          <w:szCs w:val="21"/>
        </w:rPr>
        <w:lastRenderedPageBreak/>
        <w:t>El régimen de quejas ante direcciones municipales y provinciales de salud, y los reglamentos disciplinarios internos del MINSAP, constituyen la vía de exigibilidad más accesible en la práctica, aunque con limitaciones evidentes en materia de reparación integral.</w:t>
      </w:r>
    </w:p>
    <w:p w14:paraId="6D535F57"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4D9DE7F7" w14:textId="77777777">
        <w:trPr>
          <w:tblHeader/>
        </w:trPr>
        <w:tc>
          <w:tcPr>
            <w:tcW w:w="2600" w:type="dxa"/>
            <w:shd w:val="clear" w:color="auto" w:fill="1F3864"/>
            <w:tcMar>
              <w:top w:w="80" w:type="dxa"/>
              <w:left w:w="100" w:type="dxa"/>
              <w:bottom w:w="80" w:type="dxa"/>
              <w:right w:w="100" w:type="dxa"/>
            </w:tcMar>
            <w:vAlign w:val="center"/>
          </w:tcPr>
          <w:p w14:paraId="6F00AA69"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1E4A0313" w14:textId="77777777" w:rsidR="003D748E" w:rsidRDefault="00DF2056">
            <w:pPr>
              <w:jc w:val="center"/>
            </w:pPr>
            <w:r>
              <w:rPr>
                <w:b/>
                <w:bCs/>
                <w:color w:val="FFFFFF"/>
                <w:sz w:val="19"/>
                <w:szCs w:val="19"/>
              </w:rPr>
              <w:t>Definición operativa</w:t>
            </w:r>
          </w:p>
        </w:tc>
      </w:tr>
      <w:tr w:rsidR="003D748E" w14:paraId="1D5BB796" w14:textId="77777777">
        <w:tc>
          <w:tcPr>
            <w:tcW w:w="2600" w:type="dxa"/>
            <w:shd w:val="clear" w:color="auto" w:fill="F5F5F5"/>
            <w:tcMar>
              <w:top w:w="80" w:type="dxa"/>
              <w:left w:w="100" w:type="dxa"/>
              <w:bottom w:w="80" w:type="dxa"/>
              <w:right w:w="100" w:type="dxa"/>
            </w:tcMar>
            <w:vAlign w:val="center"/>
          </w:tcPr>
          <w:p w14:paraId="447FDB6C" w14:textId="77777777" w:rsidR="003D748E" w:rsidRDefault="00DF2056">
            <w:r>
              <w:rPr>
                <w:color w:val="000000"/>
                <w:sz w:val="19"/>
                <w:szCs w:val="19"/>
              </w:rPr>
              <w:t>Autonomía progresiva</w:t>
            </w:r>
          </w:p>
        </w:tc>
        <w:tc>
          <w:tcPr>
            <w:tcW w:w="7200" w:type="dxa"/>
            <w:shd w:val="clear" w:color="auto" w:fill="F5F5F5"/>
            <w:tcMar>
              <w:top w:w="80" w:type="dxa"/>
              <w:left w:w="100" w:type="dxa"/>
              <w:bottom w:w="80" w:type="dxa"/>
              <w:right w:w="100" w:type="dxa"/>
            </w:tcMar>
            <w:vAlign w:val="center"/>
          </w:tcPr>
          <w:p w14:paraId="79BDB5B3" w14:textId="77777777" w:rsidR="003D748E" w:rsidRDefault="00DF2056">
            <w:r>
              <w:rPr>
                <w:color w:val="000000"/>
                <w:sz w:val="19"/>
                <w:szCs w:val="19"/>
              </w:rPr>
              <w:t>Principio recogido en el Código de las Familias cubano según el cual la capacidad de la persona para tomar decisiones sobre sí misma se ejerce de manera gradual y contextual, atendiendo a su madurez y circunstancias, sin sustitución arbitraria de su voluntad.</w:t>
            </w:r>
          </w:p>
        </w:tc>
      </w:tr>
      <w:tr w:rsidR="003D748E" w14:paraId="3B1E3199" w14:textId="77777777">
        <w:tc>
          <w:tcPr>
            <w:tcW w:w="2600" w:type="dxa"/>
            <w:shd w:val="clear" w:color="auto" w:fill="FFFFFF"/>
            <w:tcMar>
              <w:top w:w="80" w:type="dxa"/>
              <w:left w:w="100" w:type="dxa"/>
              <w:bottom w:w="80" w:type="dxa"/>
              <w:right w:w="100" w:type="dxa"/>
            </w:tcMar>
            <w:vAlign w:val="center"/>
          </w:tcPr>
          <w:p w14:paraId="608A36E8" w14:textId="77777777" w:rsidR="003D748E" w:rsidRDefault="00DF2056">
            <w:r>
              <w:rPr>
                <w:color w:val="000000"/>
                <w:sz w:val="19"/>
                <w:szCs w:val="19"/>
              </w:rPr>
              <w:t>Tipicidad</w:t>
            </w:r>
          </w:p>
        </w:tc>
        <w:tc>
          <w:tcPr>
            <w:tcW w:w="7200" w:type="dxa"/>
            <w:shd w:val="clear" w:color="auto" w:fill="FFFFFF"/>
            <w:tcMar>
              <w:top w:w="80" w:type="dxa"/>
              <w:left w:w="100" w:type="dxa"/>
              <w:bottom w:w="80" w:type="dxa"/>
              <w:right w:w="100" w:type="dxa"/>
            </w:tcMar>
            <w:vAlign w:val="center"/>
          </w:tcPr>
          <w:p w14:paraId="66CE91C7" w14:textId="77777777" w:rsidR="003D748E" w:rsidRDefault="00DF2056">
            <w:r>
              <w:rPr>
                <w:color w:val="000000"/>
                <w:sz w:val="19"/>
                <w:szCs w:val="19"/>
              </w:rPr>
              <w:t xml:space="preserve">Correspondencia exacta entre una conducta y la descripción contenida en un tipo penal; principio de legalidad que impide la aplicación analógica in </w:t>
            </w:r>
            <w:proofErr w:type="spellStart"/>
            <w:r>
              <w:rPr>
                <w:color w:val="000000"/>
                <w:sz w:val="19"/>
                <w:szCs w:val="19"/>
              </w:rPr>
              <w:t>malam</w:t>
            </w:r>
            <w:proofErr w:type="spellEnd"/>
            <w:r>
              <w:rPr>
                <w:color w:val="000000"/>
                <w:sz w:val="19"/>
                <w:szCs w:val="19"/>
              </w:rPr>
              <w:t xml:space="preserve"> </w:t>
            </w:r>
            <w:proofErr w:type="spellStart"/>
            <w:r>
              <w:rPr>
                <w:color w:val="000000"/>
                <w:sz w:val="19"/>
                <w:szCs w:val="19"/>
              </w:rPr>
              <w:t>partem</w:t>
            </w:r>
            <w:proofErr w:type="spellEnd"/>
            <w:r>
              <w:rPr>
                <w:color w:val="000000"/>
                <w:sz w:val="19"/>
                <w:szCs w:val="19"/>
              </w:rPr>
              <w:t xml:space="preserve"> en Derecho Penal.</w:t>
            </w:r>
          </w:p>
        </w:tc>
      </w:tr>
      <w:tr w:rsidR="003D748E" w14:paraId="58A76FED" w14:textId="77777777">
        <w:tc>
          <w:tcPr>
            <w:tcW w:w="2600" w:type="dxa"/>
            <w:shd w:val="clear" w:color="auto" w:fill="F5F5F5"/>
            <w:tcMar>
              <w:top w:w="80" w:type="dxa"/>
              <w:left w:w="100" w:type="dxa"/>
              <w:bottom w:w="80" w:type="dxa"/>
              <w:right w:w="100" w:type="dxa"/>
            </w:tcMar>
            <w:vAlign w:val="center"/>
          </w:tcPr>
          <w:p w14:paraId="018F23B2" w14:textId="77777777" w:rsidR="003D748E" w:rsidRDefault="00DF2056">
            <w:proofErr w:type="spellStart"/>
            <w:r>
              <w:rPr>
                <w:color w:val="000000"/>
                <w:sz w:val="19"/>
                <w:szCs w:val="19"/>
              </w:rPr>
              <w:t>Lege</w:t>
            </w:r>
            <w:proofErr w:type="spellEnd"/>
            <w:r>
              <w:rPr>
                <w:color w:val="000000"/>
                <w:sz w:val="19"/>
                <w:szCs w:val="19"/>
              </w:rPr>
              <w:t xml:space="preserve"> </w:t>
            </w:r>
            <w:proofErr w:type="spellStart"/>
            <w:r>
              <w:rPr>
                <w:color w:val="000000"/>
                <w:sz w:val="19"/>
                <w:szCs w:val="19"/>
              </w:rPr>
              <w:t>ferenda</w:t>
            </w:r>
            <w:proofErr w:type="spellEnd"/>
          </w:p>
        </w:tc>
        <w:tc>
          <w:tcPr>
            <w:tcW w:w="7200" w:type="dxa"/>
            <w:shd w:val="clear" w:color="auto" w:fill="F5F5F5"/>
            <w:tcMar>
              <w:top w:w="80" w:type="dxa"/>
              <w:left w:w="100" w:type="dxa"/>
              <w:bottom w:w="80" w:type="dxa"/>
              <w:right w:w="100" w:type="dxa"/>
            </w:tcMar>
            <w:vAlign w:val="center"/>
          </w:tcPr>
          <w:p w14:paraId="4FD07114" w14:textId="77777777" w:rsidR="003D748E" w:rsidRDefault="00DF2056">
            <w:r>
              <w:rPr>
                <w:color w:val="000000"/>
                <w:sz w:val="19"/>
                <w:szCs w:val="19"/>
              </w:rPr>
              <w:t xml:space="preserve">Expresión latina empleada para referirse al derecho que debería existir (propuesta normativa), en contraposición a </w:t>
            </w:r>
            <w:proofErr w:type="spellStart"/>
            <w:r>
              <w:rPr>
                <w:color w:val="000000"/>
                <w:sz w:val="19"/>
                <w:szCs w:val="19"/>
              </w:rPr>
              <w:t>lege</w:t>
            </w:r>
            <w:proofErr w:type="spellEnd"/>
            <w:r>
              <w:rPr>
                <w:color w:val="000000"/>
                <w:sz w:val="19"/>
                <w:szCs w:val="19"/>
              </w:rPr>
              <w:t xml:space="preserve"> lata (el derecho vigente).</w:t>
            </w:r>
          </w:p>
        </w:tc>
      </w:tr>
      <w:tr w:rsidR="003D748E" w14:paraId="50B962F7" w14:textId="77777777">
        <w:tc>
          <w:tcPr>
            <w:tcW w:w="2600" w:type="dxa"/>
            <w:shd w:val="clear" w:color="auto" w:fill="FFFFFF"/>
            <w:tcMar>
              <w:top w:w="80" w:type="dxa"/>
              <w:left w:w="100" w:type="dxa"/>
              <w:bottom w:w="80" w:type="dxa"/>
              <w:right w:w="100" w:type="dxa"/>
            </w:tcMar>
            <w:vAlign w:val="center"/>
          </w:tcPr>
          <w:p w14:paraId="7D111AA9" w14:textId="77777777" w:rsidR="003D748E" w:rsidRDefault="00DF2056">
            <w:r>
              <w:rPr>
                <w:color w:val="000000"/>
                <w:sz w:val="19"/>
                <w:szCs w:val="19"/>
              </w:rPr>
              <w:t>Historia clínica</w:t>
            </w:r>
          </w:p>
        </w:tc>
        <w:tc>
          <w:tcPr>
            <w:tcW w:w="7200" w:type="dxa"/>
            <w:shd w:val="clear" w:color="auto" w:fill="FFFFFF"/>
            <w:tcMar>
              <w:top w:w="80" w:type="dxa"/>
              <w:left w:w="100" w:type="dxa"/>
              <w:bottom w:w="80" w:type="dxa"/>
              <w:right w:w="100" w:type="dxa"/>
            </w:tcMar>
            <w:vAlign w:val="center"/>
          </w:tcPr>
          <w:p w14:paraId="06E47EBD" w14:textId="77777777" w:rsidR="003D748E" w:rsidRDefault="00DF2056">
            <w:r>
              <w:rPr>
                <w:color w:val="000000"/>
                <w:sz w:val="19"/>
                <w:szCs w:val="19"/>
              </w:rPr>
              <w:t>Documento médico-legal que registra el proceso asistencial del paciente; instrumento probatorio de primer orden en la acreditación de vulneraciones al consentimiento informado.</w:t>
            </w:r>
          </w:p>
        </w:tc>
      </w:tr>
      <w:tr w:rsidR="003D748E" w14:paraId="5CF1CF19" w14:textId="77777777">
        <w:tc>
          <w:tcPr>
            <w:tcW w:w="2600" w:type="dxa"/>
            <w:shd w:val="clear" w:color="auto" w:fill="F5F5F5"/>
            <w:tcMar>
              <w:top w:w="80" w:type="dxa"/>
              <w:left w:w="100" w:type="dxa"/>
              <w:bottom w:w="80" w:type="dxa"/>
              <w:right w:w="100" w:type="dxa"/>
            </w:tcMar>
            <w:vAlign w:val="center"/>
          </w:tcPr>
          <w:p w14:paraId="6AA1E164" w14:textId="77777777" w:rsidR="003D748E" w:rsidRDefault="00DF2056">
            <w:r>
              <w:rPr>
                <w:color w:val="000000"/>
                <w:sz w:val="19"/>
                <w:szCs w:val="19"/>
              </w:rPr>
              <w:t>Vía administrativa de reclamación</w:t>
            </w:r>
          </w:p>
        </w:tc>
        <w:tc>
          <w:tcPr>
            <w:tcW w:w="7200" w:type="dxa"/>
            <w:shd w:val="clear" w:color="auto" w:fill="F5F5F5"/>
            <w:tcMar>
              <w:top w:w="80" w:type="dxa"/>
              <w:left w:w="100" w:type="dxa"/>
              <w:bottom w:w="80" w:type="dxa"/>
              <w:right w:w="100" w:type="dxa"/>
            </w:tcMar>
            <w:vAlign w:val="center"/>
          </w:tcPr>
          <w:p w14:paraId="38D634F8" w14:textId="77777777" w:rsidR="003D748E" w:rsidRDefault="00DF2056">
            <w:r>
              <w:rPr>
                <w:color w:val="000000"/>
                <w:sz w:val="19"/>
                <w:szCs w:val="19"/>
              </w:rPr>
              <w:t>Mecanismo interno, previo o alternativo a la vía judicial, mediante el cual el paciente puede formular quejas ante las estructuras de dirección del sistema de salud pública cubano.</w:t>
            </w:r>
          </w:p>
        </w:tc>
      </w:tr>
    </w:tbl>
    <w:p w14:paraId="30011071" w14:textId="77777777" w:rsidR="003D748E" w:rsidRDefault="00DF2056">
      <w:pPr>
        <w:pStyle w:val="Ttulo2"/>
        <w:spacing w:before="300" w:after="150"/>
      </w:pPr>
      <w:r>
        <w:rPr>
          <w:b/>
          <w:bCs/>
          <w:color w:val="1F3864"/>
          <w:sz w:val="25"/>
          <w:szCs w:val="25"/>
        </w:rPr>
        <w:t>3. Tabla comparativa: vías normativas cubanas disponibles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2600"/>
        <w:gridCol w:w="2700"/>
      </w:tblGrid>
      <w:tr w:rsidR="003D748E" w14:paraId="1122A06F" w14:textId="77777777">
        <w:trPr>
          <w:tblHeader/>
        </w:trPr>
        <w:tc>
          <w:tcPr>
            <w:tcW w:w="1600" w:type="dxa"/>
            <w:shd w:val="clear" w:color="auto" w:fill="1F3864"/>
            <w:tcMar>
              <w:top w:w="80" w:type="dxa"/>
              <w:left w:w="100" w:type="dxa"/>
              <w:bottom w:w="80" w:type="dxa"/>
              <w:right w:w="100" w:type="dxa"/>
            </w:tcMar>
            <w:vAlign w:val="center"/>
          </w:tcPr>
          <w:p w14:paraId="0560259C" w14:textId="77777777" w:rsidR="003D748E" w:rsidRDefault="00DF2056">
            <w:pPr>
              <w:jc w:val="center"/>
            </w:pPr>
            <w:r>
              <w:rPr>
                <w:b/>
                <w:bCs/>
                <w:color w:val="FFFFFF"/>
                <w:sz w:val="19"/>
                <w:szCs w:val="19"/>
              </w:rPr>
              <w:t>Vía</w:t>
            </w:r>
          </w:p>
        </w:tc>
        <w:tc>
          <w:tcPr>
            <w:tcW w:w="2500" w:type="dxa"/>
            <w:shd w:val="clear" w:color="auto" w:fill="1F3864"/>
            <w:tcMar>
              <w:top w:w="80" w:type="dxa"/>
              <w:left w:w="100" w:type="dxa"/>
              <w:bottom w:w="80" w:type="dxa"/>
              <w:right w:w="100" w:type="dxa"/>
            </w:tcMar>
            <w:vAlign w:val="center"/>
          </w:tcPr>
          <w:p w14:paraId="2F8109B0" w14:textId="77777777" w:rsidR="003D748E" w:rsidRDefault="00DF2056">
            <w:pPr>
              <w:jc w:val="center"/>
            </w:pPr>
            <w:r>
              <w:rPr>
                <w:b/>
                <w:bCs/>
                <w:color w:val="FFFFFF"/>
                <w:sz w:val="19"/>
                <w:szCs w:val="19"/>
              </w:rPr>
              <w:t>Norma base</w:t>
            </w:r>
          </w:p>
        </w:tc>
        <w:tc>
          <w:tcPr>
            <w:tcW w:w="2600" w:type="dxa"/>
            <w:shd w:val="clear" w:color="auto" w:fill="1F3864"/>
            <w:tcMar>
              <w:top w:w="80" w:type="dxa"/>
              <w:left w:w="100" w:type="dxa"/>
              <w:bottom w:w="80" w:type="dxa"/>
              <w:right w:w="100" w:type="dxa"/>
            </w:tcMar>
            <w:vAlign w:val="center"/>
          </w:tcPr>
          <w:p w14:paraId="6A49DA56" w14:textId="77777777" w:rsidR="003D748E" w:rsidRDefault="00DF2056">
            <w:pPr>
              <w:jc w:val="center"/>
            </w:pPr>
            <w:r>
              <w:rPr>
                <w:b/>
                <w:bCs/>
                <w:color w:val="FFFFFF"/>
                <w:sz w:val="19"/>
                <w:szCs w:val="19"/>
              </w:rPr>
              <w:t>Alcance</w:t>
            </w:r>
          </w:p>
        </w:tc>
        <w:tc>
          <w:tcPr>
            <w:tcW w:w="2700" w:type="dxa"/>
            <w:shd w:val="clear" w:color="auto" w:fill="1F3864"/>
            <w:tcMar>
              <w:top w:w="80" w:type="dxa"/>
              <w:left w:w="100" w:type="dxa"/>
              <w:bottom w:w="80" w:type="dxa"/>
              <w:right w:w="100" w:type="dxa"/>
            </w:tcMar>
            <w:vAlign w:val="center"/>
          </w:tcPr>
          <w:p w14:paraId="434B7C55" w14:textId="77777777" w:rsidR="003D748E" w:rsidRDefault="00DF2056">
            <w:pPr>
              <w:jc w:val="center"/>
            </w:pPr>
            <w:r>
              <w:rPr>
                <w:b/>
                <w:bCs/>
                <w:color w:val="FFFFFF"/>
                <w:sz w:val="19"/>
                <w:szCs w:val="19"/>
              </w:rPr>
              <w:t>Límite principal</w:t>
            </w:r>
          </w:p>
        </w:tc>
      </w:tr>
      <w:tr w:rsidR="003D748E" w14:paraId="58B07D5D" w14:textId="77777777">
        <w:tc>
          <w:tcPr>
            <w:tcW w:w="1600" w:type="dxa"/>
            <w:shd w:val="clear" w:color="auto" w:fill="F5F5F5"/>
            <w:tcMar>
              <w:top w:w="80" w:type="dxa"/>
              <w:left w:w="100" w:type="dxa"/>
              <w:bottom w:w="80" w:type="dxa"/>
              <w:right w:w="100" w:type="dxa"/>
            </w:tcMar>
            <w:vAlign w:val="center"/>
          </w:tcPr>
          <w:p w14:paraId="6FE3B084" w14:textId="77777777" w:rsidR="003D748E" w:rsidRDefault="00DF2056">
            <w:r>
              <w:rPr>
                <w:color w:val="000000"/>
                <w:sz w:val="19"/>
                <w:szCs w:val="19"/>
              </w:rPr>
              <w:t>Constitucional</w:t>
            </w:r>
          </w:p>
        </w:tc>
        <w:tc>
          <w:tcPr>
            <w:tcW w:w="2500" w:type="dxa"/>
            <w:shd w:val="clear" w:color="auto" w:fill="F5F5F5"/>
            <w:tcMar>
              <w:top w:w="80" w:type="dxa"/>
              <w:left w:w="100" w:type="dxa"/>
              <w:bottom w:w="80" w:type="dxa"/>
              <w:right w:w="100" w:type="dxa"/>
            </w:tcMar>
            <w:vAlign w:val="center"/>
          </w:tcPr>
          <w:p w14:paraId="51E62FB4" w14:textId="77777777" w:rsidR="003D748E" w:rsidRDefault="00DF2056">
            <w:r>
              <w:rPr>
                <w:color w:val="000000"/>
                <w:sz w:val="19"/>
                <w:szCs w:val="19"/>
              </w:rPr>
              <w:t>Arts. 40, 42, 44, 46, 72 CRC (2019)</w:t>
            </w:r>
          </w:p>
        </w:tc>
        <w:tc>
          <w:tcPr>
            <w:tcW w:w="2600" w:type="dxa"/>
            <w:shd w:val="clear" w:color="auto" w:fill="F5F5F5"/>
            <w:tcMar>
              <w:top w:w="80" w:type="dxa"/>
              <w:left w:w="100" w:type="dxa"/>
              <w:bottom w:w="80" w:type="dxa"/>
              <w:right w:w="100" w:type="dxa"/>
            </w:tcMar>
            <w:vAlign w:val="center"/>
          </w:tcPr>
          <w:p w14:paraId="4278AA1B" w14:textId="77777777" w:rsidR="003D748E" w:rsidRDefault="00DF2056">
            <w:r>
              <w:rPr>
                <w:color w:val="000000"/>
                <w:sz w:val="19"/>
                <w:szCs w:val="19"/>
              </w:rPr>
              <w:t xml:space="preserve">Fundamento </w:t>
            </w:r>
            <w:proofErr w:type="spellStart"/>
            <w:r>
              <w:rPr>
                <w:color w:val="000000"/>
                <w:sz w:val="19"/>
                <w:szCs w:val="19"/>
              </w:rPr>
              <w:t>principialista</w:t>
            </w:r>
            <w:proofErr w:type="spellEnd"/>
            <w:r>
              <w:rPr>
                <w:color w:val="000000"/>
                <w:sz w:val="19"/>
                <w:szCs w:val="19"/>
              </w:rPr>
              <w:t xml:space="preserve">, </w:t>
            </w:r>
            <w:proofErr w:type="spellStart"/>
            <w:r>
              <w:rPr>
                <w:color w:val="000000"/>
                <w:sz w:val="19"/>
                <w:szCs w:val="19"/>
              </w:rPr>
              <w:t>invocable</w:t>
            </w:r>
            <w:proofErr w:type="spellEnd"/>
            <w:r>
              <w:rPr>
                <w:color w:val="000000"/>
                <w:sz w:val="19"/>
                <w:szCs w:val="19"/>
              </w:rPr>
              <w:t xml:space="preserve"> en control de constitucionalidad</w:t>
            </w:r>
          </w:p>
        </w:tc>
        <w:tc>
          <w:tcPr>
            <w:tcW w:w="2700" w:type="dxa"/>
            <w:shd w:val="clear" w:color="auto" w:fill="F5F5F5"/>
            <w:tcMar>
              <w:top w:w="80" w:type="dxa"/>
              <w:left w:w="100" w:type="dxa"/>
              <w:bottom w:w="80" w:type="dxa"/>
              <w:right w:w="100" w:type="dxa"/>
            </w:tcMar>
            <w:vAlign w:val="center"/>
          </w:tcPr>
          <w:p w14:paraId="3354080A" w14:textId="77777777" w:rsidR="003D748E" w:rsidRDefault="00DF2056">
            <w:r>
              <w:rPr>
                <w:color w:val="000000"/>
                <w:sz w:val="19"/>
                <w:szCs w:val="19"/>
              </w:rPr>
              <w:t>Carácter programático; ausencia de acción constitucional autónoma específica</w:t>
            </w:r>
          </w:p>
        </w:tc>
      </w:tr>
      <w:tr w:rsidR="003D748E" w14:paraId="686E02A3" w14:textId="77777777">
        <w:tc>
          <w:tcPr>
            <w:tcW w:w="1600" w:type="dxa"/>
            <w:shd w:val="clear" w:color="auto" w:fill="FFFFFF"/>
            <w:tcMar>
              <w:top w:w="80" w:type="dxa"/>
              <w:left w:w="100" w:type="dxa"/>
              <w:bottom w:w="80" w:type="dxa"/>
              <w:right w:w="100" w:type="dxa"/>
            </w:tcMar>
            <w:vAlign w:val="center"/>
          </w:tcPr>
          <w:p w14:paraId="22AF10CA" w14:textId="77777777" w:rsidR="003D748E" w:rsidRDefault="00DF2056">
            <w:r>
              <w:rPr>
                <w:color w:val="000000"/>
                <w:sz w:val="19"/>
                <w:szCs w:val="19"/>
              </w:rPr>
              <w:t>Familiar</w:t>
            </w:r>
          </w:p>
        </w:tc>
        <w:tc>
          <w:tcPr>
            <w:tcW w:w="2500" w:type="dxa"/>
            <w:shd w:val="clear" w:color="auto" w:fill="FFFFFF"/>
            <w:tcMar>
              <w:top w:w="80" w:type="dxa"/>
              <w:left w:w="100" w:type="dxa"/>
              <w:bottom w:w="80" w:type="dxa"/>
              <w:right w:w="100" w:type="dxa"/>
            </w:tcMar>
            <w:vAlign w:val="center"/>
          </w:tcPr>
          <w:p w14:paraId="74593FD7" w14:textId="77777777" w:rsidR="003D748E" w:rsidRDefault="00DF2056">
            <w:r>
              <w:rPr>
                <w:color w:val="000000"/>
                <w:sz w:val="19"/>
                <w:szCs w:val="19"/>
              </w:rPr>
              <w:t>Ley 156/2022, principio de autonomía progresiva</w:t>
            </w:r>
          </w:p>
        </w:tc>
        <w:tc>
          <w:tcPr>
            <w:tcW w:w="2600" w:type="dxa"/>
            <w:shd w:val="clear" w:color="auto" w:fill="FFFFFF"/>
            <w:tcMar>
              <w:top w:w="80" w:type="dxa"/>
              <w:left w:w="100" w:type="dxa"/>
              <w:bottom w:w="80" w:type="dxa"/>
              <w:right w:w="100" w:type="dxa"/>
            </w:tcMar>
            <w:vAlign w:val="center"/>
          </w:tcPr>
          <w:p w14:paraId="15BEB094" w14:textId="77777777" w:rsidR="003D748E" w:rsidRDefault="00DF2056">
            <w:r>
              <w:rPr>
                <w:color w:val="000000"/>
                <w:sz w:val="19"/>
                <w:szCs w:val="19"/>
              </w:rPr>
              <w:t>Fundamento indirecto de la autonomía reproductiva</w:t>
            </w:r>
          </w:p>
        </w:tc>
        <w:tc>
          <w:tcPr>
            <w:tcW w:w="2700" w:type="dxa"/>
            <w:shd w:val="clear" w:color="auto" w:fill="FFFFFF"/>
            <w:tcMar>
              <w:top w:w="80" w:type="dxa"/>
              <w:left w:w="100" w:type="dxa"/>
              <w:bottom w:w="80" w:type="dxa"/>
              <w:right w:w="100" w:type="dxa"/>
            </w:tcMar>
            <w:vAlign w:val="center"/>
          </w:tcPr>
          <w:p w14:paraId="595DA9EE" w14:textId="77777777" w:rsidR="003D748E" w:rsidRDefault="00DF2056">
            <w:r>
              <w:rPr>
                <w:color w:val="000000"/>
                <w:sz w:val="19"/>
                <w:szCs w:val="19"/>
              </w:rPr>
              <w:t>No regula directamente la atención obstétrica</w:t>
            </w:r>
          </w:p>
        </w:tc>
      </w:tr>
      <w:tr w:rsidR="003D748E" w14:paraId="3165A468" w14:textId="77777777">
        <w:tc>
          <w:tcPr>
            <w:tcW w:w="1600" w:type="dxa"/>
            <w:shd w:val="clear" w:color="auto" w:fill="F5F5F5"/>
            <w:tcMar>
              <w:top w:w="80" w:type="dxa"/>
              <w:left w:w="100" w:type="dxa"/>
              <w:bottom w:w="80" w:type="dxa"/>
              <w:right w:w="100" w:type="dxa"/>
            </w:tcMar>
            <w:vAlign w:val="center"/>
          </w:tcPr>
          <w:p w14:paraId="52421EBF" w14:textId="77777777" w:rsidR="003D748E" w:rsidRDefault="00DF2056">
            <w:r>
              <w:rPr>
                <w:color w:val="000000"/>
                <w:sz w:val="19"/>
                <w:szCs w:val="19"/>
              </w:rPr>
              <w:t>Sanitaria</w:t>
            </w:r>
          </w:p>
        </w:tc>
        <w:tc>
          <w:tcPr>
            <w:tcW w:w="2500" w:type="dxa"/>
            <w:shd w:val="clear" w:color="auto" w:fill="F5F5F5"/>
            <w:tcMar>
              <w:top w:w="80" w:type="dxa"/>
              <w:left w:w="100" w:type="dxa"/>
              <w:bottom w:w="80" w:type="dxa"/>
              <w:right w:w="100" w:type="dxa"/>
            </w:tcMar>
            <w:vAlign w:val="center"/>
          </w:tcPr>
          <w:p w14:paraId="3254D52F" w14:textId="77777777" w:rsidR="003D748E" w:rsidRDefault="00DF2056">
            <w:r>
              <w:rPr>
                <w:color w:val="000000"/>
                <w:sz w:val="19"/>
                <w:szCs w:val="19"/>
              </w:rPr>
              <w:t>Ley 41 y Reglamento (Decreto 139)</w:t>
            </w:r>
          </w:p>
        </w:tc>
        <w:tc>
          <w:tcPr>
            <w:tcW w:w="2600" w:type="dxa"/>
            <w:shd w:val="clear" w:color="auto" w:fill="F5F5F5"/>
            <w:tcMar>
              <w:top w:w="80" w:type="dxa"/>
              <w:left w:w="100" w:type="dxa"/>
              <w:bottom w:w="80" w:type="dxa"/>
              <w:right w:w="100" w:type="dxa"/>
            </w:tcMar>
            <w:vAlign w:val="center"/>
          </w:tcPr>
          <w:p w14:paraId="33B24028" w14:textId="77777777" w:rsidR="003D748E" w:rsidRDefault="00DF2056">
            <w:r>
              <w:rPr>
                <w:color w:val="000000"/>
                <w:sz w:val="19"/>
                <w:szCs w:val="19"/>
              </w:rPr>
              <w:t>Consentimiento informado, queja administrativa</w:t>
            </w:r>
          </w:p>
        </w:tc>
        <w:tc>
          <w:tcPr>
            <w:tcW w:w="2700" w:type="dxa"/>
            <w:shd w:val="clear" w:color="auto" w:fill="F5F5F5"/>
            <w:tcMar>
              <w:top w:w="80" w:type="dxa"/>
              <w:left w:w="100" w:type="dxa"/>
              <w:bottom w:w="80" w:type="dxa"/>
              <w:right w:w="100" w:type="dxa"/>
            </w:tcMar>
            <w:vAlign w:val="center"/>
          </w:tcPr>
          <w:p w14:paraId="48A35461" w14:textId="77777777" w:rsidR="003D748E" w:rsidRDefault="00DF2056">
            <w:r>
              <w:rPr>
                <w:color w:val="000000"/>
                <w:sz w:val="19"/>
                <w:szCs w:val="19"/>
              </w:rPr>
              <w:t>No incorpora enfoque de género ni tipifica violencia obstétrica</w:t>
            </w:r>
          </w:p>
        </w:tc>
      </w:tr>
      <w:tr w:rsidR="003D748E" w14:paraId="3236D76E" w14:textId="77777777">
        <w:tc>
          <w:tcPr>
            <w:tcW w:w="1600" w:type="dxa"/>
            <w:shd w:val="clear" w:color="auto" w:fill="FFFFFF"/>
            <w:tcMar>
              <w:top w:w="80" w:type="dxa"/>
              <w:left w:w="100" w:type="dxa"/>
              <w:bottom w:w="80" w:type="dxa"/>
              <w:right w:w="100" w:type="dxa"/>
            </w:tcMar>
            <w:vAlign w:val="center"/>
          </w:tcPr>
          <w:p w14:paraId="41320DCB" w14:textId="77777777" w:rsidR="003D748E" w:rsidRDefault="00DF2056">
            <w:r>
              <w:rPr>
                <w:color w:val="000000"/>
                <w:sz w:val="19"/>
                <w:szCs w:val="19"/>
              </w:rPr>
              <w:t>Penal</w:t>
            </w:r>
          </w:p>
        </w:tc>
        <w:tc>
          <w:tcPr>
            <w:tcW w:w="2500" w:type="dxa"/>
            <w:shd w:val="clear" w:color="auto" w:fill="FFFFFF"/>
            <w:tcMar>
              <w:top w:w="80" w:type="dxa"/>
              <w:left w:w="100" w:type="dxa"/>
              <w:bottom w:w="80" w:type="dxa"/>
              <w:right w:w="100" w:type="dxa"/>
            </w:tcMar>
            <w:vAlign w:val="center"/>
          </w:tcPr>
          <w:p w14:paraId="69AA2674" w14:textId="77777777" w:rsidR="003D748E" w:rsidRDefault="00DF2056">
            <w:r>
              <w:rPr>
                <w:color w:val="000000"/>
                <w:sz w:val="19"/>
                <w:szCs w:val="19"/>
              </w:rPr>
              <w:t>Ley 151/2022 (lesiones, coacción, omisión de socorro)</w:t>
            </w:r>
          </w:p>
        </w:tc>
        <w:tc>
          <w:tcPr>
            <w:tcW w:w="2600" w:type="dxa"/>
            <w:shd w:val="clear" w:color="auto" w:fill="FFFFFF"/>
            <w:tcMar>
              <w:top w:w="80" w:type="dxa"/>
              <w:left w:w="100" w:type="dxa"/>
              <w:bottom w:w="80" w:type="dxa"/>
              <w:right w:w="100" w:type="dxa"/>
            </w:tcMar>
            <w:vAlign w:val="center"/>
          </w:tcPr>
          <w:p w14:paraId="3FCB85E9" w14:textId="77777777" w:rsidR="003D748E" w:rsidRDefault="00DF2056">
            <w:r>
              <w:rPr>
                <w:color w:val="000000"/>
                <w:sz w:val="19"/>
                <w:szCs w:val="19"/>
              </w:rPr>
              <w:t>Sanción de manifestaciones físicas graves</w:t>
            </w:r>
          </w:p>
        </w:tc>
        <w:tc>
          <w:tcPr>
            <w:tcW w:w="2700" w:type="dxa"/>
            <w:shd w:val="clear" w:color="auto" w:fill="FFFFFF"/>
            <w:tcMar>
              <w:top w:w="80" w:type="dxa"/>
              <w:left w:w="100" w:type="dxa"/>
              <w:bottom w:w="80" w:type="dxa"/>
              <w:right w:w="100" w:type="dxa"/>
            </w:tcMar>
            <w:vAlign w:val="center"/>
          </w:tcPr>
          <w:p w14:paraId="3080E41E" w14:textId="77777777" w:rsidR="003D748E" w:rsidRDefault="00DF2056">
            <w:r>
              <w:rPr>
                <w:color w:val="000000"/>
                <w:sz w:val="19"/>
                <w:szCs w:val="19"/>
              </w:rPr>
              <w:t>Atipicidad de manifestaciones psicológicas y de trato deshumanizado</w:t>
            </w:r>
          </w:p>
        </w:tc>
      </w:tr>
      <w:tr w:rsidR="003D748E" w14:paraId="7361C2BB" w14:textId="77777777">
        <w:tc>
          <w:tcPr>
            <w:tcW w:w="1600" w:type="dxa"/>
            <w:shd w:val="clear" w:color="auto" w:fill="F5F5F5"/>
            <w:tcMar>
              <w:top w:w="80" w:type="dxa"/>
              <w:left w:w="100" w:type="dxa"/>
              <w:bottom w:w="80" w:type="dxa"/>
              <w:right w:w="100" w:type="dxa"/>
            </w:tcMar>
            <w:vAlign w:val="center"/>
          </w:tcPr>
          <w:p w14:paraId="3D925AF0" w14:textId="77777777" w:rsidR="003D748E" w:rsidRDefault="00DF2056">
            <w:r>
              <w:rPr>
                <w:color w:val="000000"/>
                <w:sz w:val="19"/>
                <w:szCs w:val="19"/>
              </w:rPr>
              <w:t>Civil</w:t>
            </w:r>
          </w:p>
        </w:tc>
        <w:tc>
          <w:tcPr>
            <w:tcW w:w="2500" w:type="dxa"/>
            <w:shd w:val="clear" w:color="auto" w:fill="F5F5F5"/>
            <w:tcMar>
              <w:top w:w="80" w:type="dxa"/>
              <w:left w:w="100" w:type="dxa"/>
              <w:bottom w:w="80" w:type="dxa"/>
              <w:right w:w="100" w:type="dxa"/>
            </w:tcMar>
            <w:vAlign w:val="center"/>
          </w:tcPr>
          <w:p w14:paraId="71942A23" w14:textId="77777777" w:rsidR="003D748E" w:rsidRDefault="00DF2056">
            <w:r>
              <w:rPr>
                <w:color w:val="000000"/>
                <w:sz w:val="19"/>
                <w:szCs w:val="19"/>
              </w:rPr>
              <w:t>Responsabilidad civil general</w:t>
            </w:r>
          </w:p>
        </w:tc>
        <w:tc>
          <w:tcPr>
            <w:tcW w:w="2600" w:type="dxa"/>
            <w:shd w:val="clear" w:color="auto" w:fill="F5F5F5"/>
            <w:tcMar>
              <w:top w:w="80" w:type="dxa"/>
              <w:left w:w="100" w:type="dxa"/>
              <w:bottom w:w="80" w:type="dxa"/>
              <w:right w:w="100" w:type="dxa"/>
            </w:tcMar>
            <w:vAlign w:val="center"/>
          </w:tcPr>
          <w:p w14:paraId="2B21CEBC" w14:textId="77777777" w:rsidR="003D748E" w:rsidRDefault="00DF2056">
            <w:r>
              <w:rPr>
                <w:color w:val="000000"/>
                <w:sz w:val="19"/>
                <w:szCs w:val="19"/>
              </w:rPr>
              <w:t>Reparación patrimonial del daño</w:t>
            </w:r>
          </w:p>
        </w:tc>
        <w:tc>
          <w:tcPr>
            <w:tcW w:w="2700" w:type="dxa"/>
            <w:shd w:val="clear" w:color="auto" w:fill="F5F5F5"/>
            <w:tcMar>
              <w:top w:w="80" w:type="dxa"/>
              <w:left w:w="100" w:type="dxa"/>
              <w:bottom w:w="80" w:type="dxa"/>
              <w:right w:w="100" w:type="dxa"/>
            </w:tcMar>
            <w:vAlign w:val="center"/>
          </w:tcPr>
          <w:p w14:paraId="71B2E605" w14:textId="77777777" w:rsidR="003D748E" w:rsidRDefault="00DF2056">
            <w:r>
              <w:rPr>
                <w:color w:val="000000"/>
                <w:sz w:val="19"/>
                <w:szCs w:val="19"/>
              </w:rPr>
              <w:t>Ausencia de categoría autónoma de daño por violencia obstétrica (se desarrolla en Tema IV)</w:t>
            </w:r>
          </w:p>
        </w:tc>
      </w:tr>
    </w:tbl>
    <w:p w14:paraId="30F0C9CD" w14:textId="77777777" w:rsidR="003D748E" w:rsidRDefault="003D748E">
      <w:pPr>
        <w:pStyle w:val="Ttulo2"/>
        <w:spacing w:before="300" w:after="150"/>
        <w:rPr>
          <w:b/>
          <w:bCs/>
          <w:color w:val="1F3864"/>
          <w:sz w:val="25"/>
          <w:szCs w:val="25"/>
        </w:rPr>
      </w:pPr>
    </w:p>
    <w:p w14:paraId="364A2C7D" w14:textId="77777777" w:rsidR="003D748E" w:rsidRDefault="003D748E">
      <w:pPr>
        <w:pStyle w:val="Ttulo2"/>
        <w:spacing w:before="300" w:after="150"/>
        <w:rPr>
          <w:b/>
          <w:bCs/>
          <w:color w:val="1F3864"/>
          <w:sz w:val="25"/>
          <w:szCs w:val="25"/>
        </w:rPr>
      </w:pPr>
    </w:p>
    <w:p w14:paraId="394BC5D3" w14:textId="77777777" w:rsidR="003D748E" w:rsidRDefault="00DF2056">
      <w:pPr>
        <w:pStyle w:val="Ttulo2"/>
        <w:spacing w:before="300" w:after="150"/>
      </w:pPr>
      <w:r>
        <w:rPr>
          <w:b/>
          <w:bCs/>
          <w:color w:val="1F3864"/>
          <w:sz w:val="25"/>
          <w:szCs w:val="25"/>
        </w:rPr>
        <w:lastRenderedPageBreak/>
        <w:t>4. Actividades de aprendizaje</w:t>
      </w:r>
    </w:p>
    <w:p w14:paraId="0D9BB14A" w14:textId="77777777" w:rsidR="003D748E" w:rsidRDefault="00DF2056">
      <w:pPr>
        <w:pStyle w:val="Ttulo3"/>
        <w:spacing w:before="200" w:after="100"/>
      </w:pPr>
      <w:r>
        <w:rPr>
          <w:b/>
          <w:bCs/>
          <w:i/>
          <w:iCs/>
          <w:color w:val="8B6F1F"/>
          <w:sz w:val="22"/>
          <w:szCs w:val="22"/>
        </w:rPr>
        <w:t>Comprensión</w:t>
      </w:r>
    </w:p>
    <w:p w14:paraId="2006586C" w14:textId="77777777" w:rsidR="003D748E" w:rsidRDefault="00DF2056">
      <w:pPr>
        <w:pStyle w:val="Prrafodelista"/>
        <w:numPr>
          <w:ilvl w:val="0"/>
          <w:numId w:val="2"/>
        </w:numPr>
        <w:spacing w:after="100"/>
      </w:pPr>
      <w:r>
        <w:rPr>
          <w:szCs w:val="21"/>
        </w:rPr>
        <w:t>Elabore un cuadro sinóptico de los artículos constitucionales aplicables, indicando para cada uno el derecho protegido y su conexión argumentativa con la violencia obstétrica.</w:t>
      </w:r>
    </w:p>
    <w:p w14:paraId="6A8ABD7C" w14:textId="77777777" w:rsidR="003D748E" w:rsidRDefault="00DF2056">
      <w:pPr>
        <w:pStyle w:val="Ttulo3"/>
        <w:spacing w:before="200" w:after="100"/>
      </w:pPr>
      <w:r>
        <w:rPr>
          <w:b/>
          <w:bCs/>
          <w:i/>
          <w:iCs/>
          <w:color w:val="8B6F1F"/>
          <w:sz w:val="22"/>
          <w:szCs w:val="22"/>
        </w:rPr>
        <w:t>Aplicación</w:t>
      </w:r>
    </w:p>
    <w:p w14:paraId="659354A7" w14:textId="77777777" w:rsidR="003D748E" w:rsidRDefault="00DF2056">
      <w:pPr>
        <w:pStyle w:val="Prrafodelista"/>
        <w:numPr>
          <w:ilvl w:val="0"/>
          <w:numId w:val="2"/>
        </w:numPr>
        <w:spacing w:after="100"/>
      </w:pPr>
      <w:r>
        <w:rPr>
          <w:szCs w:val="21"/>
        </w:rPr>
        <w:t>A partir de un caso hipotético de episiotomía practicada sin consentimiento informado, identifique todas las vías jurídicas cubanas potencialmente disponibles (constitucional, administrativa, civil, penal) y valore su viabilidad práctica respectiva.</w:t>
      </w:r>
    </w:p>
    <w:p w14:paraId="4B19E0B1" w14:textId="77777777" w:rsidR="003D748E" w:rsidRDefault="00DF2056">
      <w:pPr>
        <w:pStyle w:val="Ttulo3"/>
        <w:spacing w:before="200" w:after="100"/>
      </w:pPr>
      <w:r>
        <w:rPr>
          <w:b/>
          <w:bCs/>
          <w:i/>
          <w:iCs/>
          <w:color w:val="8B6F1F"/>
          <w:sz w:val="22"/>
          <w:szCs w:val="22"/>
        </w:rPr>
        <w:t>Valoración crítica</w:t>
      </w:r>
    </w:p>
    <w:p w14:paraId="68F23192" w14:textId="77777777" w:rsidR="003D748E" w:rsidRDefault="00DF2056">
      <w:pPr>
        <w:pStyle w:val="Prrafodelista"/>
        <w:numPr>
          <w:ilvl w:val="0"/>
          <w:numId w:val="2"/>
        </w:numPr>
        <w:spacing w:after="100"/>
      </w:pPr>
      <w:r>
        <w:rPr>
          <w:szCs w:val="21"/>
        </w:rPr>
        <w:t>Redacte, en no más de dos cuartillas, un dictamen sobre la suficiencia o insuficiencia del ordenamiento jurídico cubano vigente para enfrentar la violencia obstétrica, empleando como criterio de análisis los principios de efectividad y de reparación integral.</w:t>
      </w:r>
    </w:p>
    <w:p w14:paraId="096A1C03" w14:textId="77777777" w:rsidR="003D748E" w:rsidRDefault="00DF2056">
      <w:pPr>
        <w:pStyle w:val="Ttulo2"/>
        <w:spacing w:before="300" w:after="150"/>
      </w:pPr>
      <w:r>
        <w:rPr>
          <w:b/>
          <w:bCs/>
          <w:color w:val="1F3864"/>
          <w:sz w:val="25"/>
          <w:szCs w:val="25"/>
        </w:rPr>
        <w:t>5. Preguntas de autoevaluación</w:t>
      </w:r>
    </w:p>
    <w:p w14:paraId="0A7181F0" w14:textId="77777777" w:rsidR="003D748E" w:rsidRDefault="00DF2056">
      <w:pPr>
        <w:pStyle w:val="Prrafodelista"/>
        <w:numPr>
          <w:ilvl w:val="0"/>
          <w:numId w:val="1"/>
        </w:numPr>
        <w:spacing w:after="100"/>
      </w:pPr>
      <w:r>
        <w:rPr>
          <w:szCs w:val="21"/>
        </w:rPr>
        <w:t>Enumere los artículos constitucionales que fundamentan, aunque sea indirectamente, la protección frente a la violencia obstétrica.</w:t>
      </w:r>
    </w:p>
    <w:p w14:paraId="0F6D502C" w14:textId="77777777" w:rsidR="003D748E" w:rsidRDefault="00DF2056">
      <w:pPr>
        <w:pStyle w:val="Prrafodelista"/>
        <w:numPr>
          <w:ilvl w:val="0"/>
          <w:numId w:val="1"/>
        </w:numPr>
        <w:spacing w:after="100"/>
      </w:pPr>
      <w:r>
        <w:rPr>
          <w:szCs w:val="21"/>
        </w:rPr>
        <w:t>¿Por qué se afirma que el Código de las Familias ofrece solo un fundamento indirecto en esta materia?</w:t>
      </w:r>
    </w:p>
    <w:p w14:paraId="7CC80B0D" w14:textId="77777777" w:rsidR="003D748E" w:rsidRDefault="00DF2056">
      <w:pPr>
        <w:pStyle w:val="Prrafodelista"/>
        <w:numPr>
          <w:ilvl w:val="0"/>
          <w:numId w:val="1"/>
        </w:numPr>
        <w:spacing w:after="100"/>
      </w:pPr>
      <w:r>
        <w:rPr>
          <w:szCs w:val="21"/>
        </w:rPr>
        <w:t>Explique por qué los tipos penales de lesiones o coacción resultan insuficientes para captar la totalidad del fenómeno de la violencia obstétrica.</w:t>
      </w:r>
    </w:p>
    <w:p w14:paraId="6D237B14" w14:textId="77777777" w:rsidR="003D748E" w:rsidRDefault="00DF2056">
      <w:r>
        <w:br w:type="page"/>
      </w:r>
    </w:p>
    <w:p w14:paraId="583E61E1" w14:textId="77777777" w:rsidR="003D748E" w:rsidRDefault="00DF2056">
      <w:pPr>
        <w:pStyle w:val="Ttulo1"/>
        <w:pBdr>
          <w:bottom w:val="single" w:sz="8" w:space="4" w:color="1F3864"/>
        </w:pBdr>
        <w:spacing w:before="400" w:after="200"/>
      </w:pPr>
      <w:r>
        <w:rPr>
          <w:b/>
          <w:bCs/>
          <w:color w:val="1F3864"/>
          <w:sz w:val="30"/>
          <w:szCs w:val="30"/>
        </w:rPr>
        <w:lastRenderedPageBreak/>
        <w:t>TEMA IV. LA VIOLENCIA OBSTÉTRICA COMO CATEGORÍA JURÍDICA: RESPONSABILIDAD Y REPARACIÓN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771E356B" w14:textId="77777777">
        <w:trPr>
          <w:tblHeader/>
        </w:trPr>
        <w:tc>
          <w:tcPr>
            <w:tcW w:w="3000" w:type="dxa"/>
            <w:shd w:val="clear" w:color="auto" w:fill="1F3864"/>
            <w:tcMar>
              <w:top w:w="80" w:type="dxa"/>
              <w:left w:w="100" w:type="dxa"/>
              <w:bottom w:w="80" w:type="dxa"/>
              <w:right w:w="100" w:type="dxa"/>
            </w:tcMar>
            <w:vAlign w:val="center"/>
          </w:tcPr>
          <w:p w14:paraId="1A524C4C"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4429AC9A" w14:textId="77777777" w:rsidR="003D748E" w:rsidRDefault="003D748E">
            <w:pPr>
              <w:jc w:val="center"/>
            </w:pPr>
          </w:p>
        </w:tc>
      </w:tr>
      <w:tr w:rsidR="003D748E" w14:paraId="54286C21" w14:textId="77777777">
        <w:tc>
          <w:tcPr>
            <w:tcW w:w="3000" w:type="dxa"/>
            <w:shd w:val="clear" w:color="auto" w:fill="F5F5F5"/>
            <w:tcMar>
              <w:top w:w="80" w:type="dxa"/>
              <w:left w:w="100" w:type="dxa"/>
              <w:bottom w:w="80" w:type="dxa"/>
              <w:right w:w="100" w:type="dxa"/>
            </w:tcMar>
            <w:vAlign w:val="center"/>
          </w:tcPr>
          <w:p w14:paraId="310EEBBC"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08CDC18A" w14:textId="77777777" w:rsidR="003D748E" w:rsidRDefault="00DF2056">
            <w:r>
              <w:rPr>
                <w:color w:val="000000"/>
                <w:sz w:val="19"/>
                <w:szCs w:val="19"/>
              </w:rPr>
              <w:t>10</w:t>
            </w:r>
          </w:p>
        </w:tc>
      </w:tr>
      <w:tr w:rsidR="003D748E" w14:paraId="6F03B8E8" w14:textId="77777777">
        <w:tc>
          <w:tcPr>
            <w:tcW w:w="3000" w:type="dxa"/>
            <w:shd w:val="clear" w:color="auto" w:fill="FFFFFF"/>
            <w:tcMar>
              <w:top w:w="80" w:type="dxa"/>
              <w:left w:w="100" w:type="dxa"/>
              <w:bottom w:w="80" w:type="dxa"/>
              <w:right w:w="100" w:type="dxa"/>
            </w:tcMar>
            <w:vAlign w:val="center"/>
          </w:tcPr>
          <w:p w14:paraId="7EFAF446"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2F625A54" w14:textId="77777777" w:rsidR="003D748E" w:rsidRDefault="00DF2056">
            <w:r>
              <w:rPr>
                <w:color w:val="000000"/>
                <w:sz w:val="19"/>
                <w:szCs w:val="19"/>
              </w:rPr>
              <w:t>Argumentar los presupuestos jurídicos de la responsabilidad —civil, penal, administrativa— derivada de actos de violencia obstétrica y los mecanismos de reparación disponibles en el ordenamiento cubano.</w:t>
            </w:r>
          </w:p>
        </w:tc>
      </w:tr>
    </w:tbl>
    <w:p w14:paraId="37CF883D" w14:textId="77777777" w:rsidR="003D748E" w:rsidRDefault="003D748E">
      <w:pPr>
        <w:spacing w:after="120"/>
      </w:pPr>
    </w:p>
    <w:p w14:paraId="781F6D75" w14:textId="77777777" w:rsidR="003D748E" w:rsidRDefault="00DF2056">
      <w:pPr>
        <w:pStyle w:val="Ttulo3"/>
        <w:spacing w:before="200" w:after="100"/>
      </w:pPr>
      <w:r>
        <w:rPr>
          <w:b/>
          <w:bCs/>
          <w:i/>
          <w:iCs/>
          <w:color w:val="8B6F1F"/>
          <w:sz w:val="22"/>
          <w:szCs w:val="22"/>
        </w:rPr>
        <w:t>Objetivos específicos del tema</w:t>
      </w:r>
    </w:p>
    <w:p w14:paraId="7CC22518" w14:textId="77777777" w:rsidR="003D748E" w:rsidRDefault="00DF2056">
      <w:pPr>
        <w:pStyle w:val="Prrafodelista"/>
        <w:numPr>
          <w:ilvl w:val="0"/>
          <w:numId w:val="1"/>
        </w:numPr>
        <w:spacing w:after="100"/>
      </w:pPr>
      <w:r>
        <w:rPr>
          <w:szCs w:val="21"/>
        </w:rPr>
        <w:t>Aplicar las categorías de la responsabilidad civil extracontractual y contractual al supuesto de la violencia obstétrica.</w:t>
      </w:r>
    </w:p>
    <w:p w14:paraId="6B660042" w14:textId="77777777" w:rsidR="003D748E" w:rsidRDefault="00DF2056">
      <w:pPr>
        <w:pStyle w:val="Prrafodelista"/>
        <w:numPr>
          <w:ilvl w:val="0"/>
          <w:numId w:val="1"/>
        </w:numPr>
        <w:spacing w:after="100"/>
      </w:pPr>
      <w:r>
        <w:rPr>
          <w:szCs w:val="21"/>
        </w:rPr>
        <w:t>Analizar los presupuestos de la responsabilidad penal del personal sanitario.</w:t>
      </w:r>
    </w:p>
    <w:p w14:paraId="5FAD3F22" w14:textId="77777777" w:rsidR="003D748E" w:rsidRDefault="00DF2056">
      <w:pPr>
        <w:pStyle w:val="Prrafodelista"/>
        <w:numPr>
          <w:ilvl w:val="0"/>
          <w:numId w:val="1"/>
        </w:numPr>
        <w:spacing w:after="100"/>
      </w:pPr>
      <w:r>
        <w:rPr>
          <w:szCs w:val="21"/>
        </w:rPr>
        <w:t>Examinar las vías de reparación integral aplicables al contexto cubano.</w:t>
      </w:r>
    </w:p>
    <w:p w14:paraId="0E085F27" w14:textId="77777777" w:rsidR="003D748E" w:rsidRDefault="00DF2056">
      <w:pPr>
        <w:pStyle w:val="Ttulo2"/>
        <w:spacing w:before="300" w:after="150"/>
      </w:pPr>
      <w:r>
        <w:rPr>
          <w:b/>
          <w:bCs/>
          <w:color w:val="1F3864"/>
          <w:sz w:val="25"/>
          <w:szCs w:val="25"/>
        </w:rPr>
        <w:t>1. Síntesis de contenidos por subtema</w:t>
      </w:r>
    </w:p>
    <w:p w14:paraId="3A3ABFE9" w14:textId="77777777" w:rsidR="003D748E" w:rsidRDefault="00DF2056">
      <w:pPr>
        <w:pStyle w:val="Ttulo3"/>
        <w:spacing w:before="200" w:after="100"/>
      </w:pPr>
      <w:r>
        <w:rPr>
          <w:b/>
          <w:bCs/>
          <w:i/>
          <w:iCs/>
          <w:color w:val="8B6F1F"/>
          <w:sz w:val="22"/>
          <w:szCs w:val="22"/>
        </w:rPr>
        <w:t>4.1. Responsabilidad civil</w:t>
      </w:r>
    </w:p>
    <w:p w14:paraId="55DD2AEC" w14:textId="77777777" w:rsidR="003D748E" w:rsidRDefault="00DF2056">
      <w:pPr>
        <w:spacing w:after="160" w:line="276" w:lineRule="auto"/>
        <w:jc w:val="both"/>
      </w:pPr>
      <w:r>
        <w:rPr>
          <w:szCs w:val="21"/>
        </w:rPr>
        <w:t>El análisis dogmático exige distinguir el daño moral (afectación de la esfera espiritual y emocional) del daño al proyecto de vida (frustración de expectativas vitales legítimas vinculadas a la experiencia reproductiva), categorías ambas aplicables al supuesto de la violencia obstétrica. La determinación del nexo causal entre la conducta del personal sanitario y el daño alegado, así como la calificación de culpa o negligencia, constituyen los presupuestos técnicos centrales de imputación.</w:t>
      </w:r>
    </w:p>
    <w:p w14:paraId="309120AC" w14:textId="77777777" w:rsidR="003D748E" w:rsidRDefault="00DF2056">
      <w:pPr>
        <w:pStyle w:val="Ttulo3"/>
        <w:spacing w:before="200" w:after="100"/>
      </w:pPr>
      <w:r>
        <w:rPr>
          <w:b/>
          <w:bCs/>
          <w:i/>
          <w:iCs/>
          <w:color w:val="8B6F1F"/>
          <w:sz w:val="22"/>
          <w:szCs w:val="22"/>
        </w:rPr>
        <w:t>4.2. El consentimiento informado como categoría jurídica central</w:t>
      </w:r>
    </w:p>
    <w:p w14:paraId="710A40A6" w14:textId="77777777" w:rsidR="003D748E" w:rsidRDefault="00DF2056">
      <w:pPr>
        <w:spacing w:after="160" w:line="276" w:lineRule="auto"/>
        <w:jc w:val="both"/>
      </w:pPr>
      <w:r>
        <w:rPr>
          <w:szCs w:val="21"/>
        </w:rPr>
        <w:t xml:space="preserve">Su vulneración genera responsabilidad civil autónoma, con independencia de que la intervención médica haya sido técnicamente correcta conforme a la </w:t>
      </w:r>
      <w:proofErr w:type="spellStart"/>
      <w:r>
        <w:rPr>
          <w:szCs w:val="21"/>
        </w:rPr>
        <w:t>lex</w:t>
      </w:r>
      <w:proofErr w:type="spellEnd"/>
      <w:r>
        <w:rPr>
          <w:szCs w:val="21"/>
        </w:rPr>
        <w:t xml:space="preserve"> </w:t>
      </w:r>
      <w:proofErr w:type="spellStart"/>
      <w:r>
        <w:rPr>
          <w:szCs w:val="21"/>
        </w:rPr>
        <w:t>artis</w:t>
      </w:r>
      <w:proofErr w:type="spellEnd"/>
      <w:r>
        <w:rPr>
          <w:szCs w:val="21"/>
        </w:rPr>
        <w:t>. Este es el punto de mayor rendimiento dogmático para la construcción de pretensiones jurídicas en el contexto cubano actual, por apoyarse en una norma expresa (Ley 41 y su Reglamento) de aplicación directa.</w:t>
      </w:r>
    </w:p>
    <w:p w14:paraId="7CC0F942" w14:textId="77777777" w:rsidR="003D748E" w:rsidRDefault="00DF2056">
      <w:pPr>
        <w:pStyle w:val="Ttulo3"/>
        <w:spacing w:before="200" w:after="100"/>
      </w:pPr>
      <w:r>
        <w:rPr>
          <w:b/>
          <w:bCs/>
          <w:i/>
          <w:iCs/>
          <w:color w:val="8B6F1F"/>
          <w:sz w:val="22"/>
          <w:szCs w:val="22"/>
        </w:rPr>
        <w:t>4.3. Responsabilidad penal</w:t>
      </w:r>
    </w:p>
    <w:p w14:paraId="4ED95256" w14:textId="77777777" w:rsidR="003D748E" w:rsidRDefault="00DF2056">
      <w:pPr>
        <w:spacing w:after="160" w:line="276" w:lineRule="auto"/>
        <w:jc w:val="both"/>
      </w:pPr>
      <w:r>
        <w:rPr>
          <w:szCs w:val="21"/>
        </w:rPr>
        <w:t>Requiere el análisis de la imputación objetiva (relación de riesgo entre la conducta y el resultado) y subjetiva (dolo o culpa), así como de la posición de garante que ostenta el personal sanitario respecto de la salud de la paciente. Especial atención merece la distinción entre dolo eventual y culpa consciente en los supuestos límite de violencia obstétrica con resultado lesivo grave.</w:t>
      </w:r>
    </w:p>
    <w:p w14:paraId="2F2C6902" w14:textId="77777777" w:rsidR="003D748E" w:rsidRDefault="00DF2056">
      <w:pPr>
        <w:pStyle w:val="Ttulo3"/>
        <w:spacing w:before="200" w:after="100"/>
      </w:pPr>
      <w:r>
        <w:rPr>
          <w:b/>
          <w:bCs/>
          <w:i/>
          <w:iCs/>
          <w:color w:val="8B6F1F"/>
          <w:sz w:val="22"/>
          <w:szCs w:val="22"/>
        </w:rPr>
        <w:t>4.4. Responsabilidad institucional del Estado</w:t>
      </w:r>
    </w:p>
    <w:p w14:paraId="13B0C2F9" w14:textId="77777777" w:rsidR="003D748E" w:rsidRDefault="00DF2056">
      <w:pPr>
        <w:spacing w:after="160" w:line="276" w:lineRule="auto"/>
        <w:jc w:val="both"/>
      </w:pPr>
      <w:r>
        <w:rPr>
          <w:szCs w:val="21"/>
        </w:rPr>
        <w:t>El Estado cubano, como garante constitucional del derecho a la salud (art. 72 CRC) y titular del sistema único y gratuito de salud pública, puede resultar sujeto de responsabilidad patrimonial por fallas estructurales del servicio (déficit de recursos, ausencia de protocolos de atención respetuosa) que favorezcan la producción de actos de violencia obstétrica.</w:t>
      </w:r>
    </w:p>
    <w:p w14:paraId="4A64D1C6" w14:textId="77777777" w:rsidR="003D748E" w:rsidRDefault="003D748E">
      <w:pPr>
        <w:pStyle w:val="Ttulo3"/>
        <w:spacing w:before="200" w:after="100"/>
        <w:rPr>
          <w:b/>
          <w:bCs/>
          <w:i/>
          <w:iCs/>
          <w:color w:val="8B6F1F"/>
          <w:sz w:val="22"/>
          <w:szCs w:val="22"/>
        </w:rPr>
      </w:pPr>
    </w:p>
    <w:p w14:paraId="1589EDDF" w14:textId="77777777" w:rsidR="003D748E" w:rsidRDefault="003D748E">
      <w:pPr>
        <w:pStyle w:val="Ttulo3"/>
        <w:spacing w:before="200" w:after="100"/>
        <w:rPr>
          <w:b/>
          <w:bCs/>
          <w:i/>
          <w:iCs/>
          <w:color w:val="8B6F1F"/>
          <w:sz w:val="22"/>
          <w:szCs w:val="22"/>
        </w:rPr>
      </w:pPr>
    </w:p>
    <w:p w14:paraId="036257BB" w14:textId="77777777" w:rsidR="003D748E" w:rsidRDefault="00DF2056">
      <w:pPr>
        <w:pStyle w:val="Ttulo3"/>
        <w:spacing w:before="200" w:after="100"/>
      </w:pPr>
      <w:r>
        <w:rPr>
          <w:b/>
          <w:bCs/>
          <w:i/>
          <w:iCs/>
          <w:color w:val="8B6F1F"/>
          <w:sz w:val="22"/>
          <w:szCs w:val="22"/>
        </w:rPr>
        <w:lastRenderedPageBreak/>
        <w:t>4.5. Reparación integral</w:t>
      </w:r>
    </w:p>
    <w:p w14:paraId="10E926FD" w14:textId="77777777" w:rsidR="003D748E" w:rsidRDefault="00DF2056">
      <w:pPr>
        <w:spacing w:after="160" w:line="276" w:lineRule="auto"/>
        <w:jc w:val="both"/>
      </w:pPr>
      <w:r>
        <w:rPr>
          <w:szCs w:val="21"/>
        </w:rPr>
        <w:t xml:space="preserve">El estándar interamericano de reparación integral (restitución, indemnización, rehabilitación, satisfacción y garantías de no repetición) ofrece un marco conceptual de gran valor heurístico para evaluar la suficiencia de los mecanismos </w:t>
      </w:r>
      <w:proofErr w:type="spellStart"/>
      <w:r>
        <w:rPr>
          <w:szCs w:val="21"/>
        </w:rPr>
        <w:t>reparatorios</w:t>
      </w:r>
      <w:proofErr w:type="spellEnd"/>
      <w:r>
        <w:rPr>
          <w:szCs w:val="21"/>
        </w:rPr>
        <w:t xml:space="preserve"> actualmente disponibles en Cuba, aun cuando dicho estándar no resulte directamente vinculante.</w:t>
      </w:r>
    </w:p>
    <w:p w14:paraId="691090B2"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39F20CFB" w14:textId="77777777">
        <w:trPr>
          <w:tblHeader/>
        </w:trPr>
        <w:tc>
          <w:tcPr>
            <w:tcW w:w="2600" w:type="dxa"/>
            <w:shd w:val="clear" w:color="auto" w:fill="1F3864"/>
            <w:tcMar>
              <w:top w:w="80" w:type="dxa"/>
              <w:left w:w="100" w:type="dxa"/>
              <w:bottom w:w="80" w:type="dxa"/>
              <w:right w:w="100" w:type="dxa"/>
            </w:tcMar>
            <w:vAlign w:val="center"/>
          </w:tcPr>
          <w:p w14:paraId="1AF7590D"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0164B73A" w14:textId="77777777" w:rsidR="003D748E" w:rsidRDefault="00DF2056">
            <w:pPr>
              <w:jc w:val="center"/>
            </w:pPr>
            <w:r>
              <w:rPr>
                <w:b/>
                <w:bCs/>
                <w:color w:val="FFFFFF"/>
                <w:sz w:val="19"/>
                <w:szCs w:val="19"/>
              </w:rPr>
              <w:t>Definición operativa</w:t>
            </w:r>
          </w:p>
        </w:tc>
      </w:tr>
      <w:tr w:rsidR="003D748E" w14:paraId="470441B1" w14:textId="77777777">
        <w:tc>
          <w:tcPr>
            <w:tcW w:w="2600" w:type="dxa"/>
            <w:shd w:val="clear" w:color="auto" w:fill="F5F5F5"/>
            <w:tcMar>
              <w:top w:w="80" w:type="dxa"/>
              <w:left w:w="100" w:type="dxa"/>
              <w:bottom w:w="80" w:type="dxa"/>
              <w:right w:w="100" w:type="dxa"/>
            </w:tcMar>
            <w:vAlign w:val="center"/>
          </w:tcPr>
          <w:p w14:paraId="43E1A07E" w14:textId="77777777" w:rsidR="003D748E" w:rsidRDefault="00DF2056">
            <w:r>
              <w:rPr>
                <w:color w:val="000000"/>
                <w:sz w:val="19"/>
                <w:szCs w:val="19"/>
              </w:rPr>
              <w:t>Daño moral</w:t>
            </w:r>
          </w:p>
        </w:tc>
        <w:tc>
          <w:tcPr>
            <w:tcW w:w="7200" w:type="dxa"/>
            <w:shd w:val="clear" w:color="auto" w:fill="F5F5F5"/>
            <w:tcMar>
              <w:top w:w="80" w:type="dxa"/>
              <w:left w:w="100" w:type="dxa"/>
              <w:bottom w:w="80" w:type="dxa"/>
              <w:right w:w="100" w:type="dxa"/>
            </w:tcMar>
            <w:vAlign w:val="center"/>
          </w:tcPr>
          <w:p w14:paraId="136F90A6" w14:textId="77777777" w:rsidR="003D748E" w:rsidRDefault="00DF2056">
            <w:r>
              <w:rPr>
                <w:color w:val="000000"/>
                <w:sz w:val="19"/>
                <w:szCs w:val="19"/>
              </w:rPr>
              <w:t xml:space="preserve">Afectación de bienes </w:t>
            </w:r>
            <w:proofErr w:type="spellStart"/>
            <w:r>
              <w:rPr>
                <w:color w:val="000000"/>
                <w:sz w:val="19"/>
                <w:szCs w:val="19"/>
              </w:rPr>
              <w:t>extrapatrimoniales</w:t>
            </w:r>
            <w:proofErr w:type="spellEnd"/>
            <w:r>
              <w:rPr>
                <w:color w:val="000000"/>
                <w:sz w:val="19"/>
                <w:szCs w:val="19"/>
              </w:rPr>
              <w:t xml:space="preserve"> de la persona —sufrimiento, angustia, menoscabo de la esfera afectiva— derivada de un hecho antijurídico, resarcible mediante indemnización pecuniaria compensatoria.</w:t>
            </w:r>
          </w:p>
        </w:tc>
      </w:tr>
      <w:tr w:rsidR="003D748E" w14:paraId="63B5F584" w14:textId="77777777">
        <w:tc>
          <w:tcPr>
            <w:tcW w:w="2600" w:type="dxa"/>
            <w:shd w:val="clear" w:color="auto" w:fill="FFFFFF"/>
            <w:tcMar>
              <w:top w:w="80" w:type="dxa"/>
              <w:left w:w="100" w:type="dxa"/>
              <w:bottom w:w="80" w:type="dxa"/>
              <w:right w:w="100" w:type="dxa"/>
            </w:tcMar>
            <w:vAlign w:val="center"/>
          </w:tcPr>
          <w:p w14:paraId="13DF0913" w14:textId="77777777" w:rsidR="003D748E" w:rsidRDefault="00DF2056">
            <w:r>
              <w:rPr>
                <w:color w:val="000000"/>
                <w:sz w:val="19"/>
                <w:szCs w:val="19"/>
              </w:rPr>
              <w:t>Daño al proyecto de vida</w:t>
            </w:r>
          </w:p>
        </w:tc>
        <w:tc>
          <w:tcPr>
            <w:tcW w:w="7200" w:type="dxa"/>
            <w:shd w:val="clear" w:color="auto" w:fill="FFFFFF"/>
            <w:tcMar>
              <w:top w:w="80" w:type="dxa"/>
              <w:left w:w="100" w:type="dxa"/>
              <w:bottom w:w="80" w:type="dxa"/>
              <w:right w:w="100" w:type="dxa"/>
            </w:tcMar>
            <w:vAlign w:val="center"/>
          </w:tcPr>
          <w:p w14:paraId="1517C4DC" w14:textId="77777777" w:rsidR="003D748E" w:rsidRDefault="00DF2056">
            <w:r>
              <w:rPr>
                <w:color w:val="000000"/>
                <w:sz w:val="19"/>
                <w:szCs w:val="19"/>
              </w:rPr>
              <w:t>Categoría de daño que atiende a la frustración grave e irreversible de expectativas vitales legítimas de la persona, distinta del daño moral en tanto proyecta sus efectos hacia el futuro existencial del sujeto.</w:t>
            </w:r>
          </w:p>
        </w:tc>
      </w:tr>
      <w:tr w:rsidR="003D748E" w14:paraId="4C06F614" w14:textId="77777777">
        <w:tc>
          <w:tcPr>
            <w:tcW w:w="2600" w:type="dxa"/>
            <w:shd w:val="clear" w:color="auto" w:fill="F5F5F5"/>
            <w:tcMar>
              <w:top w:w="80" w:type="dxa"/>
              <w:left w:w="100" w:type="dxa"/>
              <w:bottom w:w="80" w:type="dxa"/>
              <w:right w:w="100" w:type="dxa"/>
            </w:tcMar>
            <w:vAlign w:val="center"/>
          </w:tcPr>
          <w:p w14:paraId="28BE66D9" w14:textId="77777777" w:rsidR="003D748E" w:rsidRDefault="00DF2056">
            <w:r>
              <w:rPr>
                <w:color w:val="000000"/>
                <w:sz w:val="19"/>
                <w:szCs w:val="19"/>
              </w:rPr>
              <w:t>Imputación objetiva</w:t>
            </w:r>
          </w:p>
        </w:tc>
        <w:tc>
          <w:tcPr>
            <w:tcW w:w="7200" w:type="dxa"/>
            <w:shd w:val="clear" w:color="auto" w:fill="F5F5F5"/>
            <w:tcMar>
              <w:top w:w="80" w:type="dxa"/>
              <w:left w:w="100" w:type="dxa"/>
              <w:bottom w:w="80" w:type="dxa"/>
              <w:right w:w="100" w:type="dxa"/>
            </w:tcMar>
            <w:vAlign w:val="center"/>
          </w:tcPr>
          <w:p w14:paraId="15A35997" w14:textId="77777777" w:rsidR="003D748E" w:rsidRDefault="00DF2056">
            <w:r>
              <w:rPr>
                <w:color w:val="000000"/>
                <w:sz w:val="19"/>
                <w:szCs w:val="19"/>
              </w:rPr>
              <w:t>Criterio dogmático-penal que exige verificar si la conducta del agente creó un riesgo jurídicamente desaprobado que se realizó en el resultado, como presupuesto previo a la valoración de la culpabilidad.</w:t>
            </w:r>
          </w:p>
        </w:tc>
      </w:tr>
      <w:tr w:rsidR="003D748E" w14:paraId="6703D55B" w14:textId="77777777">
        <w:tc>
          <w:tcPr>
            <w:tcW w:w="2600" w:type="dxa"/>
            <w:shd w:val="clear" w:color="auto" w:fill="FFFFFF"/>
            <w:tcMar>
              <w:top w:w="80" w:type="dxa"/>
              <w:left w:w="100" w:type="dxa"/>
              <w:bottom w:w="80" w:type="dxa"/>
              <w:right w:w="100" w:type="dxa"/>
            </w:tcMar>
            <w:vAlign w:val="center"/>
          </w:tcPr>
          <w:p w14:paraId="1CC09143" w14:textId="77777777" w:rsidR="003D748E" w:rsidRDefault="00DF2056">
            <w:r>
              <w:rPr>
                <w:color w:val="000000"/>
                <w:sz w:val="19"/>
                <w:szCs w:val="19"/>
              </w:rPr>
              <w:t>Posición de garante</w:t>
            </w:r>
          </w:p>
        </w:tc>
        <w:tc>
          <w:tcPr>
            <w:tcW w:w="7200" w:type="dxa"/>
            <w:shd w:val="clear" w:color="auto" w:fill="FFFFFF"/>
            <w:tcMar>
              <w:top w:w="80" w:type="dxa"/>
              <w:left w:w="100" w:type="dxa"/>
              <w:bottom w:w="80" w:type="dxa"/>
              <w:right w:w="100" w:type="dxa"/>
            </w:tcMar>
            <w:vAlign w:val="center"/>
          </w:tcPr>
          <w:p w14:paraId="1A98D776" w14:textId="77777777" w:rsidR="003D748E" w:rsidRDefault="00DF2056">
            <w:r>
              <w:rPr>
                <w:color w:val="000000"/>
                <w:sz w:val="19"/>
                <w:szCs w:val="19"/>
              </w:rPr>
              <w:t>Situación jurídica en virtud de la cual un sujeto asume el deber especial de evitar la producción de un resultado lesivo, cuyo incumplimiento por omisión puede equipararse a la causación activa del resultado.</w:t>
            </w:r>
          </w:p>
        </w:tc>
      </w:tr>
      <w:tr w:rsidR="003D748E" w14:paraId="076EE6B5" w14:textId="77777777">
        <w:tc>
          <w:tcPr>
            <w:tcW w:w="2600" w:type="dxa"/>
            <w:shd w:val="clear" w:color="auto" w:fill="F5F5F5"/>
            <w:tcMar>
              <w:top w:w="80" w:type="dxa"/>
              <w:left w:w="100" w:type="dxa"/>
              <w:bottom w:w="80" w:type="dxa"/>
              <w:right w:w="100" w:type="dxa"/>
            </w:tcMar>
            <w:vAlign w:val="center"/>
          </w:tcPr>
          <w:p w14:paraId="6A76CA6E" w14:textId="77777777" w:rsidR="003D748E" w:rsidRDefault="00DF2056">
            <w:r>
              <w:rPr>
                <w:color w:val="000000"/>
                <w:sz w:val="19"/>
                <w:szCs w:val="19"/>
              </w:rPr>
              <w:t>Reparación integral</w:t>
            </w:r>
          </w:p>
        </w:tc>
        <w:tc>
          <w:tcPr>
            <w:tcW w:w="7200" w:type="dxa"/>
            <w:shd w:val="clear" w:color="auto" w:fill="F5F5F5"/>
            <w:tcMar>
              <w:top w:w="80" w:type="dxa"/>
              <w:left w:w="100" w:type="dxa"/>
              <w:bottom w:w="80" w:type="dxa"/>
              <w:right w:w="100" w:type="dxa"/>
            </w:tcMar>
            <w:vAlign w:val="center"/>
          </w:tcPr>
          <w:p w14:paraId="0A2BEA66" w14:textId="77777777" w:rsidR="003D748E" w:rsidRDefault="00DF2056">
            <w:r>
              <w:rPr>
                <w:color w:val="000000"/>
                <w:sz w:val="19"/>
                <w:szCs w:val="19"/>
              </w:rPr>
              <w:t>Estándar de derechos humanos que exige, ante toda violación, la combinación de medidas de restitución, indemnización, rehabilitación, satisfacción y garantías de no repetición, orientadas a restablecer, en la medida de lo posible, la situación anterior a la violación.</w:t>
            </w:r>
          </w:p>
        </w:tc>
      </w:tr>
      <w:tr w:rsidR="003D748E" w14:paraId="4AA2FB8B" w14:textId="77777777">
        <w:tc>
          <w:tcPr>
            <w:tcW w:w="2600" w:type="dxa"/>
            <w:shd w:val="clear" w:color="auto" w:fill="FFFFFF"/>
            <w:tcMar>
              <w:top w:w="80" w:type="dxa"/>
              <w:left w:w="100" w:type="dxa"/>
              <w:bottom w:w="80" w:type="dxa"/>
              <w:right w:w="100" w:type="dxa"/>
            </w:tcMar>
            <w:vAlign w:val="center"/>
          </w:tcPr>
          <w:p w14:paraId="2D4DCFF7" w14:textId="77777777" w:rsidR="003D748E" w:rsidRDefault="00DF2056">
            <w:r>
              <w:rPr>
                <w:color w:val="000000"/>
                <w:sz w:val="19"/>
                <w:szCs w:val="19"/>
              </w:rPr>
              <w:t>Responsabilidad patrimonial del Estado</w:t>
            </w:r>
          </w:p>
        </w:tc>
        <w:tc>
          <w:tcPr>
            <w:tcW w:w="7200" w:type="dxa"/>
            <w:shd w:val="clear" w:color="auto" w:fill="FFFFFF"/>
            <w:tcMar>
              <w:top w:w="80" w:type="dxa"/>
              <w:left w:w="100" w:type="dxa"/>
              <w:bottom w:w="80" w:type="dxa"/>
              <w:right w:w="100" w:type="dxa"/>
            </w:tcMar>
            <w:vAlign w:val="center"/>
          </w:tcPr>
          <w:p w14:paraId="02E820A3" w14:textId="77777777" w:rsidR="003D748E" w:rsidRDefault="00DF2056">
            <w:r>
              <w:rPr>
                <w:color w:val="000000"/>
                <w:sz w:val="19"/>
                <w:szCs w:val="19"/>
              </w:rPr>
              <w:t>Obligación del Estado de reparar los daños causados a los particulares como consecuencia del funcionamiento —normal o anormal— de los servicios públicos, incluido el servicio de salud.</w:t>
            </w:r>
          </w:p>
        </w:tc>
      </w:tr>
    </w:tbl>
    <w:p w14:paraId="0935F37C" w14:textId="77777777" w:rsidR="003D748E" w:rsidRDefault="00DF2056">
      <w:pPr>
        <w:pStyle w:val="Ttulo2"/>
        <w:spacing w:before="300" w:after="150"/>
      </w:pPr>
      <w:r>
        <w:rPr>
          <w:b/>
          <w:bCs/>
          <w:color w:val="1F3864"/>
          <w:sz w:val="25"/>
          <w:szCs w:val="25"/>
        </w:rPr>
        <w:t>3. Tabla comparativa: tipos de responsabilidad jurídica aplicable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2300"/>
        <w:gridCol w:w="2000"/>
      </w:tblGrid>
      <w:tr w:rsidR="003D748E" w14:paraId="7EA1DC04" w14:textId="77777777">
        <w:trPr>
          <w:tblHeader/>
        </w:trPr>
        <w:tc>
          <w:tcPr>
            <w:tcW w:w="2400" w:type="dxa"/>
            <w:shd w:val="clear" w:color="auto" w:fill="1F3864"/>
            <w:tcMar>
              <w:top w:w="80" w:type="dxa"/>
              <w:left w:w="100" w:type="dxa"/>
              <w:bottom w:w="80" w:type="dxa"/>
              <w:right w:w="100" w:type="dxa"/>
            </w:tcMar>
            <w:vAlign w:val="center"/>
          </w:tcPr>
          <w:p w14:paraId="7B6C6218" w14:textId="77777777" w:rsidR="003D748E" w:rsidRDefault="00DF2056">
            <w:pPr>
              <w:jc w:val="center"/>
            </w:pPr>
            <w:r>
              <w:rPr>
                <w:b/>
                <w:bCs/>
                <w:color w:val="FFFFFF"/>
                <w:sz w:val="19"/>
                <w:szCs w:val="19"/>
              </w:rPr>
              <w:t>Tipo de responsabilidad</w:t>
            </w:r>
          </w:p>
        </w:tc>
        <w:tc>
          <w:tcPr>
            <w:tcW w:w="2700" w:type="dxa"/>
            <w:shd w:val="clear" w:color="auto" w:fill="1F3864"/>
            <w:tcMar>
              <w:top w:w="80" w:type="dxa"/>
              <w:left w:w="100" w:type="dxa"/>
              <w:bottom w:w="80" w:type="dxa"/>
              <w:right w:w="100" w:type="dxa"/>
            </w:tcMar>
            <w:vAlign w:val="center"/>
          </w:tcPr>
          <w:p w14:paraId="275510AA" w14:textId="77777777" w:rsidR="003D748E" w:rsidRDefault="00DF2056">
            <w:pPr>
              <w:jc w:val="center"/>
            </w:pPr>
            <w:r>
              <w:rPr>
                <w:b/>
                <w:bCs/>
                <w:color w:val="FFFFFF"/>
                <w:sz w:val="19"/>
                <w:szCs w:val="19"/>
              </w:rPr>
              <w:t>Presupuesto central</w:t>
            </w:r>
          </w:p>
        </w:tc>
        <w:tc>
          <w:tcPr>
            <w:tcW w:w="2300" w:type="dxa"/>
            <w:shd w:val="clear" w:color="auto" w:fill="1F3864"/>
            <w:tcMar>
              <w:top w:w="80" w:type="dxa"/>
              <w:left w:w="100" w:type="dxa"/>
              <w:bottom w:w="80" w:type="dxa"/>
              <w:right w:w="100" w:type="dxa"/>
            </w:tcMar>
            <w:vAlign w:val="center"/>
          </w:tcPr>
          <w:p w14:paraId="4085AFC3" w14:textId="77777777" w:rsidR="003D748E" w:rsidRDefault="00DF2056">
            <w:pPr>
              <w:jc w:val="center"/>
            </w:pPr>
            <w:r>
              <w:rPr>
                <w:b/>
                <w:bCs/>
                <w:color w:val="FFFFFF"/>
                <w:sz w:val="19"/>
                <w:szCs w:val="19"/>
              </w:rPr>
              <w:t>Consecuencia jurídica</w:t>
            </w:r>
          </w:p>
        </w:tc>
        <w:tc>
          <w:tcPr>
            <w:tcW w:w="2000" w:type="dxa"/>
            <w:shd w:val="clear" w:color="auto" w:fill="1F3864"/>
            <w:tcMar>
              <w:top w:w="80" w:type="dxa"/>
              <w:left w:w="100" w:type="dxa"/>
              <w:bottom w:w="80" w:type="dxa"/>
              <w:right w:w="100" w:type="dxa"/>
            </w:tcMar>
            <w:vAlign w:val="center"/>
          </w:tcPr>
          <w:p w14:paraId="28B2BF2D" w14:textId="77777777" w:rsidR="003D748E" w:rsidRDefault="00DF2056">
            <w:pPr>
              <w:jc w:val="center"/>
            </w:pPr>
            <w:r>
              <w:rPr>
                <w:b/>
                <w:bCs/>
                <w:color w:val="FFFFFF"/>
                <w:sz w:val="19"/>
                <w:szCs w:val="19"/>
              </w:rPr>
              <w:t>Vía procesal en Cuba</w:t>
            </w:r>
          </w:p>
        </w:tc>
      </w:tr>
      <w:tr w:rsidR="003D748E" w14:paraId="1754BF3F" w14:textId="77777777">
        <w:tc>
          <w:tcPr>
            <w:tcW w:w="2400" w:type="dxa"/>
            <w:shd w:val="clear" w:color="auto" w:fill="F5F5F5"/>
            <w:tcMar>
              <w:top w:w="80" w:type="dxa"/>
              <w:left w:w="100" w:type="dxa"/>
              <w:bottom w:w="80" w:type="dxa"/>
              <w:right w:w="100" w:type="dxa"/>
            </w:tcMar>
            <w:vAlign w:val="center"/>
          </w:tcPr>
          <w:p w14:paraId="669F4A40" w14:textId="77777777" w:rsidR="003D748E" w:rsidRDefault="00DF2056">
            <w:r>
              <w:rPr>
                <w:color w:val="000000"/>
                <w:sz w:val="19"/>
                <w:szCs w:val="19"/>
              </w:rPr>
              <w:t>Civil</w:t>
            </w:r>
          </w:p>
        </w:tc>
        <w:tc>
          <w:tcPr>
            <w:tcW w:w="2700" w:type="dxa"/>
            <w:shd w:val="clear" w:color="auto" w:fill="F5F5F5"/>
            <w:tcMar>
              <w:top w:w="80" w:type="dxa"/>
              <w:left w:w="100" w:type="dxa"/>
              <w:bottom w:w="80" w:type="dxa"/>
              <w:right w:w="100" w:type="dxa"/>
            </w:tcMar>
            <w:vAlign w:val="center"/>
          </w:tcPr>
          <w:p w14:paraId="409F62C1" w14:textId="77777777" w:rsidR="003D748E" w:rsidRDefault="00DF2056">
            <w:r>
              <w:rPr>
                <w:color w:val="000000"/>
                <w:sz w:val="19"/>
                <w:szCs w:val="19"/>
              </w:rPr>
              <w:t>Daño + nexo causal + culpa (o vulneración del consentimiento informado)</w:t>
            </w:r>
          </w:p>
        </w:tc>
        <w:tc>
          <w:tcPr>
            <w:tcW w:w="2300" w:type="dxa"/>
            <w:shd w:val="clear" w:color="auto" w:fill="F5F5F5"/>
            <w:tcMar>
              <w:top w:w="80" w:type="dxa"/>
              <w:left w:w="100" w:type="dxa"/>
              <w:bottom w:w="80" w:type="dxa"/>
              <w:right w:w="100" w:type="dxa"/>
            </w:tcMar>
            <w:vAlign w:val="center"/>
          </w:tcPr>
          <w:p w14:paraId="229B7C1D" w14:textId="77777777" w:rsidR="003D748E" w:rsidRDefault="00DF2056">
            <w:r>
              <w:rPr>
                <w:color w:val="000000"/>
                <w:sz w:val="19"/>
                <w:szCs w:val="19"/>
              </w:rPr>
              <w:t>Indemnización pecuniaria / reparación del daño moral</w:t>
            </w:r>
          </w:p>
        </w:tc>
        <w:tc>
          <w:tcPr>
            <w:tcW w:w="2000" w:type="dxa"/>
            <w:shd w:val="clear" w:color="auto" w:fill="F5F5F5"/>
            <w:tcMar>
              <w:top w:w="80" w:type="dxa"/>
              <w:left w:w="100" w:type="dxa"/>
              <w:bottom w:w="80" w:type="dxa"/>
              <w:right w:w="100" w:type="dxa"/>
            </w:tcMar>
            <w:vAlign w:val="center"/>
          </w:tcPr>
          <w:p w14:paraId="24ABFE9B" w14:textId="77777777" w:rsidR="003D748E" w:rsidRDefault="00DF2056">
            <w:r>
              <w:rPr>
                <w:color w:val="000000"/>
                <w:sz w:val="19"/>
                <w:szCs w:val="19"/>
              </w:rPr>
              <w:t>Proceso civil ordinario</w:t>
            </w:r>
          </w:p>
        </w:tc>
      </w:tr>
      <w:tr w:rsidR="003D748E" w14:paraId="4BA815AD" w14:textId="77777777">
        <w:tc>
          <w:tcPr>
            <w:tcW w:w="2400" w:type="dxa"/>
            <w:shd w:val="clear" w:color="auto" w:fill="FFFFFF"/>
            <w:tcMar>
              <w:top w:w="80" w:type="dxa"/>
              <w:left w:w="100" w:type="dxa"/>
              <w:bottom w:w="80" w:type="dxa"/>
              <w:right w:w="100" w:type="dxa"/>
            </w:tcMar>
            <w:vAlign w:val="center"/>
          </w:tcPr>
          <w:p w14:paraId="4D73609F" w14:textId="77777777" w:rsidR="003D748E" w:rsidRDefault="00DF2056">
            <w:r>
              <w:rPr>
                <w:color w:val="000000"/>
                <w:sz w:val="19"/>
                <w:szCs w:val="19"/>
              </w:rPr>
              <w:t>Penal</w:t>
            </w:r>
          </w:p>
        </w:tc>
        <w:tc>
          <w:tcPr>
            <w:tcW w:w="2700" w:type="dxa"/>
            <w:shd w:val="clear" w:color="auto" w:fill="FFFFFF"/>
            <w:tcMar>
              <w:top w:w="80" w:type="dxa"/>
              <w:left w:w="100" w:type="dxa"/>
              <w:bottom w:w="80" w:type="dxa"/>
              <w:right w:w="100" w:type="dxa"/>
            </w:tcMar>
            <w:vAlign w:val="center"/>
          </w:tcPr>
          <w:p w14:paraId="09444126" w14:textId="77777777" w:rsidR="003D748E" w:rsidRDefault="00DF2056">
            <w:r>
              <w:rPr>
                <w:color w:val="000000"/>
                <w:sz w:val="19"/>
                <w:szCs w:val="19"/>
              </w:rPr>
              <w:t>Tipicidad + antijuridicidad + culpabilidad</w:t>
            </w:r>
          </w:p>
        </w:tc>
        <w:tc>
          <w:tcPr>
            <w:tcW w:w="2300" w:type="dxa"/>
            <w:shd w:val="clear" w:color="auto" w:fill="FFFFFF"/>
            <w:tcMar>
              <w:top w:w="80" w:type="dxa"/>
              <w:left w:w="100" w:type="dxa"/>
              <w:bottom w:w="80" w:type="dxa"/>
              <w:right w:w="100" w:type="dxa"/>
            </w:tcMar>
            <w:vAlign w:val="center"/>
          </w:tcPr>
          <w:p w14:paraId="4EE47DF4" w14:textId="77777777" w:rsidR="003D748E" w:rsidRDefault="00DF2056">
            <w:r>
              <w:rPr>
                <w:color w:val="000000"/>
                <w:sz w:val="19"/>
                <w:szCs w:val="19"/>
              </w:rPr>
              <w:t>Sanción penal (privativa de libertad u otra)</w:t>
            </w:r>
          </w:p>
        </w:tc>
        <w:tc>
          <w:tcPr>
            <w:tcW w:w="2000" w:type="dxa"/>
            <w:shd w:val="clear" w:color="auto" w:fill="FFFFFF"/>
            <w:tcMar>
              <w:top w:w="80" w:type="dxa"/>
              <w:left w:w="100" w:type="dxa"/>
              <w:bottom w:w="80" w:type="dxa"/>
              <w:right w:w="100" w:type="dxa"/>
            </w:tcMar>
            <w:vAlign w:val="center"/>
          </w:tcPr>
          <w:p w14:paraId="1497BF3C" w14:textId="77777777" w:rsidR="003D748E" w:rsidRDefault="00DF2056">
            <w:r>
              <w:rPr>
                <w:color w:val="000000"/>
                <w:sz w:val="19"/>
                <w:szCs w:val="19"/>
              </w:rPr>
              <w:t>Proceso penal, previa denuncia</w:t>
            </w:r>
          </w:p>
        </w:tc>
      </w:tr>
      <w:tr w:rsidR="003D748E" w14:paraId="247EA083" w14:textId="77777777">
        <w:tc>
          <w:tcPr>
            <w:tcW w:w="2400" w:type="dxa"/>
            <w:shd w:val="clear" w:color="auto" w:fill="F5F5F5"/>
            <w:tcMar>
              <w:top w:w="80" w:type="dxa"/>
              <w:left w:w="100" w:type="dxa"/>
              <w:bottom w:w="80" w:type="dxa"/>
              <w:right w:w="100" w:type="dxa"/>
            </w:tcMar>
            <w:vAlign w:val="center"/>
          </w:tcPr>
          <w:p w14:paraId="531148FE" w14:textId="77777777" w:rsidR="003D748E" w:rsidRDefault="00DF2056">
            <w:r>
              <w:rPr>
                <w:color w:val="000000"/>
                <w:sz w:val="19"/>
                <w:szCs w:val="19"/>
              </w:rPr>
              <w:t>Administrativa/disciplinaria</w:t>
            </w:r>
          </w:p>
        </w:tc>
        <w:tc>
          <w:tcPr>
            <w:tcW w:w="2700" w:type="dxa"/>
            <w:shd w:val="clear" w:color="auto" w:fill="F5F5F5"/>
            <w:tcMar>
              <w:top w:w="80" w:type="dxa"/>
              <w:left w:w="100" w:type="dxa"/>
              <w:bottom w:w="80" w:type="dxa"/>
              <w:right w:w="100" w:type="dxa"/>
            </w:tcMar>
            <w:vAlign w:val="center"/>
          </w:tcPr>
          <w:p w14:paraId="757466C6" w14:textId="77777777" w:rsidR="003D748E" w:rsidRDefault="00DF2056">
            <w:r>
              <w:rPr>
                <w:color w:val="000000"/>
                <w:sz w:val="19"/>
                <w:szCs w:val="19"/>
              </w:rPr>
              <w:t>Infracción de deberes funcionales o normativa sanitaria</w:t>
            </w:r>
          </w:p>
        </w:tc>
        <w:tc>
          <w:tcPr>
            <w:tcW w:w="2300" w:type="dxa"/>
            <w:shd w:val="clear" w:color="auto" w:fill="F5F5F5"/>
            <w:tcMar>
              <w:top w:w="80" w:type="dxa"/>
              <w:left w:w="100" w:type="dxa"/>
              <w:bottom w:w="80" w:type="dxa"/>
              <w:right w:w="100" w:type="dxa"/>
            </w:tcMar>
            <w:vAlign w:val="center"/>
          </w:tcPr>
          <w:p w14:paraId="0D18C920" w14:textId="77777777" w:rsidR="003D748E" w:rsidRDefault="00DF2056">
            <w:r>
              <w:rPr>
                <w:color w:val="000000"/>
                <w:sz w:val="19"/>
                <w:szCs w:val="19"/>
              </w:rPr>
              <w:t>Medidas disciplinarias internas</w:t>
            </w:r>
          </w:p>
        </w:tc>
        <w:tc>
          <w:tcPr>
            <w:tcW w:w="2000" w:type="dxa"/>
            <w:shd w:val="clear" w:color="auto" w:fill="F5F5F5"/>
            <w:tcMar>
              <w:top w:w="80" w:type="dxa"/>
              <w:left w:w="100" w:type="dxa"/>
              <w:bottom w:w="80" w:type="dxa"/>
              <w:right w:w="100" w:type="dxa"/>
            </w:tcMar>
            <w:vAlign w:val="center"/>
          </w:tcPr>
          <w:p w14:paraId="2D79B035" w14:textId="77777777" w:rsidR="003D748E" w:rsidRDefault="00DF2056">
            <w:r>
              <w:rPr>
                <w:color w:val="000000"/>
                <w:sz w:val="19"/>
                <w:szCs w:val="19"/>
              </w:rPr>
              <w:t>Queja ante dirección de salud / expediente disciplinario</w:t>
            </w:r>
          </w:p>
        </w:tc>
      </w:tr>
      <w:tr w:rsidR="003D748E" w14:paraId="26A2EA2C" w14:textId="77777777">
        <w:tc>
          <w:tcPr>
            <w:tcW w:w="2400" w:type="dxa"/>
            <w:shd w:val="clear" w:color="auto" w:fill="FFFFFF"/>
            <w:tcMar>
              <w:top w:w="80" w:type="dxa"/>
              <w:left w:w="100" w:type="dxa"/>
              <w:bottom w:w="80" w:type="dxa"/>
              <w:right w:w="100" w:type="dxa"/>
            </w:tcMar>
            <w:vAlign w:val="center"/>
          </w:tcPr>
          <w:p w14:paraId="6F4C272D" w14:textId="77777777" w:rsidR="003D748E" w:rsidRDefault="00DF2056">
            <w:r>
              <w:rPr>
                <w:color w:val="000000"/>
                <w:sz w:val="19"/>
                <w:szCs w:val="19"/>
              </w:rPr>
              <w:t>Patrimonial del Estado</w:t>
            </w:r>
          </w:p>
        </w:tc>
        <w:tc>
          <w:tcPr>
            <w:tcW w:w="2700" w:type="dxa"/>
            <w:shd w:val="clear" w:color="auto" w:fill="FFFFFF"/>
            <w:tcMar>
              <w:top w:w="80" w:type="dxa"/>
              <w:left w:w="100" w:type="dxa"/>
              <w:bottom w:w="80" w:type="dxa"/>
              <w:right w:w="100" w:type="dxa"/>
            </w:tcMar>
            <w:vAlign w:val="center"/>
          </w:tcPr>
          <w:p w14:paraId="4005E44E" w14:textId="77777777" w:rsidR="003D748E" w:rsidRDefault="00DF2056">
            <w:r>
              <w:rPr>
                <w:color w:val="000000"/>
                <w:sz w:val="19"/>
                <w:szCs w:val="19"/>
              </w:rPr>
              <w:t>Falla del servicio público de salud</w:t>
            </w:r>
          </w:p>
        </w:tc>
        <w:tc>
          <w:tcPr>
            <w:tcW w:w="2300" w:type="dxa"/>
            <w:shd w:val="clear" w:color="auto" w:fill="FFFFFF"/>
            <w:tcMar>
              <w:top w:w="80" w:type="dxa"/>
              <w:left w:w="100" w:type="dxa"/>
              <w:bottom w:w="80" w:type="dxa"/>
              <w:right w:w="100" w:type="dxa"/>
            </w:tcMar>
            <w:vAlign w:val="center"/>
          </w:tcPr>
          <w:p w14:paraId="7185D76F" w14:textId="77777777" w:rsidR="003D748E" w:rsidRDefault="00DF2056">
            <w:r>
              <w:rPr>
                <w:color w:val="000000"/>
                <w:sz w:val="19"/>
                <w:szCs w:val="19"/>
              </w:rPr>
              <w:t>Indemnización a cargo del Estado</w:t>
            </w:r>
          </w:p>
        </w:tc>
        <w:tc>
          <w:tcPr>
            <w:tcW w:w="2000" w:type="dxa"/>
            <w:shd w:val="clear" w:color="auto" w:fill="FFFFFF"/>
            <w:tcMar>
              <w:top w:w="80" w:type="dxa"/>
              <w:left w:w="100" w:type="dxa"/>
              <w:bottom w:w="80" w:type="dxa"/>
              <w:right w:w="100" w:type="dxa"/>
            </w:tcMar>
            <w:vAlign w:val="center"/>
          </w:tcPr>
          <w:p w14:paraId="5DD6984A" w14:textId="77777777" w:rsidR="003D748E" w:rsidRDefault="00DF2056">
            <w:r>
              <w:rPr>
                <w:color w:val="000000"/>
                <w:sz w:val="19"/>
                <w:szCs w:val="19"/>
              </w:rPr>
              <w:t>Vía administrativa y, eventualmente, judicial</w:t>
            </w:r>
          </w:p>
        </w:tc>
      </w:tr>
    </w:tbl>
    <w:p w14:paraId="365FDCCA" w14:textId="77777777" w:rsidR="003D748E" w:rsidRDefault="003D748E">
      <w:pPr>
        <w:pStyle w:val="Ttulo2"/>
        <w:spacing w:before="300" w:after="150"/>
        <w:rPr>
          <w:b/>
          <w:bCs/>
          <w:color w:val="1F3864"/>
          <w:sz w:val="25"/>
          <w:szCs w:val="25"/>
        </w:rPr>
      </w:pPr>
    </w:p>
    <w:p w14:paraId="1164046F" w14:textId="77777777" w:rsidR="003D748E" w:rsidRDefault="003D748E">
      <w:pPr>
        <w:pStyle w:val="Ttulo2"/>
        <w:spacing w:before="300" w:after="150"/>
        <w:rPr>
          <w:b/>
          <w:bCs/>
          <w:color w:val="1F3864"/>
          <w:sz w:val="25"/>
          <w:szCs w:val="25"/>
        </w:rPr>
      </w:pPr>
    </w:p>
    <w:p w14:paraId="520763B5" w14:textId="77777777" w:rsidR="003D748E" w:rsidRDefault="00DF2056">
      <w:pPr>
        <w:pStyle w:val="Ttulo2"/>
        <w:spacing w:before="300" w:after="150"/>
      </w:pPr>
      <w:r>
        <w:rPr>
          <w:b/>
          <w:bCs/>
          <w:color w:val="1F3864"/>
          <w:sz w:val="25"/>
          <w:szCs w:val="25"/>
        </w:rPr>
        <w:lastRenderedPageBreak/>
        <w:t>4. Actividades de aprendizaje</w:t>
      </w:r>
    </w:p>
    <w:p w14:paraId="7482DEA7" w14:textId="77777777" w:rsidR="003D748E" w:rsidRDefault="00DF2056">
      <w:pPr>
        <w:pStyle w:val="Ttulo3"/>
        <w:spacing w:before="200" w:after="100"/>
      </w:pPr>
      <w:r>
        <w:rPr>
          <w:b/>
          <w:bCs/>
          <w:i/>
          <w:iCs/>
          <w:color w:val="8B6F1F"/>
          <w:sz w:val="22"/>
          <w:szCs w:val="22"/>
        </w:rPr>
        <w:t>Comprensión</w:t>
      </w:r>
    </w:p>
    <w:p w14:paraId="3B21895B" w14:textId="77777777" w:rsidR="003D748E" w:rsidRDefault="00DF2056">
      <w:pPr>
        <w:pStyle w:val="Prrafodelista"/>
        <w:numPr>
          <w:ilvl w:val="0"/>
          <w:numId w:val="2"/>
        </w:numPr>
        <w:spacing w:after="100"/>
      </w:pPr>
      <w:r>
        <w:rPr>
          <w:szCs w:val="21"/>
        </w:rPr>
        <w:t>Distinga, mediante un cuadro comparativo propio, los presupuestos de la responsabilidad civil y penal aplicables a un mismo supuesto de hecho de violencia obstétrica.</w:t>
      </w:r>
    </w:p>
    <w:p w14:paraId="3BC2C48E" w14:textId="77777777" w:rsidR="003D748E" w:rsidRDefault="00DF2056">
      <w:pPr>
        <w:pStyle w:val="Ttulo3"/>
        <w:spacing w:before="200" w:after="100"/>
      </w:pPr>
      <w:r>
        <w:rPr>
          <w:b/>
          <w:bCs/>
          <w:i/>
          <w:iCs/>
          <w:color w:val="8B6F1F"/>
          <w:sz w:val="22"/>
          <w:szCs w:val="22"/>
        </w:rPr>
        <w:t>Aplicación</w:t>
      </w:r>
    </w:p>
    <w:p w14:paraId="09808EB9" w14:textId="77777777" w:rsidR="003D748E" w:rsidRDefault="00DF2056">
      <w:pPr>
        <w:pStyle w:val="Prrafodelista"/>
        <w:numPr>
          <w:ilvl w:val="0"/>
          <w:numId w:val="2"/>
        </w:numPr>
        <w:spacing w:after="100"/>
      </w:pPr>
      <w:r>
        <w:rPr>
          <w:szCs w:val="21"/>
        </w:rPr>
        <w:t>Redacte los fundamentos de derecho de una demanda civil hipotética por daño moral derivado de la vulneración del consentimiento informado en un parto, citando la normativa cubana pertinente.</w:t>
      </w:r>
    </w:p>
    <w:p w14:paraId="27496AB3" w14:textId="77777777" w:rsidR="003D748E" w:rsidRDefault="00DF2056">
      <w:pPr>
        <w:pStyle w:val="Ttulo3"/>
        <w:spacing w:before="200" w:after="100"/>
      </w:pPr>
      <w:r>
        <w:rPr>
          <w:b/>
          <w:bCs/>
          <w:i/>
          <w:iCs/>
          <w:color w:val="8B6F1F"/>
          <w:sz w:val="22"/>
          <w:szCs w:val="22"/>
        </w:rPr>
        <w:t>Valoración crítica</w:t>
      </w:r>
    </w:p>
    <w:p w14:paraId="5F93537C" w14:textId="77777777" w:rsidR="003D748E" w:rsidRDefault="00DF2056">
      <w:pPr>
        <w:pStyle w:val="Prrafodelista"/>
        <w:numPr>
          <w:ilvl w:val="0"/>
          <w:numId w:val="2"/>
        </w:numPr>
        <w:spacing w:after="100"/>
      </w:pPr>
      <w:r>
        <w:rPr>
          <w:szCs w:val="21"/>
        </w:rPr>
        <w:t>Argumente, en seminario, si resulta dogmáticamente sostenible construir en Cuba una responsabilidad patrimonial del Estado por violencia obstétrica a partir del artículo 72 constitucional, considerando las particularidades del sistema único y gratuito de salud.</w:t>
      </w:r>
    </w:p>
    <w:p w14:paraId="4F5B3BDA" w14:textId="77777777" w:rsidR="003D748E" w:rsidRDefault="00DF2056">
      <w:pPr>
        <w:pStyle w:val="Ttulo2"/>
        <w:spacing w:before="300" w:after="150"/>
      </w:pPr>
      <w:r>
        <w:rPr>
          <w:b/>
          <w:bCs/>
          <w:color w:val="1F3864"/>
          <w:sz w:val="25"/>
          <w:szCs w:val="25"/>
        </w:rPr>
        <w:t>5. Preguntas de autoevaluación</w:t>
      </w:r>
    </w:p>
    <w:p w14:paraId="7C86D183" w14:textId="77777777" w:rsidR="003D748E" w:rsidRDefault="00DF2056">
      <w:pPr>
        <w:pStyle w:val="Prrafodelista"/>
        <w:numPr>
          <w:ilvl w:val="0"/>
          <w:numId w:val="1"/>
        </w:numPr>
        <w:spacing w:after="100"/>
      </w:pPr>
      <w:r>
        <w:rPr>
          <w:szCs w:val="21"/>
        </w:rPr>
        <w:t>Diferencie daño moral y daño al proyecto de vida.</w:t>
      </w:r>
    </w:p>
    <w:p w14:paraId="26C1C787" w14:textId="77777777" w:rsidR="003D748E" w:rsidRDefault="00DF2056">
      <w:pPr>
        <w:pStyle w:val="Prrafodelista"/>
        <w:numPr>
          <w:ilvl w:val="0"/>
          <w:numId w:val="1"/>
        </w:numPr>
        <w:spacing w:after="100"/>
      </w:pPr>
      <w:r>
        <w:rPr>
          <w:szCs w:val="21"/>
        </w:rPr>
        <w:t>¿Qué elementos integran la imputación objetiva en el ámbito de la responsabilidad penal del personal sanitario?</w:t>
      </w:r>
    </w:p>
    <w:p w14:paraId="34FEF127" w14:textId="77777777" w:rsidR="003D748E" w:rsidRDefault="00DF2056">
      <w:pPr>
        <w:pStyle w:val="Prrafodelista"/>
        <w:numPr>
          <w:ilvl w:val="0"/>
          <w:numId w:val="1"/>
        </w:numPr>
        <w:spacing w:after="100"/>
      </w:pPr>
      <w:r>
        <w:rPr>
          <w:szCs w:val="21"/>
        </w:rPr>
        <w:t>Enumere los cinco componentes del estándar de reparación integral.</w:t>
      </w:r>
    </w:p>
    <w:p w14:paraId="1D1C8E91" w14:textId="77777777" w:rsidR="003D748E" w:rsidRDefault="00DF2056">
      <w:r>
        <w:br w:type="page"/>
      </w:r>
    </w:p>
    <w:p w14:paraId="6A1F7B52" w14:textId="77777777" w:rsidR="003D748E" w:rsidRDefault="00DF2056">
      <w:pPr>
        <w:pStyle w:val="Ttulo1"/>
        <w:pBdr>
          <w:bottom w:val="single" w:sz="8" w:space="4" w:color="1F3864"/>
        </w:pBdr>
        <w:spacing w:before="400" w:after="200"/>
      </w:pPr>
      <w:r>
        <w:rPr>
          <w:b/>
          <w:bCs/>
          <w:color w:val="1F3864"/>
          <w:sz w:val="30"/>
          <w:szCs w:val="30"/>
        </w:rPr>
        <w:lastRenderedPageBreak/>
        <w:t>TEMA V. DERECHO COMPARADO, JURISPRUDENCIA Y MECANISMOS DE EXIGIBILIDAD</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69DFD4F6" w14:textId="77777777">
        <w:trPr>
          <w:tblHeader/>
        </w:trPr>
        <w:tc>
          <w:tcPr>
            <w:tcW w:w="3000" w:type="dxa"/>
            <w:shd w:val="clear" w:color="auto" w:fill="1F3864"/>
            <w:tcMar>
              <w:top w:w="80" w:type="dxa"/>
              <w:left w:w="100" w:type="dxa"/>
              <w:bottom w:w="80" w:type="dxa"/>
              <w:right w:w="100" w:type="dxa"/>
            </w:tcMar>
            <w:vAlign w:val="center"/>
          </w:tcPr>
          <w:p w14:paraId="063A76F3"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215492EC" w14:textId="77777777" w:rsidR="003D748E" w:rsidRDefault="003D748E">
            <w:pPr>
              <w:jc w:val="center"/>
            </w:pPr>
          </w:p>
        </w:tc>
      </w:tr>
      <w:tr w:rsidR="003D748E" w14:paraId="6CA6E704" w14:textId="77777777">
        <w:tc>
          <w:tcPr>
            <w:tcW w:w="3000" w:type="dxa"/>
            <w:shd w:val="clear" w:color="auto" w:fill="F5F5F5"/>
            <w:tcMar>
              <w:top w:w="80" w:type="dxa"/>
              <w:left w:w="100" w:type="dxa"/>
              <w:bottom w:w="80" w:type="dxa"/>
              <w:right w:w="100" w:type="dxa"/>
            </w:tcMar>
            <w:vAlign w:val="center"/>
          </w:tcPr>
          <w:p w14:paraId="20B6252C"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3552A740" w14:textId="77777777" w:rsidR="003D748E" w:rsidRDefault="00DF2056">
            <w:r>
              <w:rPr>
                <w:color w:val="000000"/>
                <w:sz w:val="19"/>
                <w:szCs w:val="19"/>
              </w:rPr>
              <w:t>8</w:t>
            </w:r>
          </w:p>
        </w:tc>
      </w:tr>
      <w:tr w:rsidR="003D748E" w14:paraId="0D32477B" w14:textId="77777777">
        <w:tc>
          <w:tcPr>
            <w:tcW w:w="3000" w:type="dxa"/>
            <w:shd w:val="clear" w:color="auto" w:fill="FFFFFF"/>
            <w:tcMar>
              <w:top w:w="80" w:type="dxa"/>
              <w:left w:w="100" w:type="dxa"/>
              <w:bottom w:w="80" w:type="dxa"/>
              <w:right w:w="100" w:type="dxa"/>
            </w:tcMar>
            <w:vAlign w:val="center"/>
          </w:tcPr>
          <w:p w14:paraId="6031B85F"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261B4162" w14:textId="77777777" w:rsidR="003D748E" w:rsidRDefault="00DF2056">
            <w:r>
              <w:rPr>
                <w:color w:val="000000"/>
                <w:sz w:val="19"/>
                <w:szCs w:val="19"/>
              </w:rPr>
              <w:t>Valorar críticamente experiencias de derecho comparado latinoamericano en materia de tipificación y exigibilidad de la violencia obstétrica, como referente para el análisis del ordenamiento cubano.</w:t>
            </w:r>
          </w:p>
        </w:tc>
      </w:tr>
    </w:tbl>
    <w:p w14:paraId="13615405" w14:textId="77777777" w:rsidR="003D748E" w:rsidRDefault="003D748E">
      <w:pPr>
        <w:spacing w:after="120"/>
      </w:pPr>
    </w:p>
    <w:p w14:paraId="16068C34" w14:textId="77777777" w:rsidR="003D748E" w:rsidRDefault="00DF2056">
      <w:pPr>
        <w:pStyle w:val="Ttulo3"/>
        <w:spacing w:before="200" w:after="100"/>
      </w:pPr>
      <w:r>
        <w:rPr>
          <w:b/>
          <w:bCs/>
          <w:i/>
          <w:iCs/>
          <w:color w:val="8B6F1F"/>
          <w:sz w:val="22"/>
          <w:szCs w:val="22"/>
        </w:rPr>
        <w:t>Objetivos específicos del tema</w:t>
      </w:r>
    </w:p>
    <w:p w14:paraId="20EA3120" w14:textId="77777777" w:rsidR="003D748E" w:rsidRDefault="00DF2056">
      <w:pPr>
        <w:pStyle w:val="Prrafodelista"/>
        <w:numPr>
          <w:ilvl w:val="0"/>
          <w:numId w:val="1"/>
        </w:numPr>
        <w:spacing w:after="100"/>
      </w:pPr>
      <w:r>
        <w:rPr>
          <w:szCs w:val="21"/>
        </w:rPr>
        <w:t>Analizar comparativamente las leyes de Venezuela, Argentina y México sobre violencia obstétrica.</w:t>
      </w:r>
    </w:p>
    <w:p w14:paraId="29FE141E" w14:textId="77777777" w:rsidR="003D748E" w:rsidRDefault="00DF2056">
      <w:pPr>
        <w:pStyle w:val="Prrafodelista"/>
        <w:numPr>
          <w:ilvl w:val="0"/>
          <w:numId w:val="1"/>
        </w:numPr>
        <w:spacing w:after="100"/>
      </w:pPr>
      <w:r>
        <w:rPr>
          <w:szCs w:val="21"/>
        </w:rPr>
        <w:t>Examinar jurisprudencia relevante de tribunales latinoamericanos y del Sistema Interamericano.</w:t>
      </w:r>
    </w:p>
    <w:p w14:paraId="79237701" w14:textId="77777777" w:rsidR="003D748E" w:rsidRDefault="00DF2056">
      <w:pPr>
        <w:pStyle w:val="Prrafodelista"/>
        <w:numPr>
          <w:ilvl w:val="0"/>
          <w:numId w:val="1"/>
        </w:numPr>
        <w:spacing w:after="100"/>
      </w:pPr>
      <w:r>
        <w:rPr>
          <w:szCs w:val="21"/>
        </w:rPr>
        <w:t>Evaluar mecanismos de exigibilidad administrativa y judicial disponibles en Cuba.</w:t>
      </w:r>
    </w:p>
    <w:p w14:paraId="3C1B7170" w14:textId="77777777" w:rsidR="003D748E" w:rsidRDefault="00DF2056">
      <w:pPr>
        <w:pStyle w:val="Ttulo2"/>
        <w:spacing w:before="300" w:after="150"/>
      </w:pPr>
      <w:r>
        <w:rPr>
          <w:b/>
          <w:bCs/>
          <w:color w:val="1F3864"/>
          <w:sz w:val="25"/>
          <w:szCs w:val="25"/>
        </w:rPr>
        <w:t>1. Síntesis de contenidos por subtema</w:t>
      </w:r>
    </w:p>
    <w:p w14:paraId="2F4DD470" w14:textId="77777777" w:rsidR="003D748E" w:rsidRDefault="00DF2056">
      <w:pPr>
        <w:pStyle w:val="Ttulo3"/>
        <w:spacing w:before="200" w:after="100"/>
      </w:pPr>
      <w:r>
        <w:rPr>
          <w:b/>
          <w:bCs/>
          <w:i/>
          <w:iCs/>
          <w:color w:val="8B6F1F"/>
          <w:sz w:val="22"/>
          <w:szCs w:val="22"/>
        </w:rPr>
        <w:t>5.1. Venezuela</w:t>
      </w:r>
    </w:p>
    <w:p w14:paraId="408DD68E" w14:textId="77777777" w:rsidR="003D748E" w:rsidRDefault="00DF2056">
      <w:pPr>
        <w:spacing w:after="160" w:line="276" w:lineRule="auto"/>
        <w:jc w:val="both"/>
      </w:pPr>
      <w:r>
        <w:rPr>
          <w:szCs w:val="21"/>
        </w:rPr>
        <w:t>La Ley Orgánica sobre el Derecho de las Mujeres a una Vida Libre de Violencia (2007) tipifica de manera autónoma la violencia obstétrica en su artículo 15.13, constituyendo el primer antecedente normativo de la región y el modelo de referencia obligada para cualquier análisis comparado.</w:t>
      </w:r>
    </w:p>
    <w:p w14:paraId="54EFD6B1" w14:textId="77777777" w:rsidR="003D748E" w:rsidRDefault="00DF2056">
      <w:pPr>
        <w:pStyle w:val="Ttulo3"/>
        <w:spacing w:before="200" w:after="100"/>
      </w:pPr>
      <w:r>
        <w:rPr>
          <w:b/>
          <w:bCs/>
          <w:i/>
          <w:iCs/>
          <w:color w:val="8B6F1F"/>
          <w:sz w:val="22"/>
          <w:szCs w:val="22"/>
        </w:rPr>
        <w:t>5.2. Argentina</w:t>
      </w:r>
    </w:p>
    <w:p w14:paraId="38E12A87" w14:textId="77777777" w:rsidR="003D748E" w:rsidRDefault="00DF2056">
      <w:pPr>
        <w:spacing w:after="160" w:line="276" w:lineRule="auto"/>
        <w:jc w:val="both"/>
      </w:pPr>
      <w:r>
        <w:rPr>
          <w:szCs w:val="21"/>
        </w:rPr>
        <w:t>La Ley 25.929 de Parto Humanizado (2004) reconoce derechos específicos de la persona gestante durante el proceso de parto, en articulación con la Ley 26.485 de Protección Integral a las Mujeres (2009), que incorpora la violencia obstétrica como modalidad específica de violencia de género (art. 6, inciso e). El modelo argentino ilustra la vía de protección administrativa y civil reforzada, sin tipificación penal autónoma.</w:t>
      </w:r>
    </w:p>
    <w:p w14:paraId="73DD0FCE" w14:textId="77777777" w:rsidR="003D748E" w:rsidRDefault="00DF2056">
      <w:pPr>
        <w:pStyle w:val="Ttulo3"/>
        <w:spacing w:before="200" w:after="100"/>
      </w:pPr>
      <w:r>
        <w:rPr>
          <w:b/>
          <w:bCs/>
          <w:i/>
          <w:iCs/>
          <w:color w:val="8B6F1F"/>
          <w:sz w:val="22"/>
          <w:szCs w:val="22"/>
        </w:rPr>
        <w:t>5.3. México</w:t>
      </w:r>
    </w:p>
    <w:p w14:paraId="035FCC57" w14:textId="77777777" w:rsidR="003D748E" w:rsidRDefault="00DF2056">
      <w:pPr>
        <w:spacing w:after="160" w:line="276" w:lineRule="auto"/>
        <w:jc w:val="both"/>
      </w:pPr>
      <w:r>
        <w:rPr>
          <w:szCs w:val="21"/>
        </w:rPr>
        <w:t>La jurisprudencia de la Suprema Corte de Justicia de la Nación ha desarrollado estándares relevantes sobre consentimiento informado y violencia obstétrica, complementados por la Norma Oficial Mexicana NOM-007, de naturaleza técnico-administrativa, que regula la atención de la mujer durante el embarazo, parto y puerperio.</w:t>
      </w:r>
    </w:p>
    <w:p w14:paraId="43EB6170" w14:textId="77777777" w:rsidR="003D748E" w:rsidRDefault="00DF2056">
      <w:pPr>
        <w:pStyle w:val="Ttulo3"/>
        <w:spacing w:before="200" w:after="100"/>
      </w:pPr>
      <w:r>
        <w:rPr>
          <w:b/>
          <w:bCs/>
          <w:i/>
          <w:iCs/>
          <w:color w:val="8B6F1F"/>
          <w:sz w:val="22"/>
          <w:szCs w:val="22"/>
        </w:rPr>
        <w:t>5.4. Análisis crítico comparado</w:t>
      </w:r>
    </w:p>
    <w:p w14:paraId="0472170F" w14:textId="77777777" w:rsidR="003D748E" w:rsidRDefault="00DF2056">
      <w:pPr>
        <w:spacing w:after="160" w:line="276" w:lineRule="auto"/>
        <w:jc w:val="both"/>
      </w:pPr>
      <w:r>
        <w:rPr>
          <w:szCs w:val="21"/>
        </w:rPr>
        <w:t>El ejercicio dogmático central de este subtema consiste en evaluar, con criterios de pertinencia y viabilidad institucional, cuál de los dos grandes modelos —tipificación penal autónoma (Venezuela) o protección administrativa/civil reforzada (Argentina, México</w:t>
      </w:r>
      <w:proofErr w:type="gramStart"/>
      <w:r>
        <w:rPr>
          <w:szCs w:val="21"/>
        </w:rPr>
        <w:t>)—</w:t>
      </w:r>
      <w:proofErr w:type="gramEnd"/>
      <w:r>
        <w:rPr>
          <w:szCs w:val="21"/>
        </w:rPr>
        <w:t xml:space="preserve"> resulta más adecuado para el contexto jurídico-institucional cubano, considerando el principio de intervención mínima del Derecho Penal y las capacidades reales del sistema de salud pública cubano.</w:t>
      </w:r>
    </w:p>
    <w:p w14:paraId="262C0C62" w14:textId="77777777" w:rsidR="003D748E" w:rsidRDefault="00DF2056">
      <w:pPr>
        <w:pStyle w:val="Ttulo3"/>
        <w:spacing w:before="200" w:after="100"/>
      </w:pPr>
      <w:r>
        <w:rPr>
          <w:b/>
          <w:bCs/>
          <w:i/>
          <w:iCs/>
          <w:color w:val="8B6F1F"/>
          <w:sz w:val="22"/>
          <w:szCs w:val="22"/>
        </w:rPr>
        <w:t>5.5. Mecanismos de exigibilidad en Cuba</w:t>
      </w:r>
    </w:p>
    <w:p w14:paraId="396D992B" w14:textId="77777777" w:rsidR="003D748E" w:rsidRDefault="00DF2056">
      <w:pPr>
        <w:spacing w:after="160" w:line="276" w:lineRule="auto"/>
        <w:jc w:val="both"/>
      </w:pPr>
      <w:r>
        <w:rPr>
          <w:szCs w:val="21"/>
        </w:rPr>
        <w:t xml:space="preserve">Se examinan las vías administrativa (queja ante direcciones de salud), civil (proceso ordinario), y la eventual intervención de la Fiscalía General de la República en supuestos de relevancia penal. Se destaca el rol de redes académicas y espacios institucionales cubanos —como la Red Cubana de Estudios sobre Cuidados y CENESEX— en la documentación, </w:t>
      </w:r>
      <w:proofErr w:type="spellStart"/>
      <w:r>
        <w:rPr>
          <w:szCs w:val="21"/>
        </w:rPr>
        <w:t>visibilización</w:t>
      </w:r>
      <w:proofErr w:type="spellEnd"/>
      <w:r>
        <w:rPr>
          <w:szCs w:val="21"/>
        </w:rPr>
        <w:t xml:space="preserve"> y producción de conocimiento sobre el fenómeno, en tanto insumo para la eventual reforma normativa.</w:t>
      </w:r>
    </w:p>
    <w:p w14:paraId="08471A0C" w14:textId="77777777" w:rsidR="003D748E" w:rsidRDefault="00DF2056">
      <w:pPr>
        <w:pStyle w:val="Ttulo2"/>
        <w:spacing w:before="300" w:after="150"/>
      </w:pPr>
      <w:r>
        <w:rPr>
          <w:b/>
          <w:bCs/>
          <w:color w:val="1F3864"/>
          <w:sz w:val="25"/>
          <w:szCs w:val="25"/>
        </w:rPr>
        <w:lastRenderedPageBreak/>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1873A28C" w14:textId="77777777">
        <w:trPr>
          <w:tblHeader/>
        </w:trPr>
        <w:tc>
          <w:tcPr>
            <w:tcW w:w="2600" w:type="dxa"/>
            <w:shd w:val="clear" w:color="auto" w:fill="1F3864"/>
            <w:tcMar>
              <w:top w:w="80" w:type="dxa"/>
              <w:left w:w="100" w:type="dxa"/>
              <w:bottom w:w="80" w:type="dxa"/>
              <w:right w:w="100" w:type="dxa"/>
            </w:tcMar>
            <w:vAlign w:val="center"/>
          </w:tcPr>
          <w:p w14:paraId="070F0D90"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30CBAD37" w14:textId="77777777" w:rsidR="003D748E" w:rsidRDefault="00DF2056">
            <w:pPr>
              <w:jc w:val="center"/>
            </w:pPr>
            <w:r>
              <w:rPr>
                <w:b/>
                <w:bCs/>
                <w:color w:val="FFFFFF"/>
                <w:sz w:val="19"/>
                <w:szCs w:val="19"/>
              </w:rPr>
              <w:t>Definición operativa</w:t>
            </w:r>
          </w:p>
        </w:tc>
      </w:tr>
      <w:tr w:rsidR="003D748E" w14:paraId="291DA3FE" w14:textId="77777777">
        <w:tc>
          <w:tcPr>
            <w:tcW w:w="2600" w:type="dxa"/>
            <w:shd w:val="clear" w:color="auto" w:fill="F5F5F5"/>
            <w:tcMar>
              <w:top w:w="80" w:type="dxa"/>
              <w:left w:w="100" w:type="dxa"/>
              <w:bottom w:w="80" w:type="dxa"/>
              <w:right w:w="100" w:type="dxa"/>
            </w:tcMar>
            <w:vAlign w:val="center"/>
          </w:tcPr>
          <w:p w14:paraId="6B54FB83" w14:textId="77777777" w:rsidR="003D748E" w:rsidRDefault="00DF2056">
            <w:r>
              <w:rPr>
                <w:color w:val="000000"/>
                <w:sz w:val="19"/>
                <w:szCs w:val="19"/>
              </w:rPr>
              <w:t>Tipificación penal autónoma</w:t>
            </w:r>
          </w:p>
        </w:tc>
        <w:tc>
          <w:tcPr>
            <w:tcW w:w="7200" w:type="dxa"/>
            <w:shd w:val="clear" w:color="auto" w:fill="F5F5F5"/>
            <w:tcMar>
              <w:top w:w="80" w:type="dxa"/>
              <w:left w:w="100" w:type="dxa"/>
              <w:bottom w:w="80" w:type="dxa"/>
              <w:right w:w="100" w:type="dxa"/>
            </w:tcMar>
            <w:vAlign w:val="center"/>
          </w:tcPr>
          <w:p w14:paraId="0411D6D8" w14:textId="77777777" w:rsidR="003D748E" w:rsidRDefault="00DF2056">
            <w:r>
              <w:rPr>
                <w:color w:val="000000"/>
                <w:sz w:val="19"/>
                <w:szCs w:val="19"/>
              </w:rPr>
              <w:t>Técnica legislativa consistente en crear un tipo penal específico para una conducta, dotándola de sustantividad propia frente a los tipos penales generales preexistentes.</w:t>
            </w:r>
          </w:p>
        </w:tc>
      </w:tr>
      <w:tr w:rsidR="003D748E" w14:paraId="2D140CBF" w14:textId="77777777">
        <w:tc>
          <w:tcPr>
            <w:tcW w:w="2600" w:type="dxa"/>
            <w:shd w:val="clear" w:color="auto" w:fill="FFFFFF"/>
            <w:tcMar>
              <w:top w:w="80" w:type="dxa"/>
              <w:left w:w="100" w:type="dxa"/>
              <w:bottom w:w="80" w:type="dxa"/>
              <w:right w:w="100" w:type="dxa"/>
            </w:tcMar>
            <w:vAlign w:val="center"/>
          </w:tcPr>
          <w:p w14:paraId="32A6C3D1" w14:textId="77777777" w:rsidR="003D748E" w:rsidRDefault="00DF2056">
            <w:r>
              <w:rPr>
                <w:color w:val="000000"/>
                <w:sz w:val="19"/>
                <w:szCs w:val="19"/>
              </w:rPr>
              <w:t>Principio de intervención mínima</w:t>
            </w:r>
          </w:p>
        </w:tc>
        <w:tc>
          <w:tcPr>
            <w:tcW w:w="7200" w:type="dxa"/>
            <w:shd w:val="clear" w:color="auto" w:fill="FFFFFF"/>
            <w:tcMar>
              <w:top w:w="80" w:type="dxa"/>
              <w:left w:w="100" w:type="dxa"/>
              <w:bottom w:w="80" w:type="dxa"/>
              <w:right w:w="100" w:type="dxa"/>
            </w:tcMar>
            <w:vAlign w:val="center"/>
          </w:tcPr>
          <w:p w14:paraId="17000038" w14:textId="77777777" w:rsidR="003D748E" w:rsidRDefault="00DF2056">
            <w:r>
              <w:rPr>
                <w:color w:val="000000"/>
                <w:sz w:val="19"/>
                <w:szCs w:val="19"/>
              </w:rPr>
              <w:t>Principio de política criminal según el cual el Derecho Penal debe reservarse como último recurso (ultima ratio) frente a otras formas de control jurídico menos gravosas.</w:t>
            </w:r>
          </w:p>
        </w:tc>
      </w:tr>
      <w:tr w:rsidR="003D748E" w14:paraId="05C975E7" w14:textId="77777777">
        <w:tc>
          <w:tcPr>
            <w:tcW w:w="2600" w:type="dxa"/>
            <w:shd w:val="clear" w:color="auto" w:fill="F5F5F5"/>
            <w:tcMar>
              <w:top w:w="80" w:type="dxa"/>
              <w:left w:w="100" w:type="dxa"/>
              <w:bottom w:w="80" w:type="dxa"/>
              <w:right w:w="100" w:type="dxa"/>
            </w:tcMar>
            <w:vAlign w:val="center"/>
          </w:tcPr>
          <w:p w14:paraId="28980382" w14:textId="77777777" w:rsidR="003D748E" w:rsidRDefault="00DF2056">
            <w:r>
              <w:rPr>
                <w:color w:val="000000"/>
                <w:sz w:val="19"/>
                <w:szCs w:val="19"/>
              </w:rPr>
              <w:t>Norma técnica-administrativa</w:t>
            </w:r>
          </w:p>
        </w:tc>
        <w:tc>
          <w:tcPr>
            <w:tcW w:w="7200" w:type="dxa"/>
            <w:shd w:val="clear" w:color="auto" w:fill="F5F5F5"/>
            <w:tcMar>
              <w:top w:w="80" w:type="dxa"/>
              <w:left w:w="100" w:type="dxa"/>
              <w:bottom w:w="80" w:type="dxa"/>
              <w:right w:w="100" w:type="dxa"/>
            </w:tcMar>
            <w:vAlign w:val="center"/>
          </w:tcPr>
          <w:p w14:paraId="2EBB43A7" w14:textId="77777777" w:rsidR="003D748E" w:rsidRDefault="00DF2056">
            <w:r>
              <w:rPr>
                <w:color w:val="000000"/>
                <w:sz w:val="19"/>
                <w:szCs w:val="19"/>
              </w:rPr>
              <w:t xml:space="preserve">Instrumento normativo de rango </w:t>
            </w:r>
            <w:proofErr w:type="spellStart"/>
            <w:r>
              <w:rPr>
                <w:color w:val="000000"/>
                <w:sz w:val="19"/>
                <w:szCs w:val="19"/>
              </w:rPr>
              <w:t>infralegal</w:t>
            </w:r>
            <w:proofErr w:type="spellEnd"/>
            <w:r>
              <w:rPr>
                <w:color w:val="000000"/>
                <w:sz w:val="19"/>
                <w:szCs w:val="19"/>
              </w:rPr>
              <w:t>, de naturaleza eminentemente técnica, que regula protocolos y procedimientos específicos de un sector (v. gr., la atención obstétrica), sin naturaleza penal ni civil directa.</w:t>
            </w:r>
          </w:p>
        </w:tc>
      </w:tr>
      <w:tr w:rsidR="003D748E" w14:paraId="58CDCE2F" w14:textId="77777777">
        <w:tc>
          <w:tcPr>
            <w:tcW w:w="2600" w:type="dxa"/>
            <w:shd w:val="clear" w:color="auto" w:fill="FFFFFF"/>
            <w:tcMar>
              <w:top w:w="80" w:type="dxa"/>
              <w:left w:w="100" w:type="dxa"/>
              <w:bottom w:w="80" w:type="dxa"/>
              <w:right w:w="100" w:type="dxa"/>
            </w:tcMar>
            <w:vAlign w:val="center"/>
          </w:tcPr>
          <w:p w14:paraId="71B58BDA" w14:textId="77777777" w:rsidR="003D748E" w:rsidRDefault="00DF2056">
            <w:r>
              <w:rPr>
                <w:color w:val="000000"/>
                <w:sz w:val="19"/>
                <w:szCs w:val="19"/>
              </w:rPr>
              <w:t>Derecho comparado</w:t>
            </w:r>
          </w:p>
        </w:tc>
        <w:tc>
          <w:tcPr>
            <w:tcW w:w="7200" w:type="dxa"/>
            <w:shd w:val="clear" w:color="auto" w:fill="FFFFFF"/>
            <w:tcMar>
              <w:top w:w="80" w:type="dxa"/>
              <w:left w:w="100" w:type="dxa"/>
              <w:bottom w:w="80" w:type="dxa"/>
              <w:right w:w="100" w:type="dxa"/>
            </w:tcMar>
            <w:vAlign w:val="center"/>
          </w:tcPr>
          <w:p w14:paraId="40572F8B" w14:textId="77777777" w:rsidR="003D748E" w:rsidRDefault="00DF2056">
            <w:r>
              <w:rPr>
                <w:color w:val="000000"/>
                <w:sz w:val="19"/>
                <w:szCs w:val="19"/>
              </w:rPr>
              <w:t>Método de estudio jurídico que analiza sistemáticamente las semejanzas y diferencias entre distintos ordenamientos jurídicos, con fines descriptivos, interpretativos o de propuesta normativa (</w:t>
            </w:r>
            <w:proofErr w:type="spellStart"/>
            <w:r>
              <w:rPr>
                <w:color w:val="000000"/>
                <w:sz w:val="19"/>
                <w:szCs w:val="19"/>
              </w:rPr>
              <w:t>lege</w:t>
            </w:r>
            <w:proofErr w:type="spellEnd"/>
            <w:r>
              <w:rPr>
                <w:color w:val="000000"/>
                <w:sz w:val="19"/>
                <w:szCs w:val="19"/>
              </w:rPr>
              <w:t xml:space="preserve"> </w:t>
            </w:r>
            <w:proofErr w:type="spellStart"/>
            <w:r>
              <w:rPr>
                <w:color w:val="000000"/>
                <w:sz w:val="19"/>
                <w:szCs w:val="19"/>
              </w:rPr>
              <w:t>ferenda</w:t>
            </w:r>
            <w:proofErr w:type="spellEnd"/>
            <w:r>
              <w:rPr>
                <w:color w:val="000000"/>
                <w:sz w:val="19"/>
                <w:szCs w:val="19"/>
              </w:rPr>
              <w:t>).</w:t>
            </w:r>
          </w:p>
        </w:tc>
      </w:tr>
    </w:tbl>
    <w:p w14:paraId="2F9E0CF8" w14:textId="77777777" w:rsidR="003D748E" w:rsidRDefault="00DF2056">
      <w:pPr>
        <w:pStyle w:val="Ttulo2"/>
        <w:spacing w:before="300" w:after="150"/>
      </w:pPr>
      <w:r>
        <w:rPr>
          <w:b/>
          <w:bCs/>
          <w:color w:val="1F3864"/>
          <w:sz w:val="25"/>
          <w:szCs w:val="25"/>
        </w:rPr>
        <w:t>3. Tabla comparativa: modelos normativos latinoamericanos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100"/>
        <w:gridCol w:w="2100"/>
        <w:gridCol w:w="1900"/>
        <w:gridCol w:w="1900"/>
      </w:tblGrid>
      <w:tr w:rsidR="003D748E" w14:paraId="45765B1F" w14:textId="77777777">
        <w:trPr>
          <w:tblHeader/>
        </w:trPr>
        <w:tc>
          <w:tcPr>
            <w:tcW w:w="1400" w:type="dxa"/>
            <w:shd w:val="clear" w:color="auto" w:fill="1F3864"/>
            <w:tcMar>
              <w:top w:w="80" w:type="dxa"/>
              <w:left w:w="100" w:type="dxa"/>
              <w:bottom w:w="80" w:type="dxa"/>
              <w:right w:w="100" w:type="dxa"/>
            </w:tcMar>
            <w:vAlign w:val="center"/>
          </w:tcPr>
          <w:p w14:paraId="0FB924FD" w14:textId="77777777" w:rsidR="003D748E" w:rsidRDefault="00DF2056">
            <w:pPr>
              <w:jc w:val="center"/>
            </w:pPr>
            <w:r>
              <w:rPr>
                <w:b/>
                <w:bCs/>
                <w:color w:val="FFFFFF"/>
                <w:sz w:val="19"/>
                <w:szCs w:val="19"/>
              </w:rPr>
              <w:t>País</w:t>
            </w:r>
          </w:p>
        </w:tc>
        <w:tc>
          <w:tcPr>
            <w:tcW w:w="2100" w:type="dxa"/>
            <w:shd w:val="clear" w:color="auto" w:fill="1F3864"/>
            <w:tcMar>
              <w:top w:w="80" w:type="dxa"/>
              <w:left w:w="100" w:type="dxa"/>
              <w:bottom w:w="80" w:type="dxa"/>
              <w:right w:w="100" w:type="dxa"/>
            </w:tcMar>
            <w:vAlign w:val="center"/>
          </w:tcPr>
          <w:p w14:paraId="601191D0" w14:textId="77777777" w:rsidR="003D748E" w:rsidRDefault="00DF2056">
            <w:pPr>
              <w:jc w:val="center"/>
            </w:pPr>
            <w:r>
              <w:rPr>
                <w:b/>
                <w:bCs/>
                <w:color w:val="FFFFFF"/>
                <w:sz w:val="19"/>
                <w:szCs w:val="19"/>
              </w:rPr>
              <w:t>Instrumento</w:t>
            </w:r>
          </w:p>
        </w:tc>
        <w:tc>
          <w:tcPr>
            <w:tcW w:w="2100" w:type="dxa"/>
            <w:shd w:val="clear" w:color="auto" w:fill="1F3864"/>
            <w:tcMar>
              <w:top w:w="80" w:type="dxa"/>
              <w:left w:w="100" w:type="dxa"/>
              <w:bottom w:w="80" w:type="dxa"/>
              <w:right w:w="100" w:type="dxa"/>
            </w:tcMar>
            <w:vAlign w:val="center"/>
          </w:tcPr>
          <w:p w14:paraId="78004BC9" w14:textId="77777777" w:rsidR="003D748E" w:rsidRDefault="00DF2056">
            <w:pPr>
              <w:jc w:val="center"/>
            </w:pPr>
            <w:r>
              <w:rPr>
                <w:b/>
                <w:bCs/>
                <w:color w:val="FFFFFF"/>
                <w:sz w:val="19"/>
                <w:szCs w:val="19"/>
              </w:rPr>
              <w:t>Modelo adoptado</w:t>
            </w:r>
          </w:p>
        </w:tc>
        <w:tc>
          <w:tcPr>
            <w:tcW w:w="1900" w:type="dxa"/>
            <w:shd w:val="clear" w:color="auto" w:fill="1F3864"/>
            <w:tcMar>
              <w:top w:w="80" w:type="dxa"/>
              <w:left w:w="100" w:type="dxa"/>
              <w:bottom w:w="80" w:type="dxa"/>
              <w:right w:w="100" w:type="dxa"/>
            </w:tcMar>
            <w:vAlign w:val="center"/>
          </w:tcPr>
          <w:p w14:paraId="38DFA461" w14:textId="77777777" w:rsidR="003D748E" w:rsidRDefault="00DF2056">
            <w:pPr>
              <w:jc w:val="center"/>
            </w:pPr>
            <w:r>
              <w:rPr>
                <w:b/>
                <w:bCs/>
                <w:color w:val="FFFFFF"/>
                <w:sz w:val="19"/>
                <w:szCs w:val="19"/>
              </w:rPr>
              <w:t>Fortaleza</w:t>
            </w:r>
          </w:p>
        </w:tc>
        <w:tc>
          <w:tcPr>
            <w:tcW w:w="1900" w:type="dxa"/>
            <w:shd w:val="clear" w:color="auto" w:fill="1F3864"/>
            <w:tcMar>
              <w:top w:w="80" w:type="dxa"/>
              <w:left w:w="100" w:type="dxa"/>
              <w:bottom w:w="80" w:type="dxa"/>
              <w:right w:w="100" w:type="dxa"/>
            </w:tcMar>
            <w:vAlign w:val="center"/>
          </w:tcPr>
          <w:p w14:paraId="1B316AF4" w14:textId="77777777" w:rsidR="003D748E" w:rsidRDefault="00DF2056">
            <w:pPr>
              <w:jc w:val="center"/>
            </w:pPr>
            <w:r>
              <w:rPr>
                <w:b/>
                <w:bCs/>
                <w:color w:val="FFFFFF"/>
                <w:sz w:val="19"/>
                <w:szCs w:val="19"/>
              </w:rPr>
              <w:t>Debilidad</w:t>
            </w:r>
          </w:p>
        </w:tc>
      </w:tr>
      <w:tr w:rsidR="003D748E" w14:paraId="40A255F1" w14:textId="77777777">
        <w:tc>
          <w:tcPr>
            <w:tcW w:w="1400" w:type="dxa"/>
            <w:shd w:val="clear" w:color="auto" w:fill="F5F5F5"/>
            <w:tcMar>
              <w:top w:w="80" w:type="dxa"/>
              <w:left w:w="100" w:type="dxa"/>
              <w:bottom w:w="80" w:type="dxa"/>
              <w:right w:w="100" w:type="dxa"/>
            </w:tcMar>
            <w:vAlign w:val="center"/>
          </w:tcPr>
          <w:p w14:paraId="28831537" w14:textId="77777777" w:rsidR="003D748E" w:rsidRDefault="00DF2056">
            <w:r>
              <w:rPr>
                <w:color w:val="000000"/>
                <w:sz w:val="19"/>
                <w:szCs w:val="19"/>
              </w:rPr>
              <w:t>Venezuela</w:t>
            </w:r>
          </w:p>
        </w:tc>
        <w:tc>
          <w:tcPr>
            <w:tcW w:w="2100" w:type="dxa"/>
            <w:shd w:val="clear" w:color="auto" w:fill="F5F5F5"/>
            <w:tcMar>
              <w:top w:w="80" w:type="dxa"/>
              <w:left w:w="100" w:type="dxa"/>
              <w:bottom w:w="80" w:type="dxa"/>
              <w:right w:w="100" w:type="dxa"/>
            </w:tcMar>
            <w:vAlign w:val="center"/>
          </w:tcPr>
          <w:p w14:paraId="6E5E0079" w14:textId="77777777" w:rsidR="003D748E" w:rsidRDefault="00DF2056">
            <w:r>
              <w:rPr>
                <w:color w:val="000000"/>
                <w:sz w:val="19"/>
                <w:szCs w:val="19"/>
              </w:rPr>
              <w:t>Ley Orgánica 2007, art. 15.13</w:t>
            </w:r>
          </w:p>
        </w:tc>
        <w:tc>
          <w:tcPr>
            <w:tcW w:w="2100" w:type="dxa"/>
            <w:shd w:val="clear" w:color="auto" w:fill="F5F5F5"/>
            <w:tcMar>
              <w:top w:w="80" w:type="dxa"/>
              <w:left w:w="100" w:type="dxa"/>
              <w:bottom w:w="80" w:type="dxa"/>
              <w:right w:w="100" w:type="dxa"/>
            </w:tcMar>
            <w:vAlign w:val="center"/>
          </w:tcPr>
          <w:p w14:paraId="6B756A0A" w14:textId="77777777" w:rsidR="003D748E" w:rsidRDefault="00DF2056">
            <w:r>
              <w:rPr>
                <w:color w:val="000000"/>
                <w:sz w:val="19"/>
                <w:szCs w:val="19"/>
              </w:rPr>
              <w:t>Tipificación penal autónoma</w:t>
            </w:r>
          </w:p>
        </w:tc>
        <w:tc>
          <w:tcPr>
            <w:tcW w:w="1900" w:type="dxa"/>
            <w:shd w:val="clear" w:color="auto" w:fill="F5F5F5"/>
            <w:tcMar>
              <w:top w:w="80" w:type="dxa"/>
              <w:left w:w="100" w:type="dxa"/>
              <w:bottom w:w="80" w:type="dxa"/>
              <w:right w:w="100" w:type="dxa"/>
            </w:tcMar>
            <w:vAlign w:val="center"/>
          </w:tcPr>
          <w:p w14:paraId="7EBBA8D0" w14:textId="77777777" w:rsidR="003D748E" w:rsidRDefault="00DF2056">
            <w:r>
              <w:rPr>
                <w:color w:val="000000"/>
                <w:sz w:val="19"/>
                <w:szCs w:val="19"/>
              </w:rPr>
              <w:t>Máxima visibilidad y efecto simbólico-preventivo</w:t>
            </w:r>
          </w:p>
        </w:tc>
        <w:tc>
          <w:tcPr>
            <w:tcW w:w="1900" w:type="dxa"/>
            <w:shd w:val="clear" w:color="auto" w:fill="F5F5F5"/>
            <w:tcMar>
              <w:top w:w="80" w:type="dxa"/>
              <w:left w:w="100" w:type="dxa"/>
              <w:bottom w:w="80" w:type="dxa"/>
              <w:right w:w="100" w:type="dxa"/>
            </w:tcMar>
            <w:vAlign w:val="center"/>
          </w:tcPr>
          <w:p w14:paraId="370FCE11" w14:textId="77777777" w:rsidR="003D748E" w:rsidRDefault="00DF2056">
            <w:r>
              <w:rPr>
                <w:color w:val="000000"/>
                <w:sz w:val="19"/>
                <w:szCs w:val="19"/>
              </w:rPr>
              <w:t>Dificultades probatorias; riesgo de infrautilización</w:t>
            </w:r>
          </w:p>
        </w:tc>
      </w:tr>
      <w:tr w:rsidR="003D748E" w14:paraId="007EDD8B" w14:textId="77777777">
        <w:tc>
          <w:tcPr>
            <w:tcW w:w="1400" w:type="dxa"/>
            <w:shd w:val="clear" w:color="auto" w:fill="FFFFFF"/>
            <w:tcMar>
              <w:top w:w="80" w:type="dxa"/>
              <w:left w:w="100" w:type="dxa"/>
              <w:bottom w:w="80" w:type="dxa"/>
              <w:right w:w="100" w:type="dxa"/>
            </w:tcMar>
            <w:vAlign w:val="center"/>
          </w:tcPr>
          <w:p w14:paraId="63812A45" w14:textId="77777777" w:rsidR="003D748E" w:rsidRDefault="00DF2056">
            <w:r>
              <w:rPr>
                <w:color w:val="000000"/>
                <w:sz w:val="19"/>
                <w:szCs w:val="19"/>
              </w:rPr>
              <w:t>Argentina</w:t>
            </w:r>
          </w:p>
        </w:tc>
        <w:tc>
          <w:tcPr>
            <w:tcW w:w="2100" w:type="dxa"/>
            <w:shd w:val="clear" w:color="auto" w:fill="FFFFFF"/>
            <w:tcMar>
              <w:top w:w="80" w:type="dxa"/>
              <w:left w:w="100" w:type="dxa"/>
              <w:bottom w:w="80" w:type="dxa"/>
              <w:right w:w="100" w:type="dxa"/>
            </w:tcMar>
            <w:vAlign w:val="center"/>
          </w:tcPr>
          <w:p w14:paraId="6A5B7289" w14:textId="77777777" w:rsidR="003D748E" w:rsidRDefault="00DF2056">
            <w:r>
              <w:rPr>
                <w:color w:val="000000"/>
                <w:sz w:val="19"/>
                <w:szCs w:val="19"/>
              </w:rPr>
              <w:t>Ley 25.929 + Ley 26.485</w:t>
            </w:r>
          </w:p>
        </w:tc>
        <w:tc>
          <w:tcPr>
            <w:tcW w:w="2100" w:type="dxa"/>
            <w:shd w:val="clear" w:color="auto" w:fill="FFFFFF"/>
            <w:tcMar>
              <w:top w:w="80" w:type="dxa"/>
              <w:left w:w="100" w:type="dxa"/>
              <w:bottom w:w="80" w:type="dxa"/>
              <w:right w:w="100" w:type="dxa"/>
            </w:tcMar>
            <w:vAlign w:val="center"/>
          </w:tcPr>
          <w:p w14:paraId="144BC8EF" w14:textId="77777777" w:rsidR="003D748E" w:rsidRDefault="00DF2056">
            <w:r>
              <w:rPr>
                <w:color w:val="000000"/>
                <w:sz w:val="19"/>
                <w:szCs w:val="19"/>
              </w:rPr>
              <w:t>Protección administrativa/civil reforzada</w:t>
            </w:r>
          </w:p>
        </w:tc>
        <w:tc>
          <w:tcPr>
            <w:tcW w:w="1900" w:type="dxa"/>
            <w:shd w:val="clear" w:color="auto" w:fill="FFFFFF"/>
            <w:tcMar>
              <w:top w:w="80" w:type="dxa"/>
              <w:left w:w="100" w:type="dxa"/>
              <w:bottom w:w="80" w:type="dxa"/>
              <w:right w:w="100" w:type="dxa"/>
            </w:tcMar>
            <w:vAlign w:val="center"/>
          </w:tcPr>
          <w:p w14:paraId="0EFB3E04" w14:textId="77777777" w:rsidR="003D748E" w:rsidRDefault="00DF2056">
            <w:r>
              <w:rPr>
                <w:color w:val="000000"/>
                <w:sz w:val="19"/>
                <w:szCs w:val="19"/>
              </w:rPr>
              <w:t>Mayor operatividad práctica; enfoque preventivo</w:t>
            </w:r>
          </w:p>
        </w:tc>
        <w:tc>
          <w:tcPr>
            <w:tcW w:w="1900" w:type="dxa"/>
            <w:shd w:val="clear" w:color="auto" w:fill="FFFFFF"/>
            <w:tcMar>
              <w:top w:w="80" w:type="dxa"/>
              <w:left w:w="100" w:type="dxa"/>
              <w:bottom w:w="80" w:type="dxa"/>
              <w:right w:w="100" w:type="dxa"/>
            </w:tcMar>
            <w:vAlign w:val="center"/>
          </w:tcPr>
          <w:p w14:paraId="18102C43" w14:textId="77777777" w:rsidR="003D748E" w:rsidRDefault="00DF2056">
            <w:r>
              <w:rPr>
                <w:color w:val="000000"/>
                <w:sz w:val="19"/>
                <w:szCs w:val="19"/>
              </w:rPr>
              <w:t>Menor efecto disuasorio sancionador</w:t>
            </w:r>
          </w:p>
        </w:tc>
      </w:tr>
      <w:tr w:rsidR="003D748E" w14:paraId="50C7FDDA" w14:textId="77777777">
        <w:tc>
          <w:tcPr>
            <w:tcW w:w="1400" w:type="dxa"/>
            <w:shd w:val="clear" w:color="auto" w:fill="F5F5F5"/>
            <w:tcMar>
              <w:top w:w="80" w:type="dxa"/>
              <w:left w:w="100" w:type="dxa"/>
              <w:bottom w:w="80" w:type="dxa"/>
              <w:right w:w="100" w:type="dxa"/>
            </w:tcMar>
            <w:vAlign w:val="center"/>
          </w:tcPr>
          <w:p w14:paraId="1262C96A" w14:textId="77777777" w:rsidR="003D748E" w:rsidRDefault="00DF2056">
            <w:r>
              <w:rPr>
                <w:color w:val="000000"/>
                <w:sz w:val="19"/>
                <w:szCs w:val="19"/>
              </w:rPr>
              <w:t>México</w:t>
            </w:r>
          </w:p>
        </w:tc>
        <w:tc>
          <w:tcPr>
            <w:tcW w:w="2100" w:type="dxa"/>
            <w:shd w:val="clear" w:color="auto" w:fill="F5F5F5"/>
            <w:tcMar>
              <w:top w:w="80" w:type="dxa"/>
              <w:left w:w="100" w:type="dxa"/>
              <w:bottom w:w="80" w:type="dxa"/>
              <w:right w:w="100" w:type="dxa"/>
            </w:tcMar>
            <w:vAlign w:val="center"/>
          </w:tcPr>
          <w:p w14:paraId="3EE15D8E" w14:textId="77777777" w:rsidR="003D748E" w:rsidRDefault="00DF2056">
            <w:r>
              <w:rPr>
                <w:color w:val="000000"/>
                <w:sz w:val="19"/>
                <w:szCs w:val="19"/>
              </w:rPr>
              <w:t>Jurisprudencia SCJN + NOM-007</w:t>
            </w:r>
          </w:p>
        </w:tc>
        <w:tc>
          <w:tcPr>
            <w:tcW w:w="2100" w:type="dxa"/>
            <w:shd w:val="clear" w:color="auto" w:fill="F5F5F5"/>
            <w:tcMar>
              <w:top w:w="80" w:type="dxa"/>
              <w:left w:w="100" w:type="dxa"/>
              <w:bottom w:w="80" w:type="dxa"/>
              <w:right w:w="100" w:type="dxa"/>
            </w:tcMar>
            <w:vAlign w:val="center"/>
          </w:tcPr>
          <w:p w14:paraId="0BC3894E" w14:textId="77777777" w:rsidR="003D748E" w:rsidRDefault="00DF2056">
            <w:r>
              <w:rPr>
                <w:color w:val="000000"/>
                <w:sz w:val="19"/>
                <w:szCs w:val="19"/>
              </w:rPr>
              <w:t>Estándar jurisprudencial + norma técnica</w:t>
            </w:r>
          </w:p>
        </w:tc>
        <w:tc>
          <w:tcPr>
            <w:tcW w:w="1900" w:type="dxa"/>
            <w:shd w:val="clear" w:color="auto" w:fill="F5F5F5"/>
            <w:tcMar>
              <w:top w:w="80" w:type="dxa"/>
              <w:left w:w="100" w:type="dxa"/>
              <w:bottom w:w="80" w:type="dxa"/>
              <w:right w:w="100" w:type="dxa"/>
            </w:tcMar>
            <w:vAlign w:val="center"/>
          </w:tcPr>
          <w:p w14:paraId="0D28D7C0" w14:textId="77777777" w:rsidR="003D748E" w:rsidRDefault="00DF2056">
            <w:r>
              <w:rPr>
                <w:color w:val="000000"/>
                <w:sz w:val="19"/>
                <w:szCs w:val="19"/>
              </w:rPr>
              <w:t>Flexibilidad interpretativa; base empírica sólida</w:t>
            </w:r>
          </w:p>
        </w:tc>
        <w:tc>
          <w:tcPr>
            <w:tcW w:w="1900" w:type="dxa"/>
            <w:shd w:val="clear" w:color="auto" w:fill="F5F5F5"/>
            <w:tcMar>
              <w:top w:w="80" w:type="dxa"/>
              <w:left w:w="100" w:type="dxa"/>
              <w:bottom w:w="80" w:type="dxa"/>
              <w:right w:w="100" w:type="dxa"/>
            </w:tcMar>
            <w:vAlign w:val="center"/>
          </w:tcPr>
          <w:p w14:paraId="5875E48C" w14:textId="77777777" w:rsidR="003D748E" w:rsidRDefault="00DF2056">
            <w:r>
              <w:rPr>
                <w:color w:val="000000"/>
                <w:sz w:val="19"/>
                <w:szCs w:val="19"/>
              </w:rPr>
              <w:t>Dependencia de la evolución jurisprudencial caso a caso</w:t>
            </w:r>
          </w:p>
        </w:tc>
      </w:tr>
    </w:tbl>
    <w:p w14:paraId="5E82759F" w14:textId="77777777" w:rsidR="003D748E" w:rsidRDefault="00DF2056">
      <w:pPr>
        <w:pStyle w:val="Ttulo2"/>
        <w:spacing w:before="300" w:after="150"/>
      </w:pPr>
      <w:r>
        <w:rPr>
          <w:b/>
          <w:bCs/>
          <w:color w:val="1F3864"/>
          <w:sz w:val="25"/>
          <w:szCs w:val="25"/>
        </w:rPr>
        <w:t>4. Actividades de aprendizaje</w:t>
      </w:r>
    </w:p>
    <w:p w14:paraId="22703259" w14:textId="77777777" w:rsidR="003D748E" w:rsidRDefault="00DF2056">
      <w:pPr>
        <w:pStyle w:val="Ttulo3"/>
        <w:spacing w:before="200" w:after="100"/>
      </w:pPr>
      <w:r>
        <w:rPr>
          <w:b/>
          <w:bCs/>
          <w:i/>
          <w:iCs/>
          <w:color w:val="8B6F1F"/>
          <w:sz w:val="22"/>
          <w:szCs w:val="22"/>
        </w:rPr>
        <w:t>Comprensión</w:t>
      </w:r>
    </w:p>
    <w:p w14:paraId="083B91AB" w14:textId="77777777" w:rsidR="003D748E" w:rsidRDefault="00DF2056">
      <w:pPr>
        <w:pStyle w:val="Prrafodelista"/>
        <w:numPr>
          <w:ilvl w:val="0"/>
          <w:numId w:val="2"/>
        </w:numPr>
        <w:spacing w:after="100"/>
      </w:pPr>
      <w:r>
        <w:rPr>
          <w:szCs w:val="21"/>
        </w:rPr>
        <w:t>Elabore una línea de tiempo de los principales hitos normativos y jurisprudenciales estudiados en este tema (2004-2021).</w:t>
      </w:r>
    </w:p>
    <w:p w14:paraId="1CFB565F" w14:textId="77777777" w:rsidR="003D748E" w:rsidRDefault="00DF2056">
      <w:pPr>
        <w:pStyle w:val="Ttulo3"/>
        <w:spacing w:before="200" w:after="100"/>
      </w:pPr>
      <w:r>
        <w:rPr>
          <w:b/>
          <w:bCs/>
          <w:i/>
          <w:iCs/>
          <w:color w:val="8B6F1F"/>
          <w:sz w:val="22"/>
          <w:szCs w:val="22"/>
        </w:rPr>
        <w:t>Aplicación</w:t>
      </w:r>
    </w:p>
    <w:p w14:paraId="6C5A0AFE" w14:textId="77777777" w:rsidR="003D748E" w:rsidRDefault="00DF2056">
      <w:pPr>
        <w:pStyle w:val="Prrafodelista"/>
        <w:numPr>
          <w:ilvl w:val="0"/>
          <w:numId w:val="2"/>
        </w:numPr>
        <w:spacing w:after="100"/>
      </w:pPr>
      <w:r>
        <w:rPr>
          <w:szCs w:val="21"/>
        </w:rPr>
        <w:t>Redacte una queja administrativa hipotética ante una dirección municipal de salud cubana por un supuesto de violencia obstétrica, empleando la normativa nacional vigente estudiada en el Tema III.</w:t>
      </w:r>
    </w:p>
    <w:p w14:paraId="44DC7F51" w14:textId="77777777" w:rsidR="003D748E" w:rsidRDefault="00DF2056">
      <w:pPr>
        <w:pStyle w:val="Ttulo3"/>
        <w:spacing w:before="200" w:after="100"/>
      </w:pPr>
      <w:r>
        <w:rPr>
          <w:b/>
          <w:bCs/>
          <w:i/>
          <w:iCs/>
          <w:color w:val="8B6F1F"/>
          <w:sz w:val="22"/>
          <w:szCs w:val="22"/>
        </w:rPr>
        <w:t>Valoración crítica y trabajo de investigación</w:t>
      </w:r>
    </w:p>
    <w:p w14:paraId="31D00574" w14:textId="77777777" w:rsidR="003D748E" w:rsidRDefault="00DF2056">
      <w:pPr>
        <w:pStyle w:val="Prrafodelista"/>
        <w:numPr>
          <w:ilvl w:val="0"/>
          <w:numId w:val="2"/>
        </w:numPr>
        <w:spacing w:after="100"/>
      </w:pPr>
      <w:r>
        <w:rPr>
          <w:szCs w:val="21"/>
        </w:rPr>
        <w:t>Elabore un ensayo argumentativo (tres a cinco cuartillas) que responda de manera fundamentada a la pregunta: ¿qué modelo normativo —o qué combinación de elementos de los modelos estudiados— resultaría más adecuado para el eventual perfeccionamiento del ordenamiento jurídico cubano en esta materia? Este ensayo constituye insumo directo para el trabajo de curso del Tema VI.</w:t>
      </w:r>
    </w:p>
    <w:p w14:paraId="27363638" w14:textId="77777777" w:rsidR="003D748E" w:rsidRDefault="00DF2056">
      <w:pPr>
        <w:pStyle w:val="Ttulo2"/>
        <w:spacing w:before="300" w:after="150"/>
      </w:pPr>
      <w:r>
        <w:rPr>
          <w:b/>
          <w:bCs/>
          <w:color w:val="1F3864"/>
          <w:sz w:val="25"/>
          <w:szCs w:val="25"/>
        </w:rPr>
        <w:t>5. Preguntas de autoevaluación</w:t>
      </w:r>
    </w:p>
    <w:p w14:paraId="40B5DD21" w14:textId="77777777" w:rsidR="003D748E" w:rsidRDefault="00DF2056">
      <w:pPr>
        <w:pStyle w:val="Prrafodelista"/>
        <w:numPr>
          <w:ilvl w:val="0"/>
          <w:numId w:val="1"/>
        </w:numPr>
        <w:spacing w:after="100"/>
      </w:pPr>
      <w:r>
        <w:rPr>
          <w:szCs w:val="21"/>
        </w:rPr>
        <w:t>¿Qué artículo de la Ley Orgánica venezolana de 2007 tipifica la violencia obstétrica?</w:t>
      </w:r>
    </w:p>
    <w:p w14:paraId="29F04241" w14:textId="77777777" w:rsidR="003D748E" w:rsidRDefault="00DF2056">
      <w:pPr>
        <w:pStyle w:val="Prrafodelista"/>
        <w:numPr>
          <w:ilvl w:val="0"/>
          <w:numId w:val="1"/>
        </w:numPr>
        <w:spacing w:after="100"/>
      </w:pPr>
      <w:r>
        <w:rPr>
          <w:szCs w:val="21"/>
        </w:rPr>
        <w:t>Explique la diferencia entre el modelo venezolano y el modelo argentino de protección.</w:t>
      </w:r>
    </w:p>
    <w:p w14:paraId="31D9F785" w14:textId="77777777" w:rsidR="003D748E" w:rsidRDefault="00DF2056">
      <w:pPr>
        <w:pStyle w:val="Prrafodelista"/>
        <w:numPr>
          <w:ilvl w:val="0"/>
          <w:numId w:val="1"/>
        </w:numPr>
        <w:spacing w:after="100"/>
      </w:pPr>
      <w:r>
        <w:rPr>
          <w:szCs w:val="21"/>
        </w:rPr>
        <w:lastRenderedPageBreak/>
        <w:t>¿Qué naturaleza jurídica tiene la NOM-007 mexicana?</w:t>
      </w:r>
    </w:p>
    <w:p w14:paraId="73B14574" w14:textId="77777777" w:rsidR="003D748E" w:rsidRDefault="00DF2056">
      <w:r>
        <w:br w:type="page"/>
      </w:r>
    </w:p>
    <w:p w14:paraId="09732C28" w14:textId="77777777" w:rsidR="003D748E" w:rsidRDefault="00DF2056">
      <w:pPr>
        <w:pStyle w:val="Ttulo1"/>
        <w:pBdr>
          <w:bottom w:val="single" w:sz="8" w:space="4" w:color="1F3864"/>
        </w:pBdr>
        <w:spacing w:before="400" w:after="200"/>
      </w:pPr>
      <w:r>
        <w:rPr>
          <w:b/>
          <w:bCs/>
          <w:color w:val="1F3864"/>
          <w:sz w:val="30"/>
          <w:szCs w:val="30"/>
        </w:rPr>
        <w:lastRenderedPageBreak/>
        <w:t>TEMA VI. INVESTIGACIÓN JURÍDICA APLICADA Y EJERCICIO PROFESIONAL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3066C871" w14:textId="77777777">
        <w:trPr>
          <w:tblHeader/>
        </w:trPr>
        <w:tc>
          <w:tcPr>
            <w:tcW w:w="3000" w:type="dxa"/>
            <w:shd w:val="clear" w:color="auto" w:fill="1F3864"/>
            <w:tcMar>
              <w:top w:w="80" w:type="dxa"/>
              <w:left w:w="100" w:type="dxa"/>
              <w:bottom w:w="80" w:type="dxa"/>
              <w:right w:w="100" w:type="dxa"/>
            </w:tcMar>
            <w:vAlign w:val="center"/>
          </w:tcPr>
          <w:p w14:paraId="74F3D963"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58730251" w14:textId="77777777" w:rsidR="003D748E" w:rsidRDefault="003D748E">
            <w:pPr>
              <w:jc w:val="center"/>
            </w:pPr>
          </w:p>
        </w:tc>
      </w:tr>
      <w:tr w:rsidR="003D748E" w14:paraId="7B012EFD" w14:textId="77777777">
        <w:tc>
          <w:tcPr>
            <w:tcW w:w="3000" w:type="dxa"/>
            <w:shd w:val="clear" w:color="auto" w:fill="F5F5F5"/>
            <w:tcMar>
              <w:top w:w="80" w:type="dxa"/>
              <w:left w:w="100" w:type="dxa"/>
              <w:bottom w:w="80" w:type="dxa"/>
              <w:right w:w="100" w:type="dxa"/>
            </w:tcMar>
            <w:vAlign w:val="center"/>
          </w:tcPr>
          <w:p w14:paraId="474A41FE"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5F453D1D" w14:textId="77777777" w:rsidR="003D748E" w:rsidRDefault="00DF2056">
            <w:r>
              <w:rPr>
                <w:color w:val="000000"/>
                <w:sz w:val="19"/>
                <w:szCs w:val="19"/>
              </w:rPr>
              <w:t>6</w:t>
            </w:r>
          </w:p>
        </w:tc>
      </w:tr>
      <w:tr w:rsidR="003D748E" w14:paraId="4E8E0CEE" w14:textId="77777777">
        <w:tc>
          <w:tcPr>
            <w:tcW w:w="3000" w:type="dxa"/>
            <w:shd w:val="clear" w:color="auto" w:fill="FFFFFF"/>
            <w:tcMar>
              <w:top w:w="80" w:type="dxa"/>
              <w:left w:w="100" w:type="dxa"/>
              <w:bottom w:w="80" w:type="dxa"/>
              <w:right w:w="100" w:type="dxa"/>
            </w:tcMar>
            <w:vAlign w:val="center"/>
          </w:tcPr>
          <w:p w14:paraId="2A2D92FC"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0BA9E009" w14:textId="77777777" w:rsidR="003D748E" w:rsidRDefault="00DF2056">
            <w:r>
              <w:rPr>
                <w:color w:val="000000"/>
                <w:sz w:val="19"/>
                <w:szCs w:val="19"/>
              </w:rPr>
              <w:t>Elaborar una propuesta fundamentada de perfeccionamiento normativo o estrategia de intervención jurídica ante la violencia obstétrica, aplicando metodología de investigación jurídica rigurosa.</w:t>
            </w:r>
          </w:p>
        </w:tc>
      </w:tr>
    </w:tbl>
    <w:p w14:paraId="0DE08D20" w14:textId="77777777" w:rsidR="003D748E" w:rsidRDefault="003D748E">
      <w:pPr>
        <w:spacing w:after="120"/>
      </w:pPr>
    </w:p>
    <w:p w14:paraId="5C5B3619" w14:textId="77777777" w:rsidR="003D748E" w:rsidRDefault="00DF2056">
      <w:pPr>
        <w:pStyle w:val="Ttulo3"/>
        <w:spacing w:before="200" w:after="100"/>
      </w:pPr>
      <w:r>
        <w:rPr>
          <w:b/>
          <w:bCs/>
          <w:i/>
          <w:iCs/>
          <w:color w:val="8B6F1F"/>
          <w:sz w:val="22"/>
          <w:szCs w:val="22"/>
        </w:rPr>
        <w:t>Objetivos específicos del tema</w:t>
      </w:r>
    </w:p>
    <w:p w14:paraId="189E9967" w14:textId="77777777" w:rsidR="003D748E" w:rsidRDefault="00DF2056">
      <w:pPr>
        <w:pStyle w:val="Prrafodelista"/>
        <w:numPr>
          <w:ilvl w:val="0"/>
          <w:numId w:val="1"/>
        </w:numPr>
        <w:spacing w:after="100"/>
      </w:pPr>
      <w:r>
        <w:rPr>
          <w:szCs w:val="21"/>
        </w:rPr>
        <w:t>Diseñar un proyecto de investigación o propuesta normativa sobre violencia obstétrica en el contexto cubano.</w:t>
      </w:r>
    </w:p>
    <w:p w14:paraId="679229F8" w14:textId="77777777" w:rsidR="003D748E" w:rsidRDefault="00DF2056">
      <w:pPr>
        <w:pStyle w:val="Prrafodelista"/>
        <w:numPr>
          <w:ilvl w:val="0"/>
          <w:numId w:val="1"/>
        </w:numPr>
        <w:spacing w:after="100"/>
      </w:pPr>
      <w:r>
        <w:rPr>
          <w:szCs w:val="21"/>
        </w:rPr>
        <w:t>Sustentar oralmente, con argumentación jurídica rigurosa, la propuesta elaborada.</w:t>
      </w:r>
    </w:p>
    <w:p w14:paraId="50B2020C" w14:textId="77777777" w:rsidR="003D748E" w:rsidRDefault="00DF2056">
      <w:pPr>
        <w:pStyle w:val="Ttulo2"/>
        <w:spacing w:before="300" w:after="150"/>
      </w:pPr>
      <w:r>
        <w:rPr>
          <w:b/>
          <w:bCs/>
          <w:color w:val="1F3864"/>
          <w:sz w:val="25"/>
          <w:szCs w:val="25"/>
        </w:rPr>
        <w:t>1. Síntesis de contenidos por subtema</w:t>
      </w:r>
    </w:p>
    <w:p w14:paraId="21F38CD1" w14:textId="77777777" w:rsidR="003D748E" w:rsidRDefault="00DF2056">
      <w:pPr>
        <w:pStyle w:val="Ttulo3"/>
        <w:spacing w:before="200" w:after="100"/>
      </w:pPr>
      <w:r>
        <w:rPr>
          <w:b/>
          <w:bCs/>
          <w:i/>
          <w:iCs/>
          <w:color w:val="8B6F1F"/>
          <w:sz w:val="22"/>
          <w:szCs w:val="22"/>
        </w:rPr>
        <w:t>6.1. Metodología de la investigación jurídica aplicada</w:t>
      </w:r>
    </w:p>
    <w:p w14:paraId="204F41C3" w14:textId="77777777" w:rsidR="003D748E" w:rsidRDefault="00DF2056">
      <w:pPr>
        <w:spacing w:after="160" w:line="276" w:lineRule="auto"/>
        <w:jc w:val="both"/>
      </w:pPr>
      <w:r>
        <w:rPr>
          <w:szCs w:val="21"/>
        </w:rPr>
        <w:t>Se exige al estudiante dominar la formulación técnica del problema jurídico de investigación, la construcción de hipótesis jurídicamente verificables y la sistematización de un marco teórico-normativo coherente, integrando los contenidos desarrollados en los Temas I a V.</w:t>
      </w:r>
    </w:p>
    <w:p w14:paraId="54A3B461" w14:textId="77777777" w:rsidR="003D748E" w:rsidRDefault="00DF2056">
      <w:pPr>
        <w:pStyle w:val="Ttulo3"/>
        <w:spacing w:before="200" w:after="100"/>
      </w:pPr>
      <w:r>
        <w:rPr>
          <w:b/>
          <w:bCs/>
          <w:i/>
          <w:iCs/>
          <w:color w:val="8B6F1F"/>
          <w:sz w:val="22"/>
          <w:szCs w:val="22"/>
        </w:rPr>
        <w:t>6.2. Técnicas de argumentación jurídica para la propuesta normativa</w:t>
      </w:r>
    </w:p>
    <w:p w14:paraId="3C9AAAD0" w14:textId="77777777" w:rsidR="003D748E" w:rsidRDefault="00DF2056">
      <w:pPr>
        <w:spacing w:after="160" w:line="276" w:lineRule="auto"/>
        <w:jc w:val="both"/>
      </w:pPr>
      <w:r>
        <w:rPr>
          <w:szCs w:val="21"/>
        </w:rPr>
        <w:t xml:space="preserve">El diseño de una propuesta de </w:t>
      </w:r>
      <w:proofErr w:type="spellStart"/>
      <w:r>
        <w:rPr>
          <w:szCs w:val="21"/>
        </w:rPr>
        <w:t>lege</w:t>
      </w:r>
      <w:proofErr w:type="spellEnd"/>
      <w:r>
        <w:rPr>
          <w:szCs w:val="21"/>
        </w:rPr>
        <w:t xml:space="preserve"> </w:t>
      </w:r>
      <w:proofErr w:type="spellStart"/>
      <w:r>
        <w:rPr>
          <w:szCs w:val="21"/>
        </w:rPr>
        <w:t>ferenda</w:t>
      </w:r>
      <w:proofErr w:type="spellEnd"/>
      <w:r>
        <w:rPr>
          <w:szCs w:val="21"/>
        </w:rPr>
        <w:t xml:space="preserve"> exige el dominio de las técnicas de ponderación de bienes jurídicos en conflicto (autonomía de la paciente frente a la protección de la vida y salud del binomio madre-producto), el principio de proporcionalidad como parámetro de control de toda limitación de derechos, y los elementos básicos de técnica legislativa (claridad, sistematicidad, no redundancia normativa).</w:t>
      </w:r>
    </w:p>
    <w:p w14:paraId="17D75A0B" w14:textId="77777777" w:rsidR="003D748E" w:rsidRDefault="00DF2056">
      <w:pPr>
        <w:pStyle w:val="Ttulo3"/>
        <w:spacing w:before="200" w:after="100"/>
      </w:pPr>
      <w:r>
        <w:rPr>
          <w:b/>
          <w:bCs/>
          <w:i/>
          <w:iCs/>
          <w:color w:val="8B6F1F"/>
          <w:sz w:val="22"/>
          <w:szCs w:val="22"/>
        </w:rPr>
        <w:t>6.3. Taller de elaboración del trabajo de curso</w:t>
      </w:r>
    </w:p>
    <w:p w14:paraId="67E48F9A" w14:textId="77777777" w:rsidR="003D748E" w:rsidRDefault="00DF2056">
      <w:pPr>
        <w:spacing w:after="160" w:line="276" w:lineRule="auto"/>
        <w:jc w:val="both"/>
      </w:pPr>
      <w:r>
        <w:rPr>
          <w:szCs w:val="21"/>
        </w:rPr>
        <w:t>Espacio de trabajo dirigido para la estructuración final del trabajo de curso —que podrá adoptar la forma de propuesta de reforma normativa o de estrategia de litigio/exigibilidad administrativa— y su defensa oral ante tribunal académico, con retroalimentación entre pares.</w:t>
      </w:r>
    </w:p>
    <w:p w14:paraId="16C1B586"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15BAC8C1" w14:textId="77777777">
        <w:trPr>
          <w:tblHeader/>
        </w:trPr>
        <w:tc>
          <w:tcPr>
            <w:tcW w:w="2600" w:type="dxa"/>
            <w:shd w:val="clear" w:color="auto" w:fill="1F3864"/>
            <w:tcMar>
              <w:top w:w="80" w:type="dxa"/>
              <w:left w:w="100" w:type="dxa"/>
              <w:bottom w:w="80" w:type="dxa"/>
              <w:right w:w="100" w:type="dxa"/>
            </w:tcMar>
            <w:vAlign w:val="center"/>
          </w:tcPr>
          <w:p w14:paraId="71F71D0D"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5FFD4C31" w14:textId="77777777" w:rsidR="003D748E" w:rsidRDefault="00DF2056">
            <w:pPr>
              <w:jc w:val="center"/>
            </w:pPr>
            <w:r>
              <w:rPr>
                <w:b/>
                <w:bCs/>
                <w:color w:val="FFFFFF"/>
                <w:sz w:val="19"/>
                <w:szCs w:val="19"/>
              </w:rPr>
              <w:t>Definición operativa</w:t>
            </w:r>
          </w:p>
        </w:tc>
      </w:tr>
      <w:tr w:rsidR="003D748E" w14:paraId="0A98AD81" w14:textId="77777777">
        <w:tc>
          <w:tcPr>
            <w:tcW w:w="2600" w:type="dxa"/>
            <w:shd w:val="clear" w:color="auto" w:fill="F5F5F5"/>
            <w:tcMar>
              <w:top w:w="80" w:type="dxa"/>
              <w:left w:w="100" w:type="dxa"/>
              <w:bottom w:w="80" w:type="dxa"/>
              <w:right w:w="100" w:type="dxa"/>
            </w:tcMar>
            <w:vAlign w:val="center"/>
          </w:tcPr>
          <w:p w14:paraId="065C8193" w14:textId="77777777" w:rsidR="003D748E" w:rsidRDefault="00DF2056">
            <w:r>
              <w:rPr>
                <w:color w:val="000000"/>
                <w:sz w:val="19"/>
                <w:szCs w:val="19"/>
              </w:rPr>
              <w:t>Problema jurídico de investigación</w:t>
            </w:r>
          </w:p>
        </w:tc>
        <w:tc>
          <w:tcPr>
            <w:tcW w:w="7200" w:type="dxa"/>
            <w:shd w:val="clear" w:color="auto" w:fill="F5F5F5"/>
            <w:tcMar>
              <w:top w:w="80" w:type="dxa"/>
              <w:left w:w="100" w:type="dxa"/>
              <w:bottom w:w="80" w:type="dxa"/>
              <w:right w:w="100" w:type="dxa"/>
            </w:tcMar>
            <w:vAlign w:val="center"/>
          </w:tcPr>
          <w:p w14:paraId="3D07B22B" w14:textId="77777777" w:rsidR="003D748E" w:rsidRDefault="00DF2056">
            <w:r>
              <w:rPr>
                <w:color w:val="000000"/>
                <w:sz w:val="19"/>
                <w:szCs w:val="19"/>
              </w:rPr>
              <w:t>Formulación precisa de una laguna, antinomia o insuficiencia normativa que la investigación se propone resolver o explicar mediante argumentación jurídica rigurosa.</w:t>
            </w:r>
          </w:p>
        </w:tc>
      </w:tr>
      <w:tr w:rsidR="003D748E" w14:paraId="6030D13A" w14:textId="77777777">
        <w:tc>
          <w:tcPr>
            <w:tcW w:w="2600" w:type="dxa"/>
            <w:shd w:val="clear" w:color="auto" w:fill="FFFFFF"/>
            <w:tcMar>
              <w:top w:w="80" w:type="dxa"/>
              <w:left w:w="100" w:type="dxa"/>
              <w:bottom w:w="80" w:type="dxa"/>
              <w:right w:w="100" w:type="dxa"/>
            </w:tcMar>
            <w:vAlign w:val="center"/>
          </w:tcPr>
          <w:p w14:paraId="26BD9676" w14:textId="77777777" w:rsidR="003D748E" w:rsidRDefault="00DF2056">
            <w:r>
              <w:rPr>
                <w:color w:val="000000"/>
                <w:sz w:val="19"/>
                <w:szCs w:val="19"/>
              </w:rPr>
              <w:t>Ponderación</w:t>
            </w:r>
          </w:p>
        </w:tc>
        <w:tc>
          <w:tcPr>
            <w:tcW w:w="7200" w:type="dxa"/>
            <w:shd w:val="clear" w:color="auto" w:fill="FFFFFF"/>
            <w:tcMar>
              <w:top w:w="80" w:type="dxa"/>
              <w:left w:w="100" w:type="dxa"/>
              <w:bottom w:w="80" w:type="dxa"/>
              <w:right w:w="100" w:type="dxa"/>
            </w:tcMar>
            <w:vAlign w:val="center"/>
          </w:tcPr>
          <w:p w14:paraId="0C6DCBF7" w14:textId="77777777" w:rsidR="003D748E" w:rsidRDefault="00DF2056">
            <w:r>
              <w:rPr>
                <w:color w:val="000000"/>
                <w:sz w:val="19"/>
                <w:szCs w:val="19"/>
              </w:rPr>
              <w:t>Método de resolución de conflictos entre principios o derechos fundamentales de igual jerarquía, mediante el cual se determina, para el caso concreto, cuál debe prevalecer atendiendo a criterios de idoneidad, necesidad y proporcionalidad en sentido estricto.</w:t>
            </w:r>
          </w:p>
        </w:tc>
      </w:tr>
      <w:tr w:rsidR="003D748E" w14:paraId="25298EFE" w14:textId="77777777">
        <w:tc>
          <w:tcPr>
            <w:tcW w:w="2600" w:type="dxa"/>
            <w:shd w:val="clear" w:color="auto" w:fill="F5F5F5"/>
            <w:tcMar>
              <w:top w:w="80" w:type="dxa"/>
              <w:left w:w="100" w:type="dxa"/>
              <w:bottom w:w="80" w:type="dxa"/>
              <w:right w:w="100" w:type="dxa"/>
            </w:tcMar>
            <w:vAlign w:val="center"/>
          </w:tcPr>
          <w:p w14:paraId="125B8BBF" w14:textId="77777777" w:rsidR="003D748E" w:rsidRDefault="00DF2056">
            <w:r>
              <w:rPr>
                <w:color w:val="000000"/>
                <w:sz w:val="19"/>
                <w:szCs w:val="19"/>
              </w:rPr>
              <w:t>Técnica legislativa</w:t>
            </w:r>
          </w:p>
        </w:tc>
        <w:tc>
          <w:tcPr>
            <w:tcW w:w="7200" w:type="dxa"/>
            <w:shd w:val="clear" w:color="auto" w:fill="F5F5F5"/>
            <w:tcMar>
              <w:top w:w="80" w:type="dxa"/>
              <w:left w:w="100" w:type="dxa"/>
              <w:bottom w:w="80" w:type="dxa"/>
              <w:right w:w="100" w:type="dxa"/>
            </w:tcMar>
            <w:vAlign w:val="center"/>
          </w:tcPr>
          <w:p w14:paraId="52672BDD" w14:textId="77777777" w:rsidR="003D748E" w:rsidRDefault="00DF2056">
            <w:r>
              <w:rPr>
                <w:color w:val="000000"/>
                <w:sz w:val="19"/>
                <w:szCs w:val="19"/>
              </w:rPr>
              <w:t>Conjunto de reglas y criterios formales y sustantivos orientados a la elaboración de normas jurídicas claras, sistemáticas, coherentes con el ordenamiento y jurídicamente eficaces.</w:t>
            </w:r>
          </w:p>
        </w:tc>
      </w:tr>
      <w:tr w:rsidR="003D748E" w14:paraId="65553029" w14:textId="77777777">
        <w:tc>
          <w:tcPr>
            <w:tcW w:w="2600" w:type="dxa"/>
            <w:shd w:val="clear" w:color="auto" w:fill="FFFFFF"/>
            <w:tcMar>
              <w:top w:w="80" w:type="dxa"/>
              <w:left w:w="100" w:type="dxa"/>
              <w:bottom w:w="80" w:type="dxa"/>
              <w:right w:w="100" w:type="dxa"/>
            </w:tcMar>
            <w:vAlign w:val="center"/>
          </w:tcPr>
          <w:p w14:paraId="471E8F05" w14:textId="77777777" w:rsidR="003D748E" w:rsidRDefault="00DF2056">
            <w:r>
              <w:rPr>
                <w:color w:val="000000"/>
                <w:sz w:val="19"/>
                <w:szCs w:val="19"/>
              </w:rPr>
              <w:t>Trabajo de curso</w:t>
            </w:r>
          </w:p>
        </w:tc>
        <w:tc>
          <w:tcPr>
            <w:tcW w:w="7200" w:type="dxa"/>
            <w:shd w:val="clear" w:color="auto" w:fill="FFFFFF"/>
            <w:tcMar>
              <w:top w:w="80" w:type="dxa"/>
              <w:left w:w="100" w:type="dxa"/>
              <w:bottom w:w="80" w:type="dxa"/>
              <w:right w:w="100" w:type="dxa"/>
            </w:tcMar>
            <w:vAlign w:val="center"/>
          </w:tcPr>
          <w:p w14:paraId="75E6BB1E" w14:textId="77777777" w:rsidR="003D748E" w:rsidRDefault="00DF2056">
            <w:r>
              <w:rPr>
                <w:color w:val="000000"/>
                <w:sz w:val="19"/>
                <w:szCs w:val="19"/>
              </w:rPr>
              <w:t>Ejercicio académico integrador de carácter investigativo, exigido como forma de culminación de la asignatura, que debe reflejar dominio teórico-metodológico y capacidad de argumentación jurídica autónoma.</w:t>
            </w:r>
          </w:p>
        </w:tc>
      </w:tr>
    </w:tbl>
    <w:p w14:paraId="4F489340" w14:textId="77777777" w:rsidR="003D748E" w:rsidRDefault="00DF2056">
      <w:pPr>
        <w:pStyle w:val="Ttulo2"/>
        <w:spacing w:before="300" w:after="150"/>
      </w:pPr>
      <w:r>
        <w:rPr>
          <w:b/>
          <w:bCs/>
          <w:color w:val="1F3864"/>
          <w:sz w:val="25"/>
          <w:szCs w:val="25"/>
        </w:rPr>
        <w:lastRenderedPageBreak/>
        <w:t>3. Guía para la estructura del trabajo de curso</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4600"/>
        <w:gridCol w:w="2200"/>
      </w:tblGrid>
      <w:tr w:rsidR="003D748E" w14:paraId="610866B9" w14:textId="77777777">
        <w:trPr>
          <w:tblHeader/>
        </w:trPr>
        <w:tc>
          <w:tcPr>
            <w:tcW w:w="2600" w:type="dxa"/>
            <w:shd w:val="clear" w:color="auto" w:fill="1F3864"/>
            <w:tcMar>
              <w:top w:w="80" w:type="dxa"/>
              <w:left w:w="100" w:type="dxa"/>
              <w:bottom w:w="80" w:type="dxa"/>
              <w:right w:w="100" w:type="dxa"/>
            </w:tcMar>
            <w:vAlign w:val="center"/>
          </w:tcPr>
          <w:p w14:paraId="67958EAE" w14:textId="77777777" w:rsidR="003D748E" w:rsidRDefault="00DF2056">
            <w:pPr>
              <w:jc w:val="center"/>
            </w:pPr>
            <w:r>
              <w:rPr>
                <w:b/>
                <w:bCs/>
                <w:color w:val="FFFFFF"/>
                <w:sz w:val="19"/>
                <w:szCs w:val="19"/>
              </w:rPr>
              <w:t>Sección</w:t>
            </w:r>
          </w:p>
        </w:tc>
        <w:tc>
          <w:tcPr>
            <w:tcW w:w="4600" w:type="dxa"/>
            <w:shd w:val="clear" w:color="auto" w:fill="1F3864"/>
            <w:tcMar>
              <w:top w:w="80" w:type="dxa"/>
              <w:left w:w="100" w:type="dxa"/>
              <w:bottom w:w="80" w:type="dxa"/>
              <w:right w:w="100" w:type="dxa"/>
            </w:tcMar>
            <w:vAlign w:val="center"/>
          </w:tcPr>
          <w:p w14:paraId="1B806038" w14:textId="77777777" w:rsidR="003D748E" w:rsidRDefault="00DF2056">
            <w:pPr>
              <w:jc w:val="center"/>
            </w:pPr>
            <w:r>
              <w:rPr>
                <w:b/>
                <w:bCs/>
                <w:color w:val="FFFFFF"/>
                <w:sz w:val="19"/>
                <w:szCs w:val="19"/>
              </w:rPr>
              <w:t>Contenido exigido</w:t>
            </w:r>
          </w:p>
        </w:tc>
        <w:tc>
          <w:tcPr>
            <w:tcW w:w="2200" w:type="dxa"/>
            <w:shd w:val="clear" w:color="auto" w:fill="1F3864"/>
            <w:tcMar>
              <w:top w:w="80" w:type="dxa"/>
              <w:left w:w="100" w:type="dxa"/>
              <w:bottom w:w="80" w:type="dxa"/>
              <w:right w:w="100" w:type="dxa"/>
            </w:tcMar>
            <w:vAlign w:val="center"/>
          </w:tcPr>
          <w:p w14:paraId="72E0C14D" w14:textId="77777777" w:rsidR="003D748E" w:rsidRDefault="00DF2056">
            <w:pPr>
              <w:jc w:val="center"/>
            </w:pPr>
            <w:r>
              <w:rPr>
                <w:b/>
                <w:bCs/>
                <w:color w:val="FFFFFF"/>
                <w:sz w:val="19"/>
                <w:szCs w:val="19"/>
              </w:rPr>
              <w:t>Extensión orientativa</w:t>
            </w:r>
          </w:p>
        </w:tc>
      </w:tr>
      <w:tr w:rsidR="003D748E" w14:paraId="57646906" w14:textId="77777777">
        <w:tc>
          <w:tcPr>
            <w:tcW w:w="2600" w:type="dxa"/>
            <w:shd w:val="clear" w:color="auto" w:fill="F5F5F5"/>
            <w:tcMar>
              <w:top w:w="80" w:type="dxa"/>
              <w:left w:w="100" w:type="dxa"/>
              <w:bottom w:w="80" w:type="dxa"/>
              <w:right w:w="100" w:type="dxa"/>
            </w:tcMar>
            <w:vAlign w:val="center"/>
          </w:tcPr>
          <w:p w14:paraId="352A9C0E" w14:textId="77777777" w:rsidR="003D748E" w:rsidRDefault="00DF2056">
            <w:r>
              <w:rPr>
                <w:color w:val="000000"/>
                <w:sz w:val="19"/>
                <w:szCs w:val="19"/>
              </w:rPr>
              <w:t>Introducción</w:t>
            </w:r>
          </w:p>
        </w:tc>
        <w:tc>
          <w:tcPr>
            <w:tcW w:w="4600" w:type="dxa"/>
            <w:shd w:val="clear" w:color="auto" w:fill="F5F5F5"/>
            <w:tcMar>
              <w:top w:w="80" w:type="dxa"/>
              <w:left w:w="100" w:type="dxa"/>
              <w:bottom w:w="80" w:type="dxa"/>
              <w:right w:w="100" w:type="dxa"/>
            </w:tcMar>
            <w:vAlign w:val="center"/>
          </w:tcPr>
          <w:p w14:paraId="687483E2" w14:textId="77777777" w:rsidR="003D748E" w:rsidRDefault="00DF2056">
            <w:r>
              <w:rPr>
                <w:color w:val="000000"/>
                <w:sz w:val="19"/>
                <w:szCs w:val="19"/>
              </w:rPr>
              <w:t>Planteamiento del problema jurídico, objetivos, metodología</w:t>
            </w:r>
          </w:p>
        </w:tc>
        <w:tc>
          <w:tcPr>
            <w:tcW w:w="2200" w:type="dxa"/>
            <w:shd w:val="clear" w:color="auto" w:fill="F5F5F5"/>
            <w:tcMar>
              <w:top w:w="80" w:type="dxa"/>
              <w:left w:w="100" w:type="dxa"/>
              <w:bottom w:w="80" w:type="dxa"/>
              <w:right w:w="100" w:type="dxa"/>
            </w:tcMar>
            <w:vAlign w:val="center"/>
          </w:tcPr>
          <w:p w14:paraId="2BC5BD9F" w14:textId="77777777" w:rsidR="003D748E" w:rsidRDefault="00DF2056">
            <w:r>
              <w:rPr>
                <w:color w:val="000000"/>
                <w:sz w:val="19"/>
                <w:szCs w:val="19"/>
              </w:rPr>
              <w:t>1-2 cuartillas</w:t>
            </w:r>
          </w:p>
        </w:tc>
      </w:tr>
      <w:tr w:rsidR="003D748E" w14:paraId="41AE74CD" w14:textId="77777777">
        <w:tc>
          <w:tcPr>
            <w:tcW w:w="2600" w:type="dxa"/>
            <w:shd w:val="clear" w:color="auto" w:fill="FFFFFF"/>
            <w:tcMar>
              <w:top w:w="80" w:type="dxa"/>
              <w:left w:w="100" w:type="dxa"/>
              <w:bottom w:w="80" w:type="dxa"/>
              <w:right w:w="100" w:type="dxa"/>
            </w:tcMar>
            <w:vAlign w:val="center"/>
          </w:tcPr>
          <w:p w14:paraId="764732B4" w14:textId="77777777" w:rsidR="003D748E" w:rsidRDefault="00DF2056">
            <w:r>
              <w:rPr>
                <w:color w:val="000000"/>
                <w:sz w:val="19"/>
                <w:szCs w:val="19"/>
              </w:rPr>
              <w:t>Marco teórico-normativo</w:t>
            </w:r>
          </w:p>
        </w:tc>
        <w:tc>
          <w:tcPr>
            <w:tcW w:w="4600" w:type="dxa"/>
            <w:shd w:val="clear" w:color="auto" w:fill="FFFFFF"/>
            <w:tcMar>
              <w:top w:w="80" w:type="dxa"/>
              <w:left w:w="100" w:type="dxa"/>
              <w:bottom w:w="80" w:type="dxa"/>
              <w:right w:w="100" w:type="dxa"/>
            </w:tcMar>
            <w:vAlign w:val="center"/>
          </w:tcPr>
          <w:p w14:paraId="532D6982" w14:textId="77777777" w:rsidR="003D748E" w:rsidRDefault="00DF2056">
            <w:r>
              <w:rPr>
                <w:color w:val="000000"/>
                <w:sz w:val="19"/>
                <w:szCs w:val="19"/>
              </w:rPr>
              <w:t xml:space="preserve">Síntesis crítica de los Temas I-III, con aparato </w:t>
            </w:r>
            <w:proofErr w:type="spellStart"/>
            <w:r>
              <w:rPr>
                <w:color w:val="000000"/>
                <w:sz w:val="19"/>
                <w:szCs w:val="19"/>
              </w:rPr>
              <w:t>citativo</w:t>
            </w:r>
            <w:proofErr w:type="spellEnd"/>
            <w:r>
              <w:rPr>
                <w:color w:val="000000"/>
                <w:sz w:val="19"/>
                <w:szCs w:val="19"/>
              </w:rPr>
              <w:t xml:space="preserve"> riguroso</w:t>
            </w:r>
          </w:p>
        </w:tc>
        <w:tc>
          <w:tcPr>
            <w:tcW w:w="2200" w:type="dxa"/>
            <w:shd w:val="clear" w:color="auto" w:fill="FFFFFF"/>
            <w:tcMar>
              <w:top w:w="80" w:type="dxa"/>
              <w:left w:w="100" w:type="dxa"/>
              <w:bottom w:w="80" w:type="dxa"/>
              <w:right w:w="100" w:type="dxa"/>
            </w:tcMar>
            <w:vAlign w:val="center"/>
          </w:tcPr>
          <w:p w14:paraId="4CBB10A6" w14:textId="77777777" w:rsidR="003D748E" w:rsidRDefault="00DF2056">
            <w:r>
              <w:rPr>
                <w:color w:val="000000"/>
                <w:sz w:val="19"/>
                <w:szCs w:val="19"/>
              </w:rPr>
              <w:t>4-6 cuartillas</w:t>
            </w:r>
          </w:p>
        </w:tc>
      </w:tr>
      <w:tr w:rsidR="003D748E" w14:paraId="68086D62" w14:textId="77777777">
        <w:tc>
          <w:tcPr>
            <w:tcW w:w="2600" w:type="dxa"/>
            <w:shd w:val="clear" w:color="auto" w:fill="F5F5F5"/>
            <w:tcMar>
              <w:top w:w="80" w:type="dxa"/>
              <w:left w:w="100" w:type="dxa"/>
              <w:bottom w:w="80" w:type="dxa"/>
              <w:right w:w="100" w:type="dxa"/>
            </w:tcMar>
            <w:vAlign w:val="center"/>
          </w:tcPr>
          <w:p w14:paraId="5A4F938E" w14:textId="77777777" w:rsidR="003D748E" w:rsidRDefault="00DF2056">
            <w:r>
              <w:rPr>
                <w:color w:val="000000"/>
                <w:sz w:val="19"/>
                <w:szCs w:val="19"/>
              </w:rPr>
              <w:t>Análisis de responsabilidad y derecho comparado</w:t>
            </w:r>
          </w:p>
        </w:tc>
        <w:tc>
          <w:tcPr>
            <w:tcW w:w="4600" w:type="dxa"/>
            <w:shd w:val="clear" w:color="auto" w:fill="F5F5F5"/>
            <w:tcMar>
              <w:top w:w="80" w:type="dxa"/>
              <w:left w:w="100" w:type="dxa"/>
              <w:bottom w:w="80" w:type="dxa"/>
              <w:right w:w="100" w:type="dxa"/>
            </w:tcMar>
            <w:vAlign w:val="center"/>
          </w:tcPr>
          <w:p w14:paraId="7C344CE4" w14:textId="77777777" w:rsidR="003D748E" w:rsidRDefault="00DF2056">
            <w:r>
              <w:rPr>
                <w:color w:val="000000"/>
                <w:sz w:val="19"/>
                <w:szCs w:val="19"/>
              </w:rPr>
              <w:t>Integración de los Temas IV y V aplicada al problema seleccionado</w:t>
            </w:r>
          </w:p>
        </w:tc>
        <w:tc>
          <w:tcPr>
            <w:tcW w:w="2200" w:type="dxa"/>
            <w:shd w:val="clear" w:color="auto" w:fill="F5F5F5"/>
            <w:tcMar>
              <w:top w:w="80" w:type="dxa"/>
              <w:left w:w="100" w:type="dxa"/>
              <w:bottom w:w="80" w:type="dxa"/>
              <w:right w:w="100" w:type="dxa"/>
            </w:tcMar>
            <w:vAlign w:val="center"/>
          </w:tcPr>
          <w:p w14:paraId="55E8381E" w14:textId="77777777" w:rsidR="003D748E" w:rsidRDefault="00DF2056">
            <w:r>
              <w:rPr>
                <w:color w:val="000000"/>
                <w:sz w:val="19"/>
                <w:szCs w:val="19"/>
              </w:rPr>
              <w:t>4-6 cuartillas</w:t>
            </w:r>
          </w:p>
        </w:tc>
      </w:tr>
      <w:tr w:rsidR="003D748E" w14:paraId="3E6ABC49" w14:textId="77777777">
        <w:tc>
          <w:tcPr>
            <w:tcW w:w="2600" w:type="dxa"/>
            <w:shd w:val="clear" w:color="auto" w:fill="FFFFFF"/>
            <w:tcMar>
              <w:top w:w="80" w:type="dxa"/>
              <w:left w:w="100" w:type="dxa"/>
              <w:bottom w:w="80" w:type="dxa"/>
              <w:right w:w="100" w:type="dxa"/>
            </w:tcMar>
            <w:vAlign w:val="center"/>
          </w:tcPr>
          <w:p w14:paraId="788AB660" w14:textId="77777777" w:rsidR="003D748E" w:rsidRDefault="00DF2056">
            <w:r>
              <w:rPr>
                <w:color w:val="000000"/>
                <w:sz w:val="19"/>
                <w:szCs w:val="19"/>
              </w:rPr>
              <w:t>Propuesta</w:t>
            </w:r>
          </w:p>
        </w:tc>
        <w:tc>
          <w:tcPr>
            <w:tcW w:w="4600" w:type="dxa"/>
            <w:shd w:val="clear" w:color="auto" w:fill="FFFFFF"/>
            <w:tcMar>
              <w:top w:w="80" w:type="dxa"/>
              <w:left w:w="100" w:type="dxa"/>
              <w:bottom w:w="80" w:type="dxa"/>
              <w:right w:w="100" w:type="dxa"/>
            </w:tcMar>
            <w:vAlign w:val="center"/>
          </w:tcPr>
          <w:p w14:paraId="0952F021" w14:textId="77777777" w:rsidR="003D748E" w:rsidRDefault="00DF2056">
            <w:r>
              <w:rPr>
                <w:color w:val="000000"/>
                <w:sz w:val="19"/>
                <w:szCs w:val="19"/>
              </w:rPr>
              <w:t>Reforma normativa concreta o estrategia de exigibilidad, con fundamentación técnico-jurídica</w:t>
            </w:r>
          </w:p>
        </w:tc>
        <w:tc>
          <w:tcPr>
            <w:tcW w:w="2200" w:type="dxa"/>
            <w:shd w:val="clear" w:color="auto" w:fill="FFFFFF"/>
            <w:tcMar>
              <w:top w:w="80" w:type="dxa"/>
              <w:left w:w="100" w:type="dxa"/>
              <w:bottom w:w="80" w:type="dxa"/>
              <w:right w:w="100" w:type="dxa"/>
            </w:tcMar>
            <w:vAlign w:val="center"/>
          </w:tcPr>
          <w:p w14:paraId="17C99828" w14:textId="77777777" w:rsidR="003D748E" w:rsidRDefault="00DF2056">
            <w:r>
              <w:rPr>
                <w:color w:val="000000"/>
                <w:sz w:val="19"/>
                <w:szCs w:val="19"/>
              </w:rPr>
              <w:t>3-4 cuartillas</w:t>
            </w:r>
          </w:p>
        </w:tc>
      </w:tr>
      <w:tr w:rsidR="003D748E" w14:paraId="6790D1D2" w14:textId="77777777">
        <w:tc>
          <w:tcPr>
            <w:tcW w:w="2600" w:type="dxa"/>
            <w:shd w:val="clear" w:color="auto" w:fill="F5F5F5"/>
            <w:tcMar>
              <w:top w:w="80" w:type="dxa"/>
              <w:left w:w="100" w:type="dxa"/>
              <w:bottom w:w="80" w:type="dxa"/>
              <w:right w:w="100" w:type="dxa"/>
            </w:tcMar>
            <w:vAlign w:val="center"/>
          </w:tcPr>
          <w:p w14:paraId="107146B2" w14:textId="77777777" w:rsidR="003D748E" w:rsidRDefault="00DF2056">
            <w:r>
              <w:rPr>
                <w:color w:val="000000"/>
                <w:sz w:val="19"/>
                <w:szCs w:val="19"/>
              </w:rPr>
              <w:t>Conclusiones y bibliografía</w:t>
            </w:r>
          </w:p>
        </w:tc>
        <w:tc>
          <w:tcPr>
            <w:tcW w:w="4600" w:type="dxa"/>
            <w:shd w:val="clear" w:color="auto" w:fill="F5F5F5"/>
            <w:tcMar>
              <w:top w:w="80" w:type="dxa"/>
              <w:left w:w="100" w:type="dxa"/>
              <w:bottom w:w="80" w:type="dxa"/>
              <w:right w:w="100" w:type="dxa"/>
            </w:tcMar>
            <w:vAlign w:val="center"/>
          </w:tcPr>
          <w:p w14:paraId="5875A4EB" w14:textId="77777777" w:rsidR="003D748E" w:rsidRDefault="00DF2056">
            <w:r>
              <w:rPr>
                <w:color w:val="000000"/>
                <w:sz w:val="19"/>
                <w:szCs w:val="19"/>
              </w:rPr>
              <w:t>Síntesis de hallazgos; bibliografía verificada exclusivamente de fuentes primarias y académicas contrastadas</w:t>
            </w:r>
          </w:p>
        </w:tc>
        <w:tc>
          <w:tcPr>
            <w:tcW w:w="2200" w:type="dxa"/>
            <w:shd w:val="clear" w:color="auto" w:fill="F5F5F5"/>
            <w:tcMar>
              <w:top w:w="80" w:type="dxa"/>
              <w:left w:w="100" w:type="dxa"/>
              <w:bottom w:w="80" w:type="dxa"/>
              <w:right w:w="100" w:type="dxa"/>
            </w:tcMar>
            <w:vAlign w:val="center"/>
          </w:tcPr>
          <w:p w14:paraId="4567E7C1" w14:textId="77777777" w:rsidR="003D748E" w:rsidRDefault="00DF2056">
            <w:r>
              <w:rPr>
                <w:color w:val="000000"/>
                <w:sz w:val="19"/>
                <w:szCs w:val="19"/>
              </w:rPr>
              <w:t>1-2 cuartillas</w:t>
            </w:r>
          </w:p>
        </w:tc>
      </w:tr>
    </w:tbl>
    <w:p w14:paraId="4C0910D1" w14:textId="77777777" w:rsidR="003D748E" w:rsidRDefault="00DF2056">
      <w:pPr>
        <w:pStyle w:val="Ttulo2"/>
        <w:spacing w:before="300" w:after="150"/>
      </w:pPr>
      <w:r>
        <w:rPr>
          <w:b/>
          <w:bCs/>
          <w:color w:val="1F3864"/>
          <w:sz w:val="25"/>
          <w:szCs w:val="25"/>
        </w:rPr>
        <w:t>4. Actividades de aprendizaje</w:t>
      </w:r>
    </w:p>
    <w:p w14:paraId="7DD53F2D" w14:textId="77777777" w:rsidR="003D748E" w:rsidRDefault="00DF2056">
      <w:pPr>
        <w:pStyle w:val="Ttulo3"/>
        <w:spacing w:before="200" w:after="100"/>
      </w:pPr>
      <w:r>
        <w:rPr>
          <w:b/>
          <w:bCs/>
          <w:i/>
          <w:iCs/>
          <w:color w:val="8B6F1F"/>
          <w:sz w:val="22"/>
          <w:szCs w:val="22"/>
        </w:rPr>
        <w:t>Taller integrador</w:t>
      </w:r>
    </w:p>
    <w:p w14:paraId="290F13D7" w14:textId="77777777" w:rsidR="003D748E" w:rsidRDefault="00DF2056">
      <w:pPr>
        <w:pStyle w:val="Prrafodelista"/>
        <w:numPr>
          <w:ilvl w:val="0"/>
          <w:numId w:val="2"/>
        </w:numPr>
        <w:spacing w:after="100"/>
      </w:pPr>
      <w:r>
        <w:rPr>
          <w:szCs w:val="21"/>
        </w:rPr>
        <w:t>Presente, en sesión de taller, el planteamiento del problema jurídico de su trabajo de curso para retroalimentación docente y de pares, antes de iniciar la redacción del marco teórico-normativo.</w:t>
      </w:r>
    </w:p>
    <w:p w14:paraId="6495F4FB" w14:textId="77777777" w:rsidR="003D748E" w:rsidRDefault="00DF2056">
      <w:pPr>
        <w:pStyle w:val="Prrafodelista"/>
        <w:numPr>
          <w:ilvl w:val="0"/>
          <w:numId w:val="2"/>
        </w:numPr>
        <w:spacing w:after="100"/>
      </w:pPr>
      <w:r>
        <w:rPr>
          <w:szCs w:val="21"/>
        </w:rPr>
        <w:t>Entregue un avance escrito del marco teórico-normativo para revisión previa a la defensa final.</w:t>
      </w:r>
    </w:p>
    <w:p w14:paraId="4EBF59A3" w14:textId="77777777" w:rsidR="003D748E" w:rsidRDefault="00DF2056">
      <w:pPr>
        <w:pStyle w:val="Ttulo3"/>
        <w:spacing w:before="200" w:after="100"/>
      </w:pPr>
      <w:r>
        <w:rPr>
          <w:b/>
          <w:bCs/>
          <w:i/>
          <w:iCs/>
          <w:color w:val="8B6F1F"/>
          <w:sz w:val="22"/>
          <w:szCs w:val="22"/>
        </w:rPr>
        <w:t>Defensa oral</w:t>
      </w:r>
    </w:p>
    <w:p w14:paraId="4FEEA84E" w14:textId="77777777" w:rsidR="003D748E" w:rsidRDefault="00DF2056">
      <w:pPr>
        <w:pStyle w:val="Prrafodelista"/>
        <w:numPr>
          <w:ilvl w:val="0"/>
          <w:numId w:val="2"/>
        </w:numPr>
        <w:spacing w:after="100"/>
      </w:pPr>
      <w:r>
        <w:rPr>
          <w:szCs w:val="21"/>
        </w:rPr>
        <w:t>Sustente oralmente su trabajo de curso ante tribunal académico, en sesión de 15 minutos de exposición y 10 minutos de preguntas, demostrando dominio terminológico, rigor argumentativo y capacidad de respuesta crítica.</w:t>
      </w:r>
    </w:p>
    <w:p w14:paraId="1CDCE88A" w14:textId="77777777" w:rsidR="003D748E" w:rsidRDefault="00DF2056">
      <w:pPr>
        <w:pStyle w:val="Ttulo2"/>
        <w:spacing w:before="300" w:after="150"/>
      </w:pPr>
      <w:r>
        <w:rPr>
          <w:b/>
          <w:bCs/>
          <w:color w:val="1F3864"/>
          <w:sz w:val="25"/>
          <w:szCs w:val="25"/>
        </w:rPr>
        <w:t>5. Preguntas de autoevaluación</w:t>
      </w:r>
    </w:p>
    <w:p w14:paraId="0C3510F0" w14:textId="77777777" w:rsidR="003D748E" w:rsidRDefault="00DF2056">
      <w:pPr>
        <w:pStyle w:val="Prrafodelista"/>
        <w:numPr>
          <w:ilvl w:val="0"/>
          <w:numId w:val="1"/>
        </w:numPr>
        <w:spacing w:after="100"/>
      </w:pPr>
      <w:r>
        <w:rPr>
          <w:szCs w:val="21"/>
        </w:rPr>
        <w:t>¿Qué diferencia existe entre un problema jurídico de investigación y una simple descripción del fenómeno?</w:t>
      </w:r>
    </w:p>
    <w:p w14:paraId="1C04A069" w14:textId="77777777" w:rsidR="003D748E" w:rsidRDefault="00DF2056">
      <w:pPr>
        <w:pStyle w:val="Prrafodelista"/>
        <w:numPr>
          <w:ilvl w:val="0"/>
          <w:numId w:val="1"/>
        </w:numPr>
        <w:spacing w:after="100"/>
      </w:pPr>
      <w:r>
        <w:rPr>
          <w:szCs w:val="21"/>
        </w:rPr>
        <w:t>Enumere los tres criterios del test de proporcionalidad.</w:t>
      </w:r>
    </w:p>
    <w:p w14:paraId="13B8E924" w14:textId="77777777" w:rsidR="003D748E" w:rsidRDefault="00DF2056">
      <w:pPr>
        <w:pStyle w:val="Prrafodelista"/>
        <w:numPr>
          <w:ilvl w:val="0"/>
          <w:numId w:val="1"/>
        </w:numPr>
        <w:spacing w:after="100"/>
      </w:pPr>
      <w:r>
        <w:rPr>
          <w:szCs w:val="21"/>
        </w:rPr>
        <w:t>¿Qué elementos debe contener necesariamente la sección de propuesta del trabajo de curso?</w:t>
      </w:r>
    </w:p>
    <w:p w14:paraId="4DA65F6C" w14:textId="77777777" w:rsidR="003D748E" w:rsidRDefault="00DF2056">
      <w:r>
        <w:br w:type="page"/>
      </w:r>
    </w:p>
    <w:p w14:paraId="0EE2F9EB" w14:textId="77777777" w:rsidR="003D748E" w:rsidRDefault="00DF2056">
      <w:pPr>
        <w:pStyle w:val="Ttulo1"/>
        <w:pBdr>
          <w:bottom w:val="single" w:sz="8" w:space="4" w:color="1F3864"/>
        </w:pBdr>
        <w:spacing w:before="400" w:after="200"/>
      </w:pPr>
      <w:r>
        <w:rPr>
          <w:b/>
          <w:bCs/>
          <w:color w:val="1F3864"/>
          <w:sz w:val="30"/>
          <w:szCs w:val="30"/>
        </w:rPr>
        <w:lastRenderedPageBreak/>
        <w:t>ORIENTACIONES FINALES PARA LA CITACIÓN Y EL TRABAJO CON FUENTES</w:t>
      </w:r>
    </w:p>
    <w:p w14:paraId="02723D5A" w14:textId="77777777" w:rsidR="003D748E" w:rsidRDefault="00DF2056">
      <w:pPr>
        <w:spacing w:after="160" w:line="276" w:lineRule="auto"/>
        <w:jc w:val="both"/>
      </w:pPr>
      <w:r>
        <w:rPr>
          <w:szCs w:val="21"/>
        </w:rPr>
        <w:t>Se exige, en todo trabajo escrito de esta asignatura, la citación exclusiva de fuentes normativas oficiales (Gaceta Oficial de la República de Cuba, sitios institucionales de organismos internacionales) y de literatura académica verificable, evitando la incorporación de fuentes secundarias no contrastadas. Toda referencia a jurisprudencia de la Corte IDH debe incluir el nombre completo del caso, el año de la sentencia y el epígrafe temático concreto invocado. Se prohíbe expresamente la cita de fuentes cuya autenticidad no pueda ser verificada por el estudiante.</w:t>
      </w:r>
    </w:p>
    <w:p w14:paraId="763F4D09" w14:textId="77777777" w:rsidR="003D748E" w:rsidRDefault="00DF2056">
      <w:pPr>
        <w:spacing w:after="160" w:line="276" w:lineRule="auto"/>
        <w:jc w:val="both"/>
      </w:pPr>
      <w:r>
        <w:rPr>
          <w:szCs w:val="21"/>
        </w:rPr>
        <w:t>Esta Guía de Estudios debe emplearse en articulación permanente con el Programa de la Asignatura, del cual constituye desarrollo operativo, y no como sustituto de la lectura directa de las fuentes normativas y doctrinales primarias.</w:t>
      </w:r>
    </w:p>
    <w:sectPr w:rsidR="003D748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singleLevel"/>
    <w:tmpl w:val="0053208E"/>
    <w:lvl w:ilvl="0">
      <w:start w:val="1"/>
      <w:numFmt w:val="bullet"/>
      <w:lvlText w:val="•"/>
      <w:lvlJc w:val="left"/>
      <w:pPr>
        <w:ind w:left="460" w:hanging="260"/>
      </w:pPr>
    </w:lvl>
  </w:abstractNum>
  <w:abstractNum w:abstractNumId="1">
    <w:nsid w:val="59ADCABA"/>
    <w:multiLevelType w:val="singleLevel"/>
    <w:tmpl w:val="59ADCABA"/>
    <w:lvl w:ilvl="0">
      <w:start w:val="1"/>
      <w:numFmt w:val="decimal"/>
      <w:lvlText w:val="%1."/>
      <w:lvlJc w:val="left"/>
      <w:pPr>
        <w:ind w:left="460" w:hanging="2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48E"/>
    <w:rsid w:val="003D748E"/>
    <w:rsid w:val="007C3556"/>
    <w:rsid w:val="00DF2056"/>
    <w:rsid w:val="07092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A4C00-4F46-4D96-BFE2-EE864000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US" w:eastAsia="es-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qFormat="1"/>
    <w:lsdException w:name="endnote text" w:semiHidden="1" w:uiPriority="99" w:unhideWhenUsed="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paragraph" w:styleId="Ttulo1">
    <w:name w:val="heading 1"/>
    <w:next w:val="Normal"/>
    <w:qFormat/>
    <w:pPr>
      <w:outlineLvl w:val="0"/>
    </w:pPr>
    <w:rPr>
      <w:color w:val="2E74B5"/>
      <w:sz w:val="32"/>
      <w:szCs w:val="32"/>
    </w:rPr>
  </w:style>
  <w:style w:type="paragraph" w:styleId="Ttulo2">
    <w:name w:val="heading 2"/>
    <w:next w:val="Normal"/>
    <w:qFormat/>
    <w:pPr>
      <w:outlineLvl w:val="1"/>
    </w:pPr>
    <w:rPr>
      <w:color w:val="2E74B5"/>
      <w:sz w:val="26"/>
      <w:szCs w:val="26"/>
    </w:rPr>
  </w:style>
  <w:style w:type="paragraph" w:styleId="Ttulo3">
    <w:name w:val="heading 3"/>
    <w:next w:val="Normal"/>
    <w:qFormat/>
    <w:pPr>
      <w:outlineLvl w:val="2"/>
    </w:pPr>
    <w:rPr>
      <w:color w:val="1F4D78"/>
      <w:sz w:val="24"/>
      <w:szCs w:val="24"/>
    </w:rPr>
  </w:style>
  <w:style w:type="paragraph" w:styleId="Ttulo4">
    <w:name w:val="heading 4"/>
    <w:next w:val="Normal"/>
    <w:qFormat/>
    <w:pPr>
      <w:outlineLvl w:val="3"/>
    </w:pPr>
    <w:rPr>
      <w:i/>
      <w:iCs/>
      <w:color w:val="2E74B5"/>
      <w:sz w:val="21"/>
      <w:szCs w:val="22"/>
    </w:rPr>
  </w:style>
  <w:style w:type="paragraph" w:styleId="Ttulo5">
    <w:name w:val="heading 5"/>
    <w:next w:val="Normal"/>
    <w:qFormat/>
    <w:pPr>
      <w:outlineLvl w:val="4"/>
    </w:pPr>
    <w:rPr>
      <w:color w:val="2E74B5"/>
      <w:sz w:val="21"/>
      <w:szCs w:val="22"/>
    </w:rPr>
  </w:style>
  <w:style w:type="paragraph" w:styleId="Ttulo6">
    <w:name w:val="heading 6"/>
    <w:next w:val="Normal"/>
    <w:qFormat/>
    <w:pPr>
      <w:outlineLvl w:val="5"/>
    </w:pPr>
    <w:rPr>
      <w:color w:val="1F4D78"/>
      <w:sz w:val="21"/>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qFormat/>
    <w:rPr>
      <w:vertAlign w:val="superscript"/>
    </w:rPr>
  </w:style>
  <w:style w:type="character" w:styleId="Refdenotaalpie">
    <w:name w:val="footnote reference"/>
    <w:uiPriority w:val="99"/>
    <w:semiHidden/>
    <w:unhideWhenUsed/>
    <w:rPr>
      <w:vertAlign w:val="superscript"/>
    </w:rPr>
  </w:style>
  <w:style w:type="character" w:styleId="Hipervnculo">
    <w:name w:val="Hyperlink"/>
    <w:uiPriority w:val="99"/>
    <w:unhideWhenUsed/>
    <w:rPr>
      <w:color w:val="0563C1"/>
      <w:u w:val="single"/>
    </w:rPr>
  </w:style>
  <w:style w:type="paragraph" w:styleId="Textonotapie">
    <w:name w:val="footnote text"/>
    <w:link w:val="TextonotapieCar"/>
    <w:uiPriority w:val="99"/>
    <w:semiHidden/>
    <w:unhideWhenUsed/>
  </w:style>
  <w:style w:type="paragraph" w:styleId="Textonotaalfinal">
    <w:name w:val="endnote text"/>
    <w:link w:val="TextonotaalfinalCar"/>
    <w:uiPriority w:val="99"/>
    <w:semiHidden/>
    <w:unhideWhenUsed/>
  </w:style>
  <w:style w:type="paragraph" w:styleId="Puesto">
    <w:name w:val="Title"/>
    <w:qFormat/>
    <w:rPr>
      <w:sz w:val="56"/>
      <w:szCs w:val="56"/>
    </w:rPr>
  </w:style>
  <w:style w:type="paragraph" w:styleId="Prrafodelista">
    <w:name w:val="List Paragraph"/>
    <w:qFormat/>
    <w:rPr>
      <w:sz w:val="21"/>
      <w:szCs w:val="22"/>
    </w:rPr>
  </w:style>
  <w:style w:type="character" w:customStyle="1" w:styleId="TextonotapieCar">
    <w:name w:val="Texto nota pie Car"/>
    <w:link w:val="Textonotapie"/>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Pages>
  <Words>5808</Words>
  <Characters>31944</Characters>
  <Application>Microsoft Office Word</Application>
  <DocSecurity>0</DocSecurity>
  <Lines>266</Lines>
  <Paragraphs>75</Paragraphs>
  <ScaleCrop>false</ScaleCrop>
  <Company/>
  <LinksUpToDate>false</LinksUpToDate>
  <CharactersWithSpaces>37677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casa</cp:lastModifiedBy>
  <cp:revision>3</cp:revision>
  <dcterms:created xsi:type="dcterms:W3CDTF">2026-09-27T17:21:00Z</dcterms:created>
  <dcterms:modified xsi:type="dcterms:W3CDTF">2026-09-29T13:12:00Z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eyJoZGlkIjoiOWM2OTU4YzAxYzI2ZTBkOWNkMjk0MmVhYTk0ODY5MDUiLCJ1c2VySWQiOiIxNjY2NzUwOTI2NzE5In0=</vt:lpwstr>
  </property>
  <property fmtid="{D5CDD505-2E9C-101B-9397-08002B2CF9AE}" pid="3" name="KSOProductBuildVer">
    <vt:lpwstr>3082-12.1.0.25862</vt:lpwstr>
  </property>
  <property fmtid="{D5CDD505-2E9C-101B-9397-08002B2CF9AE}" pid="4" name="ICV">
    <vt:lpwstr>21436B96DE134AC6A795E109885B9767_13</vt:lpwstr>
  </property>
</Properties>
</file>