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E8E203" w14:textId="77777777" w:rsidR="00330AA1" w:rsidRDefault="00E0374E">
      <w:pPr>
        <w:spacing w:before="1200" w:after="100"/>
        <w:jc w:val="center"/>
      </w:pPr>
      <w:r>
        <w:rPr>
          <w:b/>
          <w:bCs/>
          <w:color w:val="1F3864"/>
          <w:sz w:val="22"/>
        </w:rPr>
        <w:t>UNIVERSIDAD DE ARTEMISA</w:t>
      </w:r>
    </w:p>
    <w:p w14:paraId="1AFC0801" w14:textId="77777777" w:rsidR="00330AA1" w:rsidRDefault="00E0374E">
      <w:pPr>
        <w:spacing w:after="400"/>
        <w:jc w:val="center"/>
      </w:pPr>
      <w:r>
        <w:rPr>
          <w:i/>
          <w:iCs/>
          <w:color w:val="1F3864"/>
          <w:sz w:val="20"/>
          <w:szCs w:val="20"/>
        </w:rPr>
        <w:t>Departamento de Ciencias Jurídicas</w:t>
      </w:r>
    </w:p>
    <w:p w14:paraId="47E33B27" w14:textId="77777777" w:rsidR="00330AA1" w:rsidRDefault="00E0374E">
      <w:pPr>
        <w:spacing w:before="800" w:after="200"/>
        <w:jc w:val="center"/>
      </w:pPr>
      <w:r>
        <w:rPr>
          <w:b/>
          <w:bCs/>
          <w:color w:val="1F3864"/>
          <w:sz w:val="40"/>
          <w:szCs w:val="40"/>
        </w:rPr>
        <w:t>PROGRAMA DE ASIGNATURA</w:t>
      </w:r>
    </w:p>
    <w:p w14:paraId="564ECC50" w14:textId="2B910FE7" w:rsidR="00330AA1" w:rsidRDefault="00E0374E">
      <w:pPr>
        <w:spacing w:after="200"/>
        <w:jc w:val="center"/>
      </w:pPr>
      <w:r>
        <w:rPr>
          <w:b/>
          <w:bCs/>
          <w:color w:val="8B6F1F"/>
          <w:sz w:val="30"/>
          <w:szCs w:val="30"/>
        </w:rPr>
        <w:t>VIOLENCIA, DERECHO y SALUD</w:t>
      </w:r>
    </w:p>
    <w:p w14:paraId="6A12F745" w14:textId="77777777" w:rsidR="00330AA1" w:rsidRDefault="00E0374E">
      <w:pPr>
        <w:spacing w:after="100"/>
        <w:jc w:val="center"/>
      </w:pPr>
      <w:r>
        <w:rPr>
          <w:i/>
          <w:iCs/>
          <w:sz w:val="22"/>
        </w:rPr>
        <w:t>Cuarto Año — Licenciatura en Derecho</w:t>
      </w:r>
    </w:p>
    <w:p w14:paraId="7B1C964B" w14:textId="77777777" w:rsidR="00330AA1" w:rsidRDefault="00E0374E">
      <w:pPr>
        <w:spacing w:before="1600" w:after="100"/>
        <w:jc w:val="center"/>
      </w:pPr>
      <w:r>
        <w:rPr>
          <w:sz w:val="19"/>
          <w:szCs w:val="19"/>
        </w:rPr>
        <w:t>Total de horas clase: 48</w:t>
      </w:r>
    </w:p>
    <w:p w14:paraId="6783E502" w14:textId="77777777" w:rsidR="00330AA1" w:rsidRDefault="00E0374E">
      <w:pPr>
        <w:spacing w:after="100"/>
        <w:jc w:val="center"/>
      </w:pPr>
      <w:r>
        <w:rPr>
          <w:sz w:val="19"/>
          <w:szCs w:val="19"/>
        </w:rPr>
        <w:t>Forma de culminación: Evaluación final integradora (trabajo de curso con defensa oral)</w:t>
      </w:r>
    </w:p>
    <w:p w14:paraId="3F4C5A91" w14:textId="77777777" w:rsidR="00330AA1" w:rsidRDefault="00E0374E">
      <w:r>
        <w:br w:type="page"/>
      </w:r>
    </w:p>
    <w:p w14:paraId="52B8C201" w14:textId="77777777" w:rsidR="00330AA1" w:rsidRDefault="00E0374E">
      <w:pPr>
        <w:pStyle w:val="Ttulo1"/>
        <w:pBdr>
          <w:bottom w:val="single" w:sz="8" w:space="4" w:color="1F3864"/>
        </w:pBdr>
        <w:spacing w:before="400" w:after="200"/>
      </w:pPr>
      <w:r>
        <w:rPr>
          <w:b/>
          <w:bCs/>
          <w:color w:val="1F3864"/>
          <w:sz w:val="28"/>
          <w:szCs w:val="28"/>
        </w:rPr>
        <w:lastRenderedPageBreak/>
        <w:t>I. FUNDAMENTACIÓN DE LA ASIGNATURA</w:t>
      </w:r>
    </w:p>
    <w:p w14:paraId="33E3C853" w14:textId="77777777" w:rsidR="00330AA1" w:rsidRDefault="00E0374E">
      <w:pPr>
        <w:spacing w:after="150" w:line="276" w:lineRule="auto"/>
        <w:jc w:val="both"/>
      </w:pPr>
      <w:r>
        <w:rPr>
          <w:sz w:val="20"/>
          <w:szCs w:val="20"/>
        </w:rPr>
        <w:t>La violencia obstétrica constituye una modalidad específica de violencia de género que se manifiesta en el ámbito de la atención a la salud sexual y reproductiva, y que ha sido progresivamente reconocida por el Derecho Internacional de los Derechos Humanos como una violación autónoma a la integridad, la dignidad y la autonomía reproductiva de las personas gestantes. Su estudio exige del jurista cubano una aproximación interdisciplinaria que, sin abandonar el rigor de la dogmática jurídica, incorpore categorías propias de la bioética, la salud pública y los estudios de género.</w:t>
      </w:r>
    </w:p>
    <w:p w14:paraId="7A720534" w14:textId="77777777" w:rsidR="00330AA1" w:rsidRDefault="00E0374E">
      <w:pPr>
        <w:spacing w:after="150" w:line="276" w:lineRule="auto"/>
        <w:jc w:val="both"/>
      </w:pPr>
      <w:r>
        <w:rPr>
          <w:sz w:val="20"/>
          <w:szCs w:val="20"/>
        </w:rPr>
        <w:t>En el contexto cubano, la ausencia de una tipificación autónoma de la violencia obstétrica —a diferencia de otros ordenamientos latinoamericanos (Venezuela, Argentina, México)— plantea al estudiante de Derecho un problema jurídico de primer orden: la necesidad de identificar los mecanismos de protección disponibles dentro del sistema normativo vigente (Constitución de la República de 2019, Código de las Familias -Ley 156/2022-, Código Penal, Ley de Salud Pública y su Reglamento) y de evaluar críticamente su suficiencia frente a los estándares interamericanos y universales de derechos humanos.</w:t>
      </w:r>
    </w:p>
    <w:p w14:paraId="617B0557" w14:textId="77777777" w:rsidR="00330AA1" w:rsidRDefault="00E0374E">
      <w:pPr>
        <w:spacing w:after="150" w:line="276" w:lineRule="auto"/>
        <w:jc w:val="both"/>
      </w:pPr>
      <w:r>
        <w:rPr>
          <w:sz w:val="20"/>
          <w:szCs w:val="20"/>
        </w:rPr>
        <w:t>Esta asignatura se concibe, por tanto, con prioridad jurídico-dogmática, sin desatender el sustrato conceptual necesario para comprender el fenómeno en su complejidad.</w:t>
      </w:r>
    </w:p>
    <w:p w14:paraId="0F26FF69" w14:textId="77777777" w:rsidR="00330AA1" w:rsidRDefault="00E0374E">
      <w:pPr>
        <w:pStyle w:val="Ttulo1"/>
        <w:pBdr>
          <w:bottom w:val="single" w:sz="8" w:space="4" w:color="1F3864"/>
        </w:pBdr>
        <w:spacing w:before="400" w:after="200"/>
      </w:pPr>
      <w:r>
        <w:rPr>
          <w:b/>
          <w:bCs/>
          <w:color w:val="1F3864"/>
          <w:sz w:val="28"/>
          <w:szCs w:val="28"/>
        </w:rPr>
        <w:t>II. OBJETIVO GENERAL DE LA ASIGNATURA</w:t>
      </w:r>
    </w:p>
    <w:p w14:paraId="29E1E2BD" w14:textId="77777777" w:rsidR="00330AA1" w:rsidRDefault="00E0374E">
      <w:pPr>
        <w:spacing w:after="150" w:line="276" w:lineRule="auto"/>
        <w:jc w:val="both"/>
      </w:pPr>
      <w:r>
        <w:rPr>
          <w:sz w:val="20"/>
          <w:szCs w:val="20"/>
        </w:rPr>
        <w:t>Analizar críticamente la violencia obstétrica como categoría jurídica compleja, a partir del estudio del marco normativo internacional y nacional cubano vigente, de modo que el estudiante sea capaz de identificar, argumentar y proponer mecanismos de protección, responsabilidad y reparación jurídica ante manifestaciones de violencia obstétrica, con rigor dogmático y sensibilidad de género.</w:t>
      </w:r>
    </w:p>
    <w:p w14:paraId="282F51D9" w14:textId="77777777" w:rsidR="00330AA1" w:rsidRDefault="00E0374E">
      <w:pPr>
        <w:pStyle w:val="Ttulo1"/>
        <w:pBdr>
          <w:bottom w:val="single" w:sz="8" w:space="4" w:color="1F3864"/>
        </w:pBdr>
        <w:spacing w:before="400" w:after="200"/>
      </w:pPr>
      <w:r>
        <w:rPr>
          <w:b/>
          <w:bCs/>
          <w:color w:val="1F3864"/>
          <w:sz w:val="28"/>
          <w:szCs w:val="28"/>
        </w:rPr>
        <w:t>III. OBJETIVOS ESPECÍFICOS DE LA ASIGNATURA</w:t>
      </w:r>
    </w:p>
    <w:p w14:paraId="65B36EC2" w14:textId="77777777" w:rsidR="00330AA1" w:rsidRDefault="00E0374E">
      <w:pPr>
        <w:pStyle w:val="Prrafodelista"/>
        <w:numPr>
          <w:ilvl w:val="0"/>
          <w:numId w:val="1"/>
        </w:numPr>
        <w:spacing w:after="120"/>
      </w:pPr>
      <w:r>
        <w:rPr>
          <w:sz w:val="20"/>
          <w:szCs w:val="20"/>
        </w:rPr>
        <w:t>Fundamentar teórico-conceptualmente la categoría "violencia obstétrica" desde una perspectiva jurídica, diferenciándola de figuras afines (mala praxis médica, negligencia, violencia de género en sentido amplio).</w:t>
      </w:r>
    </w:p>
    <w:p w14:paraId="0ADABB58" w14:textId="77777777" w:rsidR="00330AA1" w:rsidRDefault="00E0374E">
      <w:pPr>
        <w:pStyle w:val="Prrafodelista"/>
        <w:numPr>
          <w:ilvl w:val="0"/>
          <w:numId w:val="1"/>
        </w:numPr>
        <w:spacing w:after="120"/>
      </w:pPr>
      <w:r>
        <w:rPr>
          <w:sz w:val="20"/>
          <w:szCs w:val="20"/>
        </w:rPr>
        <w:t>Interpretar los instrumentos internacionales de derechos humanos aplicables (CEDAW, Convención de Belém do Pará, Observaciones Generales del Comité CEDAW, estándares del Sistema Interamericano) y su valor normativo en el ordenamiento cubano.</w:t>
      </w:r>
    </w:p>
    <w:p w14:paraId="34A18CEC" w14:textId="77777777" w:rsidR="00330AA1" w:rsidRDefault="00E0374E">
      <w:pPr>
        <w:pStyle w:val="Prrafodelista"/>
        <w:numPr>
          <w:ilvl w:val="0"/>
          <w:numId w:val="1"/>
        </w:numPr>
        <w:spacing w:after="120"/>
      </w:pPr>
      <w:r>
        <w:rPr>
          <w:sz w:val="20"/>
          <w:szCs w:val="20"/>
        </w:rPr>
        <w:t>Examinar el marco constitucional y legal cubano vigente en materia de salud reproductiva, dignidad, integridad personal y responsabilidad civil y penal, determinando sus alcances y vacíos respecto a la violencia obstétrica.</w:t>
      </w:r>
    </w:p>
    <w:p w14:paraId="74E5A6A4" w14:textId="77777777" w:rsidR="00330AA1" w:rsidRDefault="00E0374E">
      <w:pPr>
        <w:pStyle w:val="Prrafodelista"/>
        <w:numPr>
          <w:ilvl w:val="0"/>
          <w:numId w:val="1"/>
        </w:numPr>
        <w:spacing w:after="120"/>
      </w:pPr>
      <w:r>
        <w:rPr>
          <w:sz w:val="20"/>
          <w:szCs w:val="20"/>
        </w:rPr>
        <w:t>Evaluar los presupuestos de responsabilidad jurídica (civil, administrativa, disciplinaria y penal) del personal e instituciones de salud ante actos de violencia obstétrica.</w:t>
      </w:r>
    </w:p>
    <w:p w14:paraId="088BD525" w14:textId="77777777" w:rsidR="00330AA1" w:rsidRDefault="00E0374E">
      <w:pPr>
        <w:pStyle w:val="Prrafodelista"/>
        <w:numPr>
          <w:ilvl w:val="0"/>
          <w:numId w:val="1"/>
        </w:numPr>
        <w:spacing w:after="120"/>
      </w:pPr>
      <w:r>
        <w:rPr>
          <w:sz w:val="20"/>
          <w:szCs w:val="20"/>
        </w:rPr>
        <w:t xml:space="preserve">Analizar jurisprudencia y experiencias de derecho comparado latinoamericano como referente crítico para la construcción de propuestas de </w:t>
      </w:r>
      <w:proofErr w:type="spellStart"/>
      <w:r>
        <w:rPr>
          <w:sz w:val="20"/>
          <w:szCs w:val="20"/>
        </w:rPr>
        <w:t>lege</w:t>
      </w:r>
      <w:proofErr w:type="spellEnd"/>
      <w:r>
        <w:rPr>
          <w:sz w:val="20"/>
          <w:szCs w:val="20"/>
        </w:rPr>
        <w:t xml:space="preserve"> </w:t>
      </w:r>
      <w:proofErr w:type="spellStart"/>
      <w:r>
        <w:rPr>
          <w:sz w:val="20"/>
          <w:szCs w:val="20"/>
        </w:rPr>
        <w:t>ferenda</w:t>
      </w:r>
      <w:proofErr w:type="spellEnd"/>
      <w:r>
        <w:rPr>
          <w:sz w:val="20"/>
          <w:szCs w:val="20"/>
        </w:rPr>
        <w:t>.</w:t>
      </w:r>
    </w:p>
    <w:p w14:paraId="57432C43" w14:textId="77777777" w:rsidR="00330AA1" w:rsidRDefault="00E0374E">
      <w:pPr>
        <w:pStyle w:val="Prrafodelista"/>
        <w:numPr>
          <w:ilvl w:val="0"/>
          <w:numId w:val="1"/>
        </w:numPr>
        <w:spacing w:after="120"/>
      </w:pPr>
      <w:r>
        <w:rPr>
          <w:sz w:val="20"/>
          <w:szCs w:val="20"/>
        </w:rPr>
        <w:t>Elaborar, con metodología jurídica rigurosa, una propuesta fundamentada de perfeccionamiento normativo o de estrategia de litigio/exigibilidad aplicable al contexto cubano.</w:t>
      </w:r>
    </w:p>
    <w:p w14:paraId="5B77B992" w14:textId="77777777" w:rsidR="00330AA1" w:rsidRDefault="00330AA1">
      <w:pPr>
        <w:pStyle w:val="Ttulo1"/>
        <w:pBdr>
          <w:bottom w:val="single" w:sz="8" w:space="4" w:color="1F3864"/>
        </w:pBdr>
        <w:spacing w:before="400" w:after="200"/>
        <w:rPr>
          <w:b/>
          <w:bCs/>
          <w:color w:val="1F3864"/>
          <w:sz w:val="28"/>
          <w:szCs w:val="28"/>
        </w:rPr>
      </w:pPr>
    </w:p>
    <w:p w14:paraId="27CA0D7D" w14:textId="77777777" w:rsidR="00330AA1" w:rsidRDefault="00330AA1">
      <w:pPr>
        <w:pStyle w:val="Ttulo1"/>
        <w:pBdr>
          <w:bottom w:val="single" w:sz="8" w:space="4" w:color="1F3864"/>
        </w:pBdr>
        <w:spacing w:before="400" w:after="200"/>
        <w:rPr>
          <w:b/>
          <w:bCs/>
          <w:color w:val="1F3864"/>
          <w:sz w:val="28"/>
          <w:szCs w:val="28"/>
        </w:rPr>
      </w:pPr>
    </w:p>
    <w:p w14:paraId="273C7864" w14:textId="77777777" w:rsidR="00330AA1" w:rsidRDefault="00E0374E">
      <w:pPr>
        <w:pStyle w:val="Ttulo1"/>
        <w:pBdr>
          <w:bottom w:val="single" w:sz="8" w:space="4" w:color="1F3864"/>
        </w:pBdr>
        <w:spacing w:before="400" w:after="200"/>
      </w:pPr>
      <w:r>
        <w:rPr>
          <w:b/>
          <w:bCs/>
          <w:color w:val="1F3864"/>
          <w:sz w:val="28"/>
          <w:szCs w:val="28"/>
        </w:rPr>
        <w:lastRenderedPageBreak/>
        <w:t>IV. SISTEMA DE TEMAS Y DISTRIBUCIÓN DE HORAS</w:t>
      </w:r>
    </w:p>
    <w:tbl>
      <w:tblPr>
        <w:tblW w:w="8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6900"/>
        <w:gridCol w:w="900"/>
      </w:tblGrid>
      <w:tr w:rsidR="00330AA1" w14:paraId="047E77CF" w14:textId="77777777">
        <w:trPr>
          <w:tblHeader/>
        </w:trPr>
        <w:tc>
          <w:tcPr>
            <w:tcW w:w="900" w:type="dxa"/>
            <w:shd w:val="clear" w:color="auto" w:fill="1F3864"/>
            <w:tcMar>
              <w:top w:w="80" w:type="dxa"/>
              <w:left w:w="100" w:type="dxa"/>
              <w:bottom w:w="80" w:type="dxa"/>
              <w:right w:w="100" w:type="dxa"/>
            </w:tcMar>
            <w:vAlign w:val="center"/>
          </w:tcPr>
          <w:p w14:paraId="5B4CAE1E" w14:textId="77777777" w:rsidR="00330AA1" w:rsidRDefault="00E0374E">
            <w:pPr>
              <w:jc w:val="center"/>
            </w:pPr>
            <w:r>
              <w:rPr>
                <w:b/>
                <w:bCs/>
                <w:color w:val="FFFFFF"/>
                <w:sz w:val="19"/>
                <w:szCs w:val="19"/>
              </w:rPr>
              <w:t>Tema</w:t>
            </w:r>
          </w:p>
        </w:tc>
        <w:tc>
          <w:tcPr>
            <w:tcW w:w="6900" w:type="dxa"/>
            <w:shd w:val="clear" w:color="auto" w:fill="1F3864"/>
            <w:tcMar>
              <w:top w:w="80" w:type="dxa"/>
              <w:left w:w="100" w:type="dxa"/>
              <w:bottom w:w="80" w:type="dxa"/>
              <w:right w:w="100" w:type="dxa"/>
            </w:tcMar>
            <w:vAlign w:val="center"/>
          </w:tcPr>
          <w:p w14:paraId="6A401A7A" w14:textId="77777777" w:rsidR="00330AA1" w:rsidRDefault="00E0374E">
            <w:pPr>
              <w:jc w:val="center"/>
            </w:pPr>
            <w:r>
              <w:rPr>
                <w:b/>
                <w:bCs/>
                <w:color w:val="FFFFFF"/>
                <w:sz w:val="19"/>
                <w:szCs w:val="19"/>
              </w:rPr>
              <w:t>Título</w:t>
            </w:r>
          </w:p>
        </w:tc>
        <w:tc>
          <w:tcPr>
            <w:tcW w:w="900" w:type="dxa"/>
            <w:shd w:val="clear" w:color="auto" w:fill="1F3864"/>
            <w:tcMar>
              <w:top w:w="80" w:type="dxa"/>
              <w:left w:w="100" w:type="dxa"/>
              <w:bottom w:w="80" w:type="dxa"/>
              <w:right w:w="100" w:type="dxa"/>
            </w:tcMar>
            <w:vAlign w:val="center"/>
          </w:tcPr>
          <w:p w14:paraId="556370F6" w14:textId="77777777" w:rsidR="00330AA1" w:rsidRDefault="00E0374E">
            <w:pPr>
              <w:jc w:val="center"/>
            </w:pPr>
            <w:r>
              <w:rPr>
                <w:b/>
                <w:bCs/>
                <w:color w:val="FFFFFF"/>
                <w:sz w:val="19"/>
                <w:szCs w:val="19"/>
              </w:rPr>
              <w:t>Horas</w:t>
            </w:r>
          </w:p>
        </w:tc>
      </w:tr>
      <w:tr w:rsidR="00330AA1" w14:paraId="188C10FA" w14:textId="77777777">
        <w:tc>
          <w:tcPr>
            <w:tcW w:w="900" w:type="dxa"/>
            <w:shd w:val="clear" w:color="auto" w:fill="F5F5F5"/>
            <w:tcMar>
              <w:top w:w="80" w:type="dxa"/>
              <w:left w:w="100" w:type="dxa"/>
              <w:bottom w:w="80" w:type="dxa"/>
              <w:right w:w="100" w:type="dxa"/>
            </w:tcMar>
            <w:vAlign w:val="center"/>
          </w:tcPr>
          <w:p w14:paraId="6700ABF8" w14:textId="77777777" w:rsidR="00330AA1" w:rsidRDefault="00E0374E">
            <w:r>
              <w:rPr>
                <w:color w:val="000000"/>
                <w:sz w:val="19"/>
                <w:szCs w:val="19"/>
              </w:rPr>
              <w:t>I</w:t>
            </w:r>
          </w:p>
        </w:tc>
        <w:tc>
          <w:tcPr>
            <w:tcW w:w="6900" w:type="dxa"/>
            <w:shd w:val="clear" w:color="auto" w:fill="F5F5F5"/>
            <w:tcMar>
              <w:top w:w="80" w:type="dxa"/>
              <w:left w:w="100" w:type="dxa"/>
              <w:bottom w:w="80" w:type="dxa"/>
              <w:right w:w="100" w:type="dxa"/>
            </w:tcMar>
            <w:vAlign w:val="center"/>
          </w:tcPr>
          <w:p w14:paraId="10EE76CD" w14:textId="3310C774" w:rsidR="00330AA1" w:rsidRDefault="00E0374E">
            <w:r>
              <w:rPr>
                <w:color w:val="000000"/>
                <w:sz w:val="19"/>
                <w:szCs w:val="19"/>
              </w:rPr>
              <w:t>Fundamentos conceptuales y epistemológicos de la violencia</w:t>
            </w:r>
            <w:r w:rsidR="00E81EF2">
              <w:rPr>
                <w:color w:val="000000"/>
                <w:sz w:val="19"/>
                <w:szCs w:val="19"/>
              </w:rPr>
              <w:t>; la violencia</w:t>
            </w:r>
            <w:r>
              <w:rPr>
                <w:color w:val="000000"/>
                <w:sz w:val="19"/>
                <w:szCs w:val="19"/>
              </w:rPr>
              <w:t xml:space="preserve"> obstétrica</w:t>
            </w:r>
          </w:p>
        </w:tc>
        <w:tc>
          <w:tcPr>
            <w:tcW w:w="900" w:type="dxa"/>
            <w:shd w:val="clear" w:color="auto" w:fill="F5F5F5"/>
            <w:tcMar>
              <w:top w:w="80" w:type="dxa"/>
              <w:left w:w="100" w:type="dxa"/>
              <w:bottom w:w="80" w:type="dxa"/>
              <w:right w:w="100" w:type="dxa"/>
            </w:tcMar>
            <w:vAlign w:val="center"/>
          </w:tcPr>
          <w:p w14:paraId="48F3F377" w14:textId="77777777" w:rsidR="00330AA1" w:rsidRDefault="00E0374E">
            <w:r>
              <w:rPr>
                <w:color w:val="000000"/>
                <w:sz w:val="19"/>
                <w:szCs w:val="19"/>
              </w:rPr>
              <w:t>6</w:t>
            </w:r>
          </w:p>
        </w:tc>
      </w:tr>
      <w:tr w:rsidR="00330AA1" w14:paraId="06D837A3" w14:textId="77777777">
        <w:tc>
          <w:tcPr>
            <w:tcW w:w="900" w:type="dxa"/>
            <w:shd w:val="clear" w:color="auto" w:fill="FFFFFF"/>
            <w:tcMar>
              <w:top w:w="80" w:type="dxa"/>
              <w:left w:w="100" w:type="dxa"/>
              <w:bottom w:w="80" w:type="dxa"/>
              <w:right w:w="100" w:type="dxa"/>
            </w:tcMar>
            <w:vAlign w:val="center"/>
          </w:tcPr>
          <w:p w14:paraId="45A910F6" w14:textId="77777777" w:rsidR="00330AA1" w:rsidRDefault="00E0374E">
            <w:r>
              <w:rPr>
                <w:color w:val="000000"/>
                <w:sz w:val="19"/>
                <w:szCs w:val="19"/>
              </w:rPr>
              <w:t>II</w:t>
            </w:r>
          </w:p>
        </w:tc>
        <w:tc>
          <w:tcPr>
            <w:tcW w:w="6900" w:type="dxa"/>
            <w:shd w:val="clear" w:color="auto" w:fill="FFFFFF"/>
            <w:tcMar>
              <w:top w:w="80" w:type="dxa"/>
              <w:left w:w="100" w:type="dxa"/>
              <w:bottom w:w="80" w:type="dxa"/>
              <w:right w:w="100" w:type="dxa"/>
            </w:tcMar>
            <w:vAlign w:val="center"/>
          </w:tcPr>
          <w:p w14:paraId="45F28423" w14:textId="4A1AE050" w:rsidR="00330AA1" w:rsidRDefault="00E0374E">
            <w:r>
              <w:rPr>
                <w:color w:val="000000"/>
                <w:sz w:val="19"/>
                <w:szCs w:val="19"/>
              </w:rPr>
              <w:t xml:space="preserve">Marco jurídico internacional de los derechos </w:t>
            </w:r>
            <w:r w:rsidR="00E81EF2">
              <w:rPr>
                <w:color w:val="000000"/>
                <w:sz w:val="19"/>
                <w:szCs w:val="19"/>
              </w:rPr>
              <w:t xml:space="preserve">humanos; los derechos </w:t>
            </w:r>
            <w:bookmarkStart w:id="0" w:name="_GoBack"/>
            <w:bookmarkEnd w:id="0"/>
            <w:r>
              <w:rPr>
                <w:color w:val="000000"/>
                <w:sz w:val="19"/>
                <w:szCs w:val="19"/>
              </w:rPr>
              <w:t>reproductivos y la violencia obstétrica</w:t>
            </w:r>
          </w:p>
        </w:tc>
        <w:tc>
          <w:tcPr>
            <w:tcW w:w="900" w:type="dxa"/>
            <w:shd w:val="clear" w:color="auto" w:fill="FFFFFF"/>
            <w:tcMar>
              <w:top w:w="80" w:type="dxa"/>
              <w:left w:w="100" w:type="dxa"/>
              <w:bottom w:w="80" w:type="dxa"/>
              <w:right w:w="100" w:type="dxa"/>
            </w:tcMar>
            <w:vAlign w:val="center"/>
          </w:tcPr>
          <w:p w14:paraId="6A81B990" w14:textId="77777777" w:rsidR="00330AA1" w:rsidRDefault="00E0374E">
            <w:r>
              <w:rPr>
                <w:color w:val="000000"/>
                <w:sz w:val="19"/>
                <w:szCs w:val="19"/>
              </w:rPr>
              <w:t>8</w:t>
            </w:r>
          </w:p>
        </w:tc>
      </w:tr>
      <w:tr w:rsidR="00330AA1" w14:paraId="0CD4024C" w14:textId="77777777">
        <w:tc>
          <w:tcPr>
            <w:tcW w:w="900" w:type="dxa"/>
            <w:shd w:val="clear" w:color="auto" w:fill="F5F5F5"/>
            <w:tcMar>
              <w:top w:w="80" w:type="dxa"/>
              <w:left w:w="100" w:type="dxa"/>
              <w:bottom w:w="80" w:type="dxa"/>
              <w:right w:w="100" w:type="dxa"/>
            </w:tcMar>
            <w:vAlign w:val="center"/>
          </w:tcPr>
          <w:p w14:paraId="1B8E9D01" w14:textId="77777777" w:rsidR="00330AA1" w:rsidRDefault="00E0374E">
            <w:r>
              <w:rPr>
                <w:color w:val="000000"/>
                <w:sz w:val="19"/>
                <w:szCs w:val="19"/>
              </w:rPr>
              <w:t>III</w:t>
            </w:r>
          </w:p>
        </w:tc>
        <w:tc>
          <w:tcPr>
            <w:tcW w:w="6900" w:type="dxa"/>
            <w:shd w:val="clear" w:color="auto" w:fill="F5F5F5"/>
            <w:tcMar>
              <w:top w:w="80" w:type="dxa"/>
              <w:left w:w="100" w:type="dxa"/>
              <w:bottom w:w="80" w:type="dxa"/>
              <w:right w:w="100" w:type="dxa"/>
            </w:tcMar>
            <w:vAlign w:val="center"/>
          </w:tcPr>
          <w:p w14:paraId="1FBC6097" w14:textId="77777777" w:rsidR="00330AA1" w:rsidRDefault="00E0374E">
            <w:r>
              <w:rPr>
                <w:color w:val="000000"/>
                <w:sz w:val="19"/>
                <w:szCs w:val="19"/>
              </w:rPr>
              <w:t>Marco jurídico nacional cubano: Constitución, Código de las Familias, salud pública</w:t>
            </w:r>
          </w:p>
        </w:tc>
        <w:tc>
          <w:tcPr>
            <w:tcW w:w="900" w:type="dxa"/>
            <w:shd w:val="clear" w:color="auto" w:fill="F5F5F5"/>
            <w:tcMar>
              <w:top w:w="80" w:type="dxa"/>
              <w:left w:w="100" w:type="dxa"/>
              <w:bottom w:w="80" w:type="dxa"/>
              <w:right w:w="100" w:type="dxa"/>
            </w:tcMar>
            <w:vAlign w:val="center"/>
          </w:tcPr>
          <w:p w14:paraId="54966890" w14:textId="77777777" w:rsidR="00330AA1" w:rsidRDefault="00E0374E">
            <w:r>
              <w:rPr>
                <w:color w:val="000000"/>
                <w:sz w:val="19"/>
                <w:szCs w:val="19"/>
              </w:rPr>
              <w:t>10</w:t>
            </w:r>
          </w:p>
        </w:tc>
      </w:tr>
      <w:tr w:rsidR="00330AA1" w14:paraId="0FBFEEDA" w14:textId="77777777">
        <w:tc>
          <w:tcPr>
            <w:tcW w:w="900" w:type="dxa"/>
            <w:shd w:val="clear" w:color="auto" w:fill="FFFFFF"/>
            <w:tcMar>
              <w:top w:w="80" w:type="dxa"/>
              <w:left w:w="100" w:type="dxa"/>
              <w:bottom w:w="80" w:type="dxa"/>
              <w:right w:w="100" w:type="dxa"/>
            </w:tcMar>
            <w:vAlign w:val="center"/>
          </w:tcPr>
          <w:p w14:paraId="4B912C3B" w14:textId="77777777" w:rsidR="00330AA1" w:rsidRDefault="00E0374E">
            <w:r>
              <w:rPr>
                <w:color w:val="000000"/>
                <w:sz w:val="19"/>
                <w:szCs w:val="19"/>
              </w:rPr>
              <w:t>IV</w:t>
            </w:r>
          </w:p>
        </w:tc>
        <w:tc>
          <w:tcPr>
            <w:tcW w:w="6900" w:type="dxa"/>
            <w:shd w:val="clear" w:color="auto" w:fill="FFFFFF"/>
            <w:tcMar>
              <w:top w:w="80" w:type="dxa"/>
              <w:left w:w="100" w:type="dxa"/>
              <w:bottom w:w="80" w:type="dxa"/>
              <w:right w:w="100" w:type="dxa"/>
            </w:tcMar>
            <w:vAlign w:val="center"/>
          </w:tcPr>
          <w:p w14:paraId="74D80A7D" w14:textId="77777777" w:rsidR="00330AA1" w:rsidRDefault="00E0374E">
            <w:r>
              <w:rPr>
                <w:color w:val="000000"/>
                <w:sz w:val="19"/>
                <w:szCs w:val="19"/>
              </w:rPr>
              <w:t>La violencia obstétrica como categoría jurídica: responsabilidad y reparación</w:t>
            </w:r>
          </w:p>
        </w:tc>
        <w:tc>
          <w:tcPr>
            <w:tcW w:w="900" w:type="dxa"/>
            <w:shd w:val="clear" w:color="auto" w:fill="FFFFFF"/>
            <w:tcMar>
              <w:top w:w="80" w:type="dxa"/>
              <w:left w:w="100" w:type="dxa"/>
              <w:bottom w:w="80" w:type="dxa"/>
              <w:right w:w="100" w:type="dxa"/>
            </w:tcMar>
            <w:vAlign w:val="center"/>
          </w:tcPr>
          <w:p w14:paraId="6D82830A" w14:textId="77777777" w:rsidR="00330AA1" w:rsidRDefault="00E0374E">
            <w:r>
              <w:rPr>
                <w:color w:val="000000"/>
                <w:sz w:val="19"/>
                <w:szCs w:val="19"/>
              </w:rPr>
              <w:t>10</w:t>
            </w:r>
          </w:p>
        </w:tc>
      </w:tr>
      <w:tr w:rsidR="00330AA1" w14:paraId="0D6BD7A9" w14:textId="77777777">
        <w:tc>
          <w:tcPr>
            <w:tcW w:w="900" w:type="dxa"/>
            <w:shd w:val="clear" w:color="auto" w:fill="F5F5F5"/>
            <w:tcMar>
              <w:top w:w="80" w:type="dxa"/>
              <w:left w:w="100" w:type="dxa"/>
              <w:bottom w:w="80" w:type="dxa"/>
              <w:right w:w="100" w:type="dxa"/>
            </w:tcMar>
            <w:vAlign w:val="center"/>
          </w:tcPr>
          <w:p w14:paraId="622EAE9C" w14:textId="77777777" w:rsidR="00330AA1" w:rsidRDefault="00E0374E">
            <w:r>
              <w:rPr>
                <w:color w:val="000000"/>
                <w:sz w:val="19"/>
                <w:szCs w:val="19"/>
              </w:rPr>
              <w:t>V</w:t>
            </w:r>
          </w:p>
        </w:tc>
        <w:tc>
          <w:tcPr>
            <w:tcW w:w="6900" w:type="dxa"/>
            <w:shd w:val="clear" w:color="auto" w:fill="F5F5F5"/>
            <w:tcMar>
              <w:top w:w="80" w:type="dxa"/>
              <w:left w:w="100" w:type="dxa"/>
              <w:bottom w:w="80" w:type="dxa"/>
              <w:right w:w="100" w:type="dxa"/>
            </w:tcMar>
            <w:vAlign w:val="center"/>
          </w:tcPr>
          <w:p w14:paraId="2E62197F" w14:textId="77777777" w:rsidR="00330AA1" w:rsidRDefault="00E0374E">
            <w:r>
              <w:rPr>
                <w:color w:val="000000"/>
                <w:sz w:val="19"/>
                <w:szCs w:val="19"/>
              </w:rPr>
              <w:t>Derecho comparado, jurisprudencia y mecanismos de exigibilidad</w:t>
            </w:r>
          </w:p>
        </w:tc>
        <w:tc>
          <w:tcPr>
            <w:tcW w:w="900" w:type="dxa"/>
            <w:shd w:val="clear" w:color="auto" w:fill="F5F5F5"/>
            <w:tcMar>
              <w:top w:w="80" w:type="dxa"/>
              <w:left w:w="100" w:type="dxa"/>
              <w:bottom w:w="80" w:type="dxa"/>
              <w:right w:w="100" w:type="dxa"/>
            </w:tcMar>
            <w:vAlign w:val="center"/>
          </w:tcPr>
          <w:p w14:paraId="775FDF69" w14:textId="77777777" w:rsidR="00330AA1" w:rsidRDefault="00E0374E">
            <w:r>
              <w:rPr>
                <w:color w:val="000000"/>
                <w:sz w:val="19"/>
                <w:szCs w:val="19"/>
              </w:rPr>
              <w:t>8</w:t>
            </w:r>
          </w:p>
        </w:tc>
      </w:tr>
      <w:tr w:rsidR="00330AA1" w14:paraId="388A8C47" w14:textId="77777777">
        <w:tc>
          <w:tcPr>
            <w:tcW w:w="900" w:type="dxa"/>
            <w:shd w:val="clear" w:color="auto" w:fill="FFFFFF"/>
            <w:tcMar>
              <w:top w:w="80" w:type="dxa"/>
              <w:left w:w="100" w:type="dxa"/>
              <w:bottom w:w="80" w:type="dxa"/>
              <w:right w:w="100" w:type="dxa"/>
            </w:tcMar>
            <w:vAlign w:val="center"/>
          </w:tcPr>
          <w:p w14:paraId="3234C2E5" w14:textId="77777777" w:rsidR="00330AA1" w:rsidRDefault="00E0374E">
            <w:r>
              <w:rPr>
                <w:color w:val="000000"/>
                <w:sz w:val="19"/>
                <w:szCs w:val="19"/>
              </w:rPr>
              <w:t>VI</w:t>
            </w:r>
          </w:p>
        </w:tc>
        <w:tc>
          <w:tcPr>
            <w:tcW w:w="6900" w:type="dxa"/>
            <w:shd w:val="clear" w:color="auto" w:fill="FFFFFF"/>
            <w:tcMar>
              <w:top w:w="80" w:type="dxa"/>
              <w:left w:w="100" w:type="dxa"/>
              <w:bottom w:w="80" w:type="dxa"/>
              <w:right w:w="100" w:type="dxa"/>
            </w:tcMar>
            <w:vAlign w:val="center"/>
          </w:tcPr>
          <w:p w14:paraId="729EF35B" w14:textId="77777777" w:rsidR="00330AA1" w:rsidRDefault="00E0374E">
            <w:r>
              <w:rPr>
                <w:color w:val="000000"/>
                <w:sz w:val="19"/>
                <w:szCs w:val="19"/>
              </w:rPr>
              <w:t>Investigación jurídica aplicada y ejercicio profesional</w:t>
            </w:r>
          </w:p>
        </w:tc>
        <w:tc>
          <w:tcPr>
            <w:tcW w:w="900" w:type="dxa"/>
            <w:shd w:val="clear" w:color="auto" w:fill="FFFFFF"/>
            <w:tcMar>
              <w:top w:w="80" w:type="dxa"/>
              <w:left w:w="100" w:type="dxa"/>
              <w:bottom w:w="80" w:type="dxa"/>
              <w:right w:w="100" w:type="dxa"/>
            </w:tcMar>
            <w:vAlign w:val="center"/>
          </w:tcPr>
          <w:p w14:paraId="3DC9F158" w14:textId="77777777" w:rsidR="00330AA1" w:rsidRDefault="00E0374E">
            <w:r>
              <w:rPr>
                <w:color w:val="000000"/>
                <w:sz w:val="19"/>
                <w:szCs w:val="19"/>
              </w:rPr>
              <w:t>6</w:t>
            </w:r>
          </w:p>
        </w:tc>
      </w:tr>
      <w:tr w:rsidR="00330AA1" w14:paraId="7EAF7450" w14:textId="77777777">
        <w:tc>
          <w:tcPr>
            <w:tcW w:w="900" w:type="dxa"/>
            <w:shd w:val="clear" w:color="auto" w:fill="F5F5F5"/>
            <w:tcMar>
              <w:top w:w="80" w:type="dxa"/>
              <w:left w:w="100" w:type="dxa"/>
              <w:bottom w:w="80" w:type="dxa"/>
              <w:right w:w="100" w:type="dxa"/>
            </w:tcMar>
            <w:vAlign w:val="center"/>
          </w:tcPr>
          <w:p w14:paraId="28DB48F7" w14:textId="77777777" w:rsidR="00330AA1" w:rsidRDefault="00330AA1"/>
        </w:tc>
        <w:tc>
          <w:tcPr>
            <w:tcW w:w="6900" w:type="dxa"/>
            <w:shd w:val="clear" w:color="auto" w:fill="F5F5F5"/>
            <w:tcMar>
              <w:top w:w="80" w:type="dxa"/>
              <w:left w:w="100" w:type="dxa"/>
              <w:bottom w:w="80" w:type="dxa"/>
              <w:right w:w="100" w:type="dxa"/>
            </w:tcMar>
            <w:vAlign w:val="center"/>
          </w:tcPr>
          <w:p w14:paraId="7E35D38F" w14:textId="77777777" w:rsidR="00330AA1" w:rsidRDefault="00E0374E">
            <w:r>
              <w:rPr>
                <w:color w:val="000000"/>
                <w:sz w:val="19"/>
                <w:szCs w:val="19"/>
              </w:rPr>
              <w:t>Total</w:t>
            </w:r>
          </w:p>
        </w:tc>
        <w:tc>
          <w:tcPr>
            <w:tcW w:w="900" w:type="dxa"/>
            <w:shd w:val="clear" w:color="auto" w:fill="F5F5F5"/>
            <w:tcMar>
              <w:top w:w="80" w:type="dxa"/>
              <w:left w:w="100" w:type="dxa"/>
              <w:bottom w:w="80" w:type="dxa"/>
              <w:right w:w="100" w:type="dxa"/>
            </w:tcMar>
            <w:vAlign w:val="center"/>
          </w:tcPr>
          <w:p w14:paraId="547C492A" w14:textId="77777777" w:rsidR="00330AA1" w:rsidRDefault="00E0374E">
            <w:r>
              <w:rPr>
                <w:color w:val="000000"/>
                <w:sz w:val="19"/>
                <w:szCs w:val="19"/>
              </w:rPr>
              <w:t>48</w:t>
            </w:r>
          </w:p>
        </w:tc>
      </w:tr>
    </w:tbl>
    <w:p w14:paraId="0E797F85" w14:textId="77777777" w:rsidR="00330AA1" w:rsidRDefault="00E0374E">
      <w:r>
        <w:br w:type="page"/>
      </w:r>
    </w:p>
    <w:p w14:paraId="57E7430E" w14:textId="77777777" w:rsidR="00330AA1" w:rsidRDefault="00E0374E">
      <w:pPr>
        <w:pStyle w:val="Ttulo1"/>
        <w:pBdr>
          <w:bottom w:val="single" w:sz="8" w:space="4" w:color="1F3864"/>
        </w:pBdr>
        <w:spacing w:before="400" w:after="200"/>
      </w:pPr>
      <w:r>
        <w:rPr>
          <w:b/>
          <w:bCs/>
          <w:color w:val="1F3864"/>
          <w:sz w:val="28"/>
          <w:szCs w:val="28"/>
        </w:rPr>
        <w:lastRenderedPageBreak/>
        <w:t>TEMA I. FUNDAMENTOS CONCEPTUALES Y EPISTEMOLÓGICOS DE LA VIOLENCIA OBSTÉTRICA</w:t>
      </w:r>
    </w:p>
    <w:p w14:paraId="03F4F45E" w14:textId="77777777" w:rsidR="00330AA1" w:rsidRDefault="00E0374E">
      <w:pPr>
        <w:spacing w:after="140" w:line="276" w:lineRule="auto"/>
        <w:jc w:val="both"/>
      </w:pPr>
      <w:r>
        <w:rPr>
          <w:b/>
          <w:bCs/>
          <w:sz w:val="20"/>
          <w:szCs w:val="20"/>
        </w:rPr>
        <w:t xml:space="preserve">Horas clase: </w:t>
      </w:r>
      <w:r>
        <w:rPr>
          <w:sz w:val="20"/>
          <w:szCs w:val="20"/>
        </w:rPr>
        <w:t>6</w:t>
      </w:r>
    </w:p>
    <w:p w14:paraId="3650007A" w14:textId="77777777" w:rsidR="00330AA1" w:rsidRDefault="00E0374E">
      <w:pPr>
        <w:pStyle w:val="Ttulo3"/>
        <w:spacing w:before="180" w:after="90"/>
      </w:pPr>
      <w:r>
        <w:rPr>
          <w:b/>
          <w:bCs/>
          <w:i/>
          <w:iCs/>
          <w:color w:val="8B6F1F"/>
          <w:sz w:val="21"/>
          <w:szCs w:val="21"/>
        </w:rPr>
        <w:t>Objetivo general del tema</w:t>
      </w:r>
    </w:p>
    <w:p w14:paraId="3439960E" w14:textId="77777777" w:rsidR="00330AA1" w:rsidRDefault="00E0374E">
      <w:pPr>
        <w:spacing w:after="150" w:line="276" w:lineRule="auto"/>
        <w:jc w:val="both"/>
      </w:pPr>
      <w:r>
        <w:rPr>
          <w:sz w:val="20"/>
          <w:szCs w:val="20"/>
        </w:rPr>
        <w:t>Explicar el fundamento conceptual y epistemológico de la violencia obstétrica, distinguiéndola de categorías jurídicas afines, como base para su tratamiento jurídico posterior.</w:t>
      </w:r>
    </w:p>
    <w:p w14:paraId="2EEFA9ED" w14:textId="77777777" w:rsidR="00330AA1" w:rsidRDefault="00E0374E">
      <w:pPr>
        <w:pStyle w:val="Ttulo3"/>
        <w:spacing w:before="180" w:after="90"/>
      </w:pPr>
      <w:r>
        <w:rPr>
          <w:b/>
          <w:bCs/>
          <w:i/>
          <w:iCs/>
          <w:color w:val="8B6F1F"/>
          <w:sz w:val="21"/>
          <w:szCs w:val="21"/>
        </w:rPr>
        <w:t>Objetivos específicos</w:t>
      </w:r>
    </w:p>
    <w:p w14:paraId="6279A8CC" w14:textId="77777777" w:rsidR="00330AA1" w:rsidRDefault="00E0374E">
      <w:pPr>
        <w:pStyle w:val="Prrafodelista"/>
        <w:numPr>
          <w:ilvl w:val="0"/>
          <w:numId w:val="2"/>
        </w:numPr>
        <w:spacing w:after="90"/>
      </w:pPr>
      <w:r>
        <w:rPr>
          <w:sz w:val="20"/>
          <w:szCs w:val="20"/>
        </w:rPr>
        <w:t>Definir la violencia obstétrica desde una perspectiva multidisciplinaria y su tránsito hacia una categoría jurídica.</w:t>
      </w:r>
    </w:p>
    <w:p w14:paraId="6F11BC81" w14:textId="77777777" w:rsidR="00330AA1" w:rsidRDefault="00E0374E">
      <w:pPr>
        <w:pStyle w:val="Prrafodelista"/>
        <w:numPr>
          <w:ilvl w:val="0"/>
          <w:numId w:val="2"/>
        </w:numPr>
        <w:spacing w:after="90"/>
      </w:pPr>
      <w:r>
        <w:rPr>
          <w:sz w:val="20"/>
          <w:szCs w:val="20"/>
        </w:rPr>
        <w:t xml:space="preserve">Diferenciar violencia obstétrica de mala praxis médica, negligencia </w:t>
      </w:r>
      <w:proofErr w:type="gramStart"/>
      <w:r>
        <w:rPr>
          <w:sz w:val="20"/>
          <w:szCs w:val="20"/>
        </w:rPr>
        <w:t>y</w:t>
      </w:r>
      <w:proofErr w:type="gramEnd"/>
      <w:r>
        <w:rPr>
          <w:sz w:val="20"/>
          <w:szCs w:val="20"/>
        </w:rPr>
        <w:t xml:space="preserve"> iatrogenia.</w:t>
      </w:r>
    </w:p>
    <w:p w14:paraId="77CC998D" w14:textId="77777777" w:rsidR="00330AA1" w:rsidRDefault="00E0374E">
      <w:pPr>
        <w:pStyle w:val="Prrafodelista"/>
        <w:numPr>
          <w:ilvl w:val="0"/>
          <w:numId w:val="2"/>
        </w:numPr>
        <w:spacing w:after="90"/>
      </w:pPr>
      <w:r>
        <w:rPr>
          <w:sz w:val="20"/>
          <w:szCs w:val="20"/>
        </w:rPr>
        <w:t>Identificar las manifestaciones típicas de violencia obstétrica desde la evidencia científico-jurídica.</w:t>
      </w:r>
    </w:p>
    <w:p w14:paraId="53EB40D9" w14:textId="77777777" w:rsidR="00330AA1" w:rsidRDefault="00E0374E">
      <w:pPr>
        <w:pStyle w:val="Ttulo3"/>
        <w:spacing w:before="180" w:after="90"/>
      </w:pPr>
      <w:r>
        <w:rPr>
          <w:b/>
          <w:bCs/>
          <w:i/>
          <w:iCs/>
          <w:color w:val="8B6F1F"/>
          <w:sz w:val="21"/>
          <w:szCs w:val="21"/>
        </w:rPr>
        <w:t>Subtemas y contenidos</w:t>
      </w:r>
    </w:p>
    <w:p w14:paraId="03C92548" w14:textId="77777777" w:rsidR="00330AA1" w:rsidRDefault="00E0374E">
      <w:pPr>
        <w:spacing w:after="150" w:line="276" w:lineRule="auto"/>
        <w:jc w:val="both"/>
      </w:pPr>
      <w:r>
        <w:rPr>
          <w:sz w:val="20"/>
          <w:szCs w:val="20"/>
        </w:rPr>
        <w:t>1.1. Origen y evolución del concepto: de la "violencia institucional" a la "violencia obstétrica". Aportes del movimiento de parto respetado (Argentina, Venezuela, Brasil).</w:t>
      </w:r>
    </w:p>
    <w:p w14:paraId="655DAA5C" w14:textId="77777777" w:rsidR="00330AA1" w:rsidRDefault="00E0374E">
      <w:pPr>
        <w:spacing w:after="150" w:line="276" w:lineRule="auto"/>
        <w:jc w:val="both"/>
      </w:pPr>
      <w:r>
        <w:rPr>
          <w:sz w:val="20"/>
          <w:szCs w:val="20"/>
        </w:rPr>
        <w:t>1.2. Elementos configurativos: sujeto activo (personal e instituciones de salud), sujeto pasivo (persona gestante/parturienta), bien jurídico afectado (autonomía, dignidad, integridad, salud sexual y reproductiva).</w:t>
      </w:r>
    </w:p>
    <w:p w14:paraId="41CFC0B4" w14:textId="77777777" w:rsidR="00330AA1" w:rsidRDefault="00E0374E">
      <w:pPr>
        <w:spacing w:after="150" w:line="276" w:lineRule="auto"/>
        <w:jc w:val="both"/>
      </w:pPr>
      <w:r>
        <w:rPr>
          <w:sz w:val="20"/>
          <w:szCs w:val="20"/>
        </w:rPr>
        <w:t xml:space="preserve">1.3. Manifestaciones fácticas: violencia física, verbal, psicológica; </w:t>
      </w:r>
      <w:proofErr w:type="spellStart"/>
      <w:r>
        <w:rPr>
          <w:sz w:val="20"/>
          <w:szCs w:val="20"/>
        </w:rPr>
        <w:t>patologización</w:t>
      </w:r>
      <w:proofErr w:type="spellEnd"/>
      <w:r>
        <w:rPr>
          <w:sz w:val="20"/>
          <w:szCs w:val="20"/>
        </w:rPr>
        <w:t xml:space="preserve"> de procesos fisiológicos; medicalización excesiva; negación de información y consentimiento informado; discriminación </w:t>
      </w:r>
      <w:proofErr w:type="spellStart"/>
      <w:r>
        <w:rPr>
          <w:sz w:val="20"/>
          <w:szCs w:val="20"/>
        </w:rPr>
        <w:t>interseccional</w:t>
      </w:r>
      <w:proofErr w:type="spellEnd"/>
      <w:r>
        <w:rPr>
          <w:sz w:val="20"/>
          <w:szCs w:val="20"/>
        </w:rPr>
        <w:t xml:space="preserve"> (raza, edad, discapacidad).</w:t>
      </w:r>
    </w:p>
    <w:p w14:paraId="1C4AD8EE" w14:textId="77777777" w:rsidR="00330AA1" w:rsidRDefault="00E0374E">
      <w:pPr>
        <w:spacing w:after="150" w:line="276" w:lineRule="auto"/>
        <w:jc w:val="both"/>
      </w:pPr>
      <w:r>
        <w:rPr>
          <w:sz w:val="20"/>
          <w:szCs w:val="20"/>
        </w:rPr>
        <w:t xml:space="preserve">1.4. Deslinde conceptual con figuras jurídicas afines: mala praxis médica, negligencia médica, error de tipo/prohibición en el ámbito sanitario, </w:t>
      </w:r>
      <w:proofErr w:type="spellStart"/>
      <w:r>
        <w:rPr>
          <w:sz w:val="20"/>
          <w:szCs w:val="20"/>
        </w:rPr>
        <w:t>lex</w:t>
      </w:r>
      <w:proofErr w:type="spellEnd"/>
      <w:r>
        <w:rPr>
          <w:sz w:val="20"/>
          <w:szCs w:val="20"/>
        </w:rPr>
        <w:t xml:space="preserve"> </w:t>
      </w:r>
      <w:proofErr w:type="spellStart"/>
      <w:r>
        <w:rPr>
          <w:sz w:val="20"/>
          <w:szCs w:val="20"/>
        </w:rPr>
        <w:t>artis</w:t>
      </w:r>
      <w:proofErr w:type="spellEnd"/>
      <w:r>
        <w:rPr>
          <w:sz w:val="20"/>
          <w:szCs w:val="20"/>
        </w:rPr>
        <w:t>.</w:t>
      </w:r>
    </w:p>
    <w:p w14:paraId="32DF3A49" w14:textId="77777777" w:rsidR="00330AA1" w:rsidRDefault="00E0374E">
      <w:r>
        <w:br w:type="page"/>
      </w:r>
    </w:p>
    <w:p w14:paraId="73139F5B" w14:textId="77777777" w:rsidR="00330AA1" w:rsidRDefault="00E0374E">
      <w:pPr>
        <w:pStyle w:val="Ttulo1"/>
        <w:pBdr>
          <w:bottom w:val="single" w:sz="8" w:space="4" w:color="1F3864"/>
        </w:pBdr>
        <w:spacing w:before="400" w:after="200"/>
      </w:pPr>
      <w:r>
        <w:rPr>
          <w:b/>
          <w:bCs/>
          <w:color w:val="1F3864"/>
          <w:sz w:val="28"/>
          <w:szCs w:val="28"/>
        </w:rPr>
        <w:lastRenderedPageBreak/>
        <w:t>TEMA II. MARCO JURÍDICO INTERNACIONAL DE LOS DERECHOS REPRODUCTIVOS Y LA VIOLENCIA OBSTÉTRICA</w:t>
      </w:r>
    </w:p>
    <w:p w14:paraId="6C259AF7" w14:textId="77777777" w:rsidR="00330AA1" w:rsidRDefault="00E0374E">
      <w:pPr>
        <w:spacing w:after="140" w:line="276" w:lineRule="auto"/>
        <w:jc w:val="both"/>
      </w:pPr>
      <w:r>
        <w:rPr>
          <w:b/>
          <w:bCs/>
          <w:sz w:val="20"/>
          <w:szCs w:val="20"/>
        </w:rPr>
        <w:t xml:space="preserve">Horas clase: </w:t>
      </w:r>
      <w:r>
        <w:rPr>
          <w:sz w:val="20"/>
          <w:szCs w:val="20"/>
        </w:rPr>
        <w:t>8</w:t>
      </w:r>
    </w:p>
    <w:p w14:paraId="53DA2525" w14:textId="77777777" w:rsidR="00330AA1" w:rsidRDefault="00E0374E">
      <w:pPr>
        <w:pStyle w:val="Ttulo3"/>
        <w:spacing w:before="180" w:after="90"/>
      </w:pPr>
      <w:r>
        <w:rPr>
          <w:b/>
          <w:bCs/>
          <w:i/>
          <w:iCs/>
          <w:color w:val="8B6F1F"/>
          <w:sz w:val="21"/>
          <w:szCs w:val="21"/>
        </w:rPr>
        <w:t>Objetivo general del tema</w:t>
      </w:r>
    </w:p>
    <w:p w14:paraId="23655661" w14:textId="77777777" w:rsidR="00330AA1" w:rsidRDefault="00E0374E">
      <w:pPr>
        <w:spacing w:after="150" w:line="276" w:lineRule="auto"/>
        <w:jc w:val="both"/>
      </w:pPr>
      <w:r>
        <w:rPr>
          <w:sz w:val="20"/>
          <w:szCs w:val="20"/>
        </w:rPr>
        <w:t>Analizar el sistema normativo internacional de protección de los derechos reproductivos aplicable a la violencia obstétrica y su recepción en el ordenamiento jurídico cubano.</w:t>
      </w:r>
    </w:p>
    <w:p w14:paraId="045EBDAC" w14:textId="77777777" w:rsidR="00330AA1" w:rsidRDefault="00E0374E">
      <w:pPr>
        <w:pStyle w:val="Ttulo3"/>
        <w:spacing w:before="180" w:after="90"/>
      </w:pPr>
      <w:r>
        <w:rPr>
          <w:b/>
          <w:bCs/>
          <w:i/>
          <w:iCs/>
          <w:color w:val="8B6F1F"/>
          <w:sz w:val="21"/>
          <w:szCs w:val="21"/>
        </w:rPr>
        <w:t>Objetivos específicos</w:t>
      </w:r>
    </w:p>
    <w:p w14:paraId="7806132F" w14:textId="77777777" w:rsidR="00330AA1" w:rsidRDefault="00E0374E">
      <w:pPr>
        <w:pStyle w:val="Prrafodelista"/>
        <w:numPr>
          <w:ilvl w:val="0"/>
          <w:numId w:val="2"/>
        </w:numPr>
        <w:spacing w:after="90"/>
      </w:pPr>
      <w:r>
        <w:rPr>
          <w:sz w:val="20"/>
          <w:szCs w:val="20"/>
        </w:rPr>
        <w:t>Interpretar el contenido normativo de CEDAW y la Convención de Belém do Pará en relación con la salud reproductiva.</w:t>
      </w:r>
    </w:p>
    <w:p w14:paraId="48F29E23" w14:textId="77777777" w:rsidR="00330AA1" w:rsidRDefault="00E0374E">
      <w:pPr>
        <w:pStyle w:val="Prrafodelista"/>
        <w:numPr>
          <w:ilvl w:val="0"/>
          <w:numId w:val="2"/>
        </w:numPr>
        <w:spacing w:after="90"/>
      </w:pPr>
      <w:r>
        <w:rPr>
          <w:sz w:val="20"/>
          <w:szCs w:val="20"/>
        </w:rPr>
        <w:t>Examinar los estándares del Sistema Interamericano y de Naciones Unidas sobre violencia obstétrica.</w:t>
      </w:r>
    </w:p>
    <w:p w14:paraId="4F4313F1" w14:textId="77777777" w:rsidR="00330AA1" w:rsidRDefault="00E0374E">
      <w:pPr>
        <w:pStyle w:val="Prrafodelista"/>
        <w:numPr>
          <w:ilvl w:val="0"/>
          <w:numId w:val="2"/>
        </w:numPr>
        <w:spacing w:after="90"/>
      </w:pPr>
      <w:r>
        <w:rPr>
          <w:sz w:val="20"/>
          <w:szCs w:val="20"/>
        </w:rPr>
        <w:t>Determinar el estatus normativo de los tratados internacionales en el ordenamiento jurídico cubano (jerarquía y aplicabilidad conforme al art. 8 de la Constitución de 2019).</w:t>
      </w:r>
    </w:p>
    <w:p w14:paraId="151171C2" w14:textId="77777777" w:rsidR="00330AA1" w:rsidRDefault="00E0374E">
      <w:pPr>
        <w:pStyle w:val="Ttulo3"/>
        <w:spacing w:before="180" w:after="90"/>
      </w:pPr>
      <w:r>
        <w:rPr>
          <w:b/>
          <w:bCs/>
          <w:i/>
          <w:iCs/>
          <w:color w:val="8B6F1F"/>
          <w:sz w:val="21"/>
          <w:szCs w:val="21"/>
        </w:rPr>
        <w:t>Subtemas y contenidos</w:t>
      </w:r>
    </w:p>
    <w:p w14:paraId="5F5970B6" w14:textId="77777777" w:rsidR="00330AA1" w:rsidRDefault="00E0374E">
      <w:pPr>
        <w:spacing w:after="150" w:line="276" w:lineRule="auto"/>
        <w:jc w:val="both"/>
      </w:pPr>
      <w:r>
        <w:rPr>
          <w:sz w:val="20"/>
          <w:szCs w:val="20"/>
        </w:rPr>
        <w:t>2.1. Sistema universal: CEDAW (arts. 12 y 16), Observación General No. 24 del Comité CEDAW sobre mujeres y salud; Pacto Internacional de Derechos Económicos, Sociales y Culturales (art. 12); informes de la Relatoría Especial de Naciones Unidas sobre violencia obstétrica y respetada (2019).</w:t>
      </w:r>
    </w:p>
    <w:p w14:paraId="0C176F36" w14:textId="77777777" w:rsidR="00330AA1" w:rsidRDefault="00E0374E">
      <w:pPr>
        <w:spacing w:after="150" w:line="276" w:lineRule="auto"/>
        <w:jc w:val="both"/>
      </w:pPr>
      <w:r>
        <w:rPr>
          <w:sz w:val="20"/>
          <w:szCs w:val="20"/>
        </w:rPr>
        <w:t>2.2. Sistema Interamericano: Convención de Belém do Pará; jurisprudencia de la Corte IDH (casos I.V. vs. Bolivia; Manuela vs. El Salvador) como parámetro interpretativo de la violencia obstétrica y esterilización forzada.</w:t>
      </w:r>
    </w:p>
    <w:p w14:paraId="3C1C5BB2" w14:textId="77777777" w:rsidR="00330AA1" w:rsidRDefault="00E0374E">
      <w:pPr>
        <w:spacing w:after="150" w:line="276" w:lineRule="auto"/>
        <w:jc w:val="both"/>
      </w:pPr>
      <w:r>
        <w:rPr>
          <w:sz w:val="20"/>
          <w:szCs w:val="20"/>
        </w:rPr>
        <w:t>2.3. La Organización Mundial de la Salud: Declaración sobre prevención y erradicación de la falta de respeto y el maltrato durante el parto en centros de salud (2014).</w:t>
      </w:r>
    </w:p>
    <w:p w14:paraId="636CC472" w14:textId="77777777" w:rsidR="00330AA1" w:rsidRDefault="00E0374E">
      <w:pPr>
        <w:spacing w:after="150" w:line="276" w:lineRule="auto"/>
        <w:jc w:val="both"/>
      </w:pPr>
      <w:r>
        <w:rPr>
          <w:sz w:val="20"/>
          <w:szCs w:val="20"/>
        </w:rPr>
        <w:t>2.4. Recepción del Derecho Internacional en el ordenamiento jurídico cubano: el bloque de constitucionalidad, el artículo 8 de la Constitución de la República de Cuba (2019) y el principio de aplicación directa de tratados internacionales de derechos humanos.</w:t>
      </w:r>
    </w:p>
    <w:p w14:paraId="4A4F0E34" w14:textId="77777777" w:rsidR="00330AA1" w:rsidRDefault="00E0374E">
      <w:r>
        <w:br w:type="page"/>
      </w:r>
    </w:p>
    <w:p w14:paraId="44AD3C16" w14:textId="77777777" w:rsidR="00330AA1" w:rsidRDefault="00E0374E">
      <w:pPr>
        <w:pStyle w:val="Ttulo1"/>
        <w:pBdr>
          <w:bottom w:val="single" w:sz="8" w:space="4" w:color="1F3864"/>
        </w:pBdr>
        <w:spacing w:before="400" w:after="200"/>
      </w:pPr>
      <w:r>
        <w:rPr>
          <w:b/>
          <w:bCs/>
          <w:color w:val="1F3864"/>
          <w:sz w:val="28"/>
          <w:szCs w:val="28"/>
        </w:rPr>
        <w:lastRenderedPageBreak/>
        <w:t>TEMA III. MARCO JURÍDICO NACIONAL CUBANO: CONSTITUCIÓN, CÓDIGO DE LAS FAMILIAS Y SALUD PÚBLICA</w:t>
      </w:r>
    </w:p>
    <w:p w14:paraId="318128F2" w14:textId="77777777" w:rsidR="00330AA1" w:rsidRDefault="00E0374E">
      <w:pPr>
        <w:spacing w:after="140" w:line="276" w:lineRule="auto"/>
        <w:jc w:val="both"/>
      </w:pPr>
      <w:r>
        <w:rPr>
          <w:b/>
          <w:bCs/>
          <w:sz w:val="20"/>
          <w:szCs w:val="20"/>
        </w:rPr>
        <w:t xml:space="preserve">Horas clase: </w:t>
      </w:r>
      <w:r>
        <w:rPr>
          <w:sz w:val="20"/>
          <w:szCs w:val="20"/>
        </w:rPr>
        <w:t>10</w:t>
      </w:r>
    </w:p>
    <w:p w14:paraId="7909031B" w14:textId="77777777" w:rsidR="00330AA1" w:rsidRDefault="00E0374E">
      <w:pPr>
        <w:pStyle w:val="Ttulo3"/>
        <w:spacing w:before="180" w:after="90"/>
      </w:pPr>
      <w:r>
        <w:rPr>
          <w:b/>
          <w:bCs/>
          <w:i/>
          <w:iCs/>
          <w:color w:val="8B6F1F"/>
          <w:sz w:val="21"/>
          <w:szCs w:val="21"/>
        </w:rPr>
        <w:t>Objetivo general del tema</w:t>
      </w:r>
    </w:p>
    <w:p w14:paraId="48879F03" w14:textId="77777777" w:rsidR="00330AA1" w:rsidRDefault="00E0374E">
      <w:pPr>
        <w:spacing w:after="150" w:line="276" w:lineRule="auto"/>
        <w:jc w:val="both"/>
      </w:pPr>
      <w:r>
        <w:rPr>
          <w:sz w:val="20"/>
          <w:szCs w:val="20"/>
        </w:rPr>
        <w:t>Determinar el alcance y los vacíos del ordenamiento jurídico cubano vigente respecto a la protección frente a la violencia obstétrica.</w:t>
      </w:r>
    </w:p>
    <w:p w14:paraId="34977530" w14:textId="77777777" w:rsidR="00330AA1" w:rsidRDefault="00E0374E">
      <w:pPr>
        <w:pStyle w:val="Ttulo3"/>
        <w:spacing w:before="180" w:after="90"/>
      </w:pPr>
      <w:r>
        <w:rPr>
          <w:b/>
          <w:bCs/>
          <w:i/>
          <w:iCs/>
          <w:color w:val="8B6F1F"/>
          <w:sz w:val="21"/>
          <w:szCs w:val="21"/>
        </w:rPr>
        <w:t>Objetivos específicos</w:t>
      </w:r>
    </w:p>
    <w:p w14:paraId="2989CDA0" w14:textId="77777777" w:rsidR="00330AA1" w:rsidRDefault="00E0374E">
      <w:pPr>
        <w:pStyle w:val="Prrafodelista"/>
        <w:numPr>
          <w:ilvl w:val="0"/>
          <w:numId w:val="2"/>
        </w:numPr>
        <w:spacing w:after="90"/>
      </w:pPr>
      <w:r>
        <w:rPr>
          <w:sz w:val="20"/>
          <w:szCs w:val="20"/>
        </w:rPr>
        <w:t>Analizar el fundamento constitucional de los derechos sexuales y reproductivos en Cuba.</w:t>
      </w:r>
    </w:p>
    <w:p w14:paraId="05D6D468" w14:textId="77777777" w:rsidR="00330AA1" w:rsidRDefault="00E0374E">
      <w:pPr>
        <w:pStyle w:val="Prrafodelista"/>
        <w:numPr>
          <w:ilvl w:val="0"/>
          <w:numId w:val="2"/>
        </w:numPr>
        <w:spacing w:after="90"/>
      </w:pPr>
      <w:r>
        <w:rPr>
          <w:sz w:val="20"/>
          <w:szCs w:val="20"/>
        </w:rPr>
        <w:t>Examinar la Ley No. 156/2022 (Código de las Familias) en lo relativo a autonomía reproductiva y dignidad.</w:t>
      </w:r>
    </w:p>
    <w:p w14:paraId="3F73D7AF" w14:textId="77777777" w:rsidR="00330AA1" w:rsidRDefault="00E0374E">
      <w:pPr>
        <w:pStyle w:val="Prrafodelista"/>
        <w:numPr>
          <w:ilvl w:val="0"/>
          <w:numId w:val="2"/>
        </w:numPr>
        <w:spacing w:after="90"/>
      </w:pPr>
      <w:r>
        <w:rPr>
          <w:sz w:val="20"/>
          <w:szCs w:val="20"/>
        </w:rPr>
        <w:t>Evaluar el marco regulatorio del sistema de salud pública cubano (Ley No. 41 y su reglamento) respecto al consentimiento informado y los derechos del paciente obstétrico.</w:t>
      </w:r>
    </w:p>
    <w:p w14:paraId="76F5E5A9" w14:textId="77777777" w:rsidR="00330AA1" w:rsidRDefault="00E0374E">
      <w:pPr>
        <w:pStyle w:val="Ttulo3"/>
        <w:spacing w:before="180" w:after="90"/>
      </w:pPr>
      <w:r>
        <w:rPr>
          <w:b/>
          <w:bCs/>
          <w:i/>
          <w:iCs/>
          <w:color w:val="8B6F1F"/>
          <w:sz w:val="21"/>
          <w:szCs w:val="21"/>
        </w:rPr>
        <w:t>Subtemas y contenidos</w:t>
      </w:r>
    </w:p>
    <w:p w14:paraId="0BDB1B2E" w14:textId="77777777" w:rsidR="00330AA1" w:rsidRDefault="00E0374E">
      <w:pPr>
        <w:spacing w:after="150" w:line="276" w:lineRule="auto"/>
        <w:jc w:val="both"/>
      </w:pPr>
      <w:r>
        <w:rPr>
          <w:sz w:val="20"/>
          <w:szCs w:val="20"/>
        </w:rPr>
        <w:t>3.1. Constitución de la República de Cuba (2019): dignidad humana (art. 40), integridad física y psíquica (art. 46), derecho a la salud (art. 72), no discriminación (art. 42) y libre desarrollo de la personalidad (art. 44) como fundamento constitucional de la protección frente a la violencia obstétrica.</w:t>
      </w:r>
    </w:p>
    <w:p w14:paraId="6A741FCF" w14:textId="77777777" w:rsidR="00330AA1" w:rsidRDefault="00E0374E">
      <w:pPr>
        <w:spacing w:after="150" w:line="276" w:lineRule="auto"/>
        <w:jc w:val="both"/>
      </w:pPr>
      <w:r>
        <w:rPr>
          <w:sz w:val="20"/>
          <w:szCs w:val="20"/>
        </w:rPr>
        <w:t>3.2. Código de las Familias (Ley 156/2022): principio de autonomía progresiva, consentimiento y decisiones sobre el propio cuerpo; su conexión indirecta —y sus límites— respecto a la autonomía reproductiva en el proceso de parto.</w:t>
      </w:r>
    </w:p>
    <w:p w14:paraId="5C51FABC" w14:textId="77777777" w:rsidR="00330AA1" w:rsidRDefault="00E0374E">
      <w:pPr>
        <w:spacing w:after="150" w:line="276" w:lineRule="auto"/>
        <w:jc w:val="both"/>
      </w:pPr>
      <w:r>
        <w:rPr>
          <w:sz w:val="20"/>
          <w:szCs w:val="20"/>
        </w:rPr>
        <w:t>3.3. Ley No. 41 de Salud Pública y su Reglamento (Decreto No. 139): derechos del paciente, consentimiento informado, historia clínica, quejas y reclamaciones administrativas; análisis crítico de su insuficiencia para abordar la especificidad de la violencia obstétrica.</w:t>
      </w:r>
    </w:p>
    <w:p w14:paraId="01D1F8D6" w14:textId="77777777" w:rsidR="00330AA1" w:rsidRDefault="00E0374E">
      <w:pPr>
        <w:spacing w:after="150" w:line="276" w:lineRule="auto"/>
        <w:jc w:val="both"/>
      </w:pPr>
      <w:r>
        <w:rPr>
          <w:sz w:val="20"/>
          <w:szCs w:val="20"/>
        </w:rPr>
        <w:t xml:space="preserve">3.4. Código Penal cubano (Ley 151/2022): figuras potencialmente aplicables —lesiones (arts. 402 y ss.), coacción, omisión del deber de socorro, delitos contra el normal desarrollo de las relaciones sexuales— y análisis de su insuficiencia típica para captar la violencia obstétrica como fenómeno autónomo. Discusión de </w:t>
      </w:r>
      <w:proofErr w:type="spellStart"/>
      <w:r>
        <w:rPr>
          <w:sz w:val="20"/>
          <w:szCs w:val="20"/>
        </w:rPr>
        <w:t>lege</w:t>
      </w:r>
      <w:proofErr w:type="spellEnd"/>
      <w:r>
        <w:rPr>
          <w:sz w:val="20"/>
          <w:szCs w:val="20"/>
        </w:rPr>
        <w:t xml:space="preserve"> </w:t>
      </w:r>
      <w:proofErr w:type="spellStart"/>
      <w:r>
        <w:rPr>
          <w:sz w:val="20"/>
          <w:szCs w:val="20"/>
        </w:rPr>
        <w:t>ferenda</w:t>
      </w:r>
      <w:proofErr w:type="spellEnd"/>
      <w:r>
        <w:rPr>
          <w:sz w:val="20"/>
          <w:szCs w:val="20"/>
        </w:rPr>
        <w:t xml:space="preserve"> sobre tipificación específica.</w:t>
      </w:r>
    </w:p>
    <w:p w14:paraId="07B8FDFF" w14:textId="77777777" w:rsidR="00330AA1" w:rsidRDefault="00E0374E">
      <w:pPr>
        <w:spacing w:after="150" w:line="276" w:lineRule="auto"/>
        <w:jc w:val="both"/>
      </w:pPr>
      <w:r>
        <w:rPr>
          <w:sz w:val="20"/>
          <w:szCs w:val="20"/>
        </w:rPr>
        <w:t xml:space="preserve">3.5. Responsabilidad administrativa y disciplinaria del personal de salud: régimen de la Ley No. 41, reglamentos internos del Ministerio de Salud Pública (MINSAP) y procedimientos de queja </w:t>
      </w:r>
      <w:proofErr w:type="spellStart"/>
      <w:r>
        <w:rPr>
          <w:sz w:val="20"/>
          <w:szCs w:val="20"/>
        </w:rPr>
        <w:t>intrainstitucional</w:t>
      </w:r>
      <w:proofErr w:type="spellEnd"/>
      <w:r>
        <w:rPr>
          <w:sz w:val="20"/>
          <w:szCs w:val="20"/>
        </w:rPr>
        <w:t>.</w:t>
      </w:r>
    </w:p>
    <w:p w14:paraId="307528C0" w14:textId="77777777" w:rsidR="00330AA1" w:rsidRDefault="00E0374E">
      <w:r>
        <w:br w:type="page"/>
      </w:r>
    </w:p>
    <w:p w14:paraId="048708D0" w14:textId="77777777" w:rsidR="00330AA1" w:rsidRDefault="00E0374E">
      <w:pPr>
        <w:pStyle w:val="Ttulo1"/>
        <w:pBdr>
          <w:bottom w:val="single" w:sz="8" w:space="4" w:color="1F3864"/>
        </w:pBdr>
        <w:spacing w:before="400" w:after="200"/>
      </w:pPr>
      <w:r>
        <w:rPr>
          <w:b/>
          <w:bCs/>
          <w:color w:val="1F3864"/>
          <w:sz w:val="28"/>
          <w:szCs w:val="28"/>
        </w:rPr>
        <w:lastRenderedPageBreak/>
        <w:t>TEMA IV. LA VIOLENCIA OBSTÉTRICA COMO CATEGORÍA JURÍDICA: RESPONSABILIDAD Y REPARACIÓN</w:t>
      </w:r>
    </w:p>
    <w:p w14:paraId="7C648E69" w14:textId="77777777" w:rsidR="00330AA1" w:rsidRDefault="00E0374E">
      <w:pPr>
        <w:spacing w:after="140" w:line="276" w:lineRule="auto"/>
        <w:jc w:val="both"/>
      </w:pPr>
      <w:r>
        <w:rPr>
          <w:b/>
          <w:bCs/>
          <w:sz w:val="20"/>
          <w:szCs w:val="20"/>
        </w:rPr>
        <w:t xml:space="preserve">Horas clase: </w:t>
      </w:r>
      <w:r>
        <w:rPr>
          <w:sz w:val="20"/>
          <w:szCs w:val="20"/>
        </w:rPr>
        <w:t>10</w:t>
      </w:r>
    </w:p>
    <w:p w14:paraId="3C687084" w14:textId="77777777" w:rsidR="00330AA1" w:rsidRDefault="00E0374E">
      <w:pPr>
        <w:pStyle w:val="Ttulo3"/>
        <w:spacing w:before="180" w:after="90"/>
      </w:pPr>
      <w:r>
        <w:rPr>
          <w:b/>
          <w:bCs/>
          <w:i/>
          <w:iCs/>
          <w:color w:val="8B6F1F"/>
          <w:sz w:val="21"/>
          <w:szCs w:val="21"/>
        </w:rPr>
        <w:t>Objetivo general del tema</w:t>
      </w:r>
    </w:p>
    <w:p w14:paraId="78A49771" w14:textId="77777777" w:rsidR="00330AA1" w:rsidRDefault="00E0374E">
      <w:pPr>
        <w:spacing w:after="150" w:line="276" w:lineRule="auto"/>
        <w:jc w:val="both"/>
      </w:pPr>
      <w:r>
        <w:rPr>
          <w:sz w:val="20"/>
          <w:szCs w:val="20"/>
        </w:rPr>
        <w:t>Argumentar los presupuestos jurídicos de la responsabilidad —civil, penal, administrativa— derivada de actos de violencia obstétrica y los mecanismos de reparación disponibles en el ordenamiento cubano.</w:t>
      </w:r>
    </w:p>
    <w:p w14:paraId="3F90F789" w14:textId="77777777" w:rsidR="00330AA1" w:rsidRDefault="00E0374E">
      <w:pPr>
        <w:pStyle w:val="Ttulo3"/>
        <w:spacing w:before="180" w:after="90"/>
      </w:pPr>
      <w:r>
        <w:rPr>
          <w:b/>
          <w:bCs/>
          <w:i/>
          <w:iCs/>
          <w:color w:val="8B6F1F"/>
          <w:sz w:val="21"/>
          <w:szCs w:val="21"/>
        </w:rPr>
        <w:t>Objetivos específicos</w:t>
      </w:r>
    </w:p>
    <w:p w14:paraId="31CA5548" w14:textId="77777777" w:rsidR="00330AA1" w:rsidRDefault="00E0374E">
      <w:pPr>
        <w:pStyle w:val="Prrafodelista"/>
        <w:numPr>
          <w:ilvl w:val="0"/>
          <w:numId w:val="2"/>
        </w:numPr>
        <w:spacing w:after="90"/>
      </w:pPr>
      <w:r>
        <w:rPr>
          <w:sz w:val="20"/>
          <w:szCs w:val="20"/>
        </w:rPr>
        <w:t>Aplicar las categorías de la responsabilidad civil extracontractual y contractual al supuesto de la violencia obstétrica.</w:t>
      </w:r>
    </w:p>
    <w:p w14:paraId="32F1C198" w14:textId="77777777" w:rsidR="00330AA1" w:rsidRDefault="00E0374E">
      <w:pPr>
        <w:pStyle w:val="Prrafodelista"/>
        <w:numPr>
          <w:ilvl w:val="0"/>
          <w:numId w:val="2"/>
        </w:numPr>
        <w:spacing w:after="90"/>
      </w:pPr>
      <w:r>
        <w:rPr>
          <w:sz w:val="20"/>
          <w:szCs w:val="20"/>
        </w:rPr>
        <w:t>Analizar los presupuestos de la responsabilidad penal del personal sanitario.</w:t>
      </w:r>
    </w:p>
    <w:p w14:paraId="5C9D4670" w14:textId="77777777" w:rsidR="00330AA1" w:rsidRDefault="00E0374E">
      <w:pPr>
        <w:pStyle w:val="Prrafodelista"/>
        <w:numPr>
          <w:ilvl w:val="0"/>
          <w:numId w:val="2"/>
        </w:numPr>
        <w:spacing w:after="90"/>
      </w:pPr>
      <w:r>
        <w:rPr>
          <w:sz w:val="20"/>
          <w:szCs w:val="20"/>
        </w:rPr>
        <w:t>Examinar las vías de reparación integral (restitución, indemnización, satisfacción, garantías de no repetición) aplicables al contexto cubano.</w:t>
      </w:r>
    </w:p>
    <w:p w14:paraId="6C329914" w14:textId="77777777" w:rsidR="00330AA1" w:rsidRDefault="00E0374E">
      <w:pPr>
        <w:pStyle w:val="Ttulo3"/>
        <w:spacing w:before="180" w:after="90"/>
      </w:pPr>
      <w:r>
        <w:rPr>
          <w:b/>
          <w:bCs/>
          <w:i/>
          <w:iCs/>
          <w:color w:val="8B6F1F"/>
          <w:sz w:val="21"/>
          <w:szCs w:val="21"/>
        </w:rPr>
        <w:t>Subtemas y contenidos</w:t>
      </w:r>
    </w:p>
    <w:p w14:paraId="66ACD709" w14:textId="77777777" w:rsidR="00330AA1" w:rsidRDefault="00E0374E">
      <w:pPr>
        <w:spacing w:after="150" w:line="276" w:lineRule="auto"/>
        <w:jc w:val="both"/>
      </w:pPr>
      <w:r>
        <w:rPr>
          <w:sz w:val="20"/>
          <w:szCs w:val="20"/>
        </w:rPr>
        <w:t>4.1. Responsabilidad civil: el daño a la persona, daño moral y daño al proyecto de vida en el marco del Código Civil cubano; nexo causal y culpa/negligencia en el acto médico obstétrico.</w:t>
      </w:r>
    </w:p>
    <w:p w14:paraId="65EA3A40" w14:textId="77777777" w:rsidR="00330AA1" w:rsidRDefault="00E0374E">
      <w:pPr>
        <w:spacing w:after="150" w:line="276" w:lineRule="auto"/>
        <w:jc w:val="both"/>
      </w:pPr>
      <w:r>
        <w:rPr>
          <w:sz w:val="20"/>
          <w:szCs w:val="20"/>
        </w:rPr>
        <w:t>4.2. El consentimiento informado como categoría jurídica central: naturaleza jurídica, requisitos de validez, consecuencias jurídicas de su vulneración (nulidad del acto médico, responsabilidad civil autónoma).</w:t>
      </w:r>
    </w:p>
    <w:p w14:paraId="19E20904" w14:textId="77777777" w:rsidR="00330AA1" w:rsidRDefault="00E0374E">
      <w:pPr>
        <w:spacing w:after="150" w:line="276" w:lineRule="auto"/>
        <w:jc w:val="both"/>
      </w:pPr>
      <w:r>
        <w:rPr>
          <w:sz w:val="20"/>
          <w:szCs w:val="20"/>
        </w:rPr>
        <w:t>4.3. Responsabilidad penal: análisis dogmático de la imputación objetiva y subjetiva en el personal sanitario; la posición de garante; dolo eventual versus culpa consciente en actos de violencia obstétrica.</w:t>
      </w:r>
    </w:p>
    <w:p w14:paraId="7F706288" w14:textId="77777777" w:rsidR="00330AA1" w:rsidRDefault="00E0374E">
      <w:pPr>
        <w:spacing w:after="150" w:line="276" w:lineRule="auto"/>
        <w:jc w:val="both"/>
      </w:pPr>
      <w:r>
        <w:rPr>
          <w:sz w:val="20"/>
          <w:szCs w:val="20"/>
        </w:rPr>
        <w:t>4.4. Responsabilidad institucional del Estado: el Estado como garante del derecho a la salud reproductiva; responsabilidad patrimonial de la Administración en el sistema de salud pública cubano.</w:t>
      </w:r>
    </w:p>
    <w:p w14:paraId="28C4001B" w14:textId="77777777" w:rsidR="00330AA1" w:rsidRDefault="00E0374E">
      <w:pPr>
        <w:spacing w:after="150" w:line="276" w:lineRule="auto"/>
        <w:jc w:val="both"/>
      </w:pPr>
      <w:r>
        <w:rPr>
          <w:sz w:val="20"/>
          <w:szCs w:val="20"/>
        </w:rPr>
        <w:t xml:space="preserve">4.5. La reparación integral desde el enfoque de derechos humanos: estándares interamericanos de reparación aplicados analógicamente al contexto interno; propuestas de mecanismos </w:t>
      </w:r>
      <w:proofErr w:type="spellStart"/>
      <w:r>
        <w:rPr>
          <w:sz w:val="20"/>
          <w:szCs w:val="20"/>
        </w:rPr>
        <w:t>reparatorios</w:t>
      </w:r>
      <w:proofErr w:type="spellEnd"/>
      <w:r>
        <w:rPr>
          <w:sz w:val="20"/>
          <w:szCs w:val="20"/>
        </w:rPr>
        <w:t xml:space="preserve"> en el sistema cubano.</w:t>
      </w:r>
    </w:p>
    <w:p w14:paraId="091F873D" w14:textId="77777777" w:rsidR="00330AA1" w:rsidRDefault="00E0374E">
      <w:r>
        <w:br w:type="page"/>
      </w:r>
    </w:p>
    <w:p w14:paraId="15D1666F" w14:textId="77777777" w:rsidR="00330AA1" w:rsidRDefault="00E0374E">
      <w:pPr>
        <w:pStyle w:val="Ttulo1"/>
        <w:pBdr>
          <w:bottom w:val="single" w:sz="8" w:space="4" w:color="1F3864"/>
        </w:pBdr>
        <w:spacing w:before="400" w:after="200"/>
      </w:pPr>
      <w:r>
        <w:rPr>
          <w:b/>
          <w:bCs/>
          <w:color w:val="1F3864"/>
          <w:sz w:val="28"/>
          <w:szCs w:val="28"/>
        </w:rPr>
        <w:lastRenderedPageBreak/>
        <w:t>TEMA V. DERECHO COMPARADO, JURISPRUDENCIA Y MECANISMOS DE EXIGIBILIDAD</w:t>
      </w:r>
    </w:p>
    <w:p w14:paraId="2575AD63" w14:textId="77777777" w:rsidR="00330AA1" w:rsidRDefault="00E0374E">
      <w:pPr>
        <w:spacing w:after="140" w:line="276" w:lineRule="auto"/>
        <w:jc w:val="both"/>
      </w:pPr>
      <w:r>
        <w:rPr>
          <w:b/>
          <w:bCs/>
          <w:sz w:val="20"/>
          <w:szCs w:val="20"/>
        </w:rPr>
        <w:t xml:space="preserve">Horas clase: </w:t>
      </w:r>
      <w:r>
        <w:rPr>
          <w:sz w:val="20"/>
          <w:szCs w:val="20"/>
        </w:rPr>
        <w:t>8</w:t>
      </w:r>
    </w:p>
    <w:p w14:paraId="3C5E67D8" w14:textId="77777777" w:rsidR="00330AA1" w:rsidRDefault="00E0374E">
      <w:pPr>
        <w:pStyle w:val="Ttulo3"/>
        <w:spacing w:before="180" w:after="90"/>
      </w:pPr>
      <w:r>
        <w:rPr>
          <w:b/>
          <w:bCs/>
          <w:i/>
          <w:iCs/>
          <w:color w:val="8B6F1F"/>
          <w:sz w:val="21"/>
          <w:szCs w:val="21"/>
        </w:rPr>
        <w:t>Objetivo general del tema</w:t>
      </w:r>
    </w:p>
    <w:p w14:paraId="64CE7180" w14:textId="77777777" w:rsidR="00330AA1" w:rsidRDefault="00E0374E">
      <w:pPr>
        <w:spacing w:after="150" w:line="276" w:lineRule="auto"/>
        <w:jc w:val="both"/>
      </w:pPr>
      <w:r>
        <w:rPr>
          <w:sz w:val="20"/>
          <w:szCs w:val="20"/>
        </w:rPr>
        <w:t>Valorar críticamente experiencias de derecho comparado latinoamericano en materia de tipificación y exigibilidad de la violencia obstétrica, como referente para el análisis del ordenamiento cubano.</w:t>
      </w:r>
    </w:p>
    <w:p w14:paraId="14FE9AB2" w14:textId="77777777" w:rsidR="00330AA1" w:rsidRDefault="00E0374E">
      <w:pPr>
        <w:pStyle w:val="Ttulo3"/>
        <w:spacing w:before="180" w:after="90"/>
      </w:pPr>
      <w:r>
        <w:rPr>
          <w:b/>
          <w:bCs/>
          <w:i/>
          <w:iCs/>
          <w:color w:val="8B6F1F"/>
          <w:sz w:val="21"/>
          <w:szCs w:val="21"/>
        </w:rPr>
        <w:t>Objetivos específicos</w:t>
      </w:r>
    </w:p>
    <w:p w14:paraId="0A1B9837" w14:textId="77777777" w:rsidR="00330AA1" w:rsidRDefault="00E0374E">
      <w:pPr>
        <w:pStyle w:val="Prrafodelista"/>
        <w:numPr>
          <w:ilvl w:val="0"/>
          <w:numId w:val="2"/>
        </w:numPr>
        <w:spacing w:after="90"/>
      </w:pPr>
      <w:r>
        <w:rPr>
          <w:sz w:val="20"/>
          <w:szCs w:val="20"/>
        </w:rPr>
        <w:t>Analizar comparativamente las leyes de Venezuela, Argentina y México sobre violencia obstétrica.</w:t>
      </w:r>
    </w:p>
    <w:p w14:paraId="4249154E" w14:textId="77777777" w:rsidR="00330AA1" w:rsidRDefault="00E0374E">
      <w:pPr>
        <w:pStyle w:val="Prrafodelista"/>
        <w:numPr>
          <w:ilvl w:val="0"/>
          <w:numId w:val="2"/>
        </w:numPr>
        <w:spacing w:after="90"/>
      </w:pPr>
      <w:r>
        <w:rPr>
          <w:sz w:val="20"/>
          <w:szCs w:val="20"/>
        </w:rPr>
        <w:t>Examinar jurisprudencia relevante de tribunales latinoamericanos y del Sistema Interamericano.</w:t>
      </w:r>
    </w:p>
    <w:p w14:paraId="1B13B76E" w14:textId="77777777" w:rsidR="00330AA1" w:rsidRDefault="00E0374E">
      <w:pPr>
        <w:pStyle w:val="Prrafodelista"/>
        <w:numPr>
          <w:ilvl w:val="0"/>
          <w:numId w:val="2"/>
        </w:numPr>
        <w:spacing w:after="90"/>
      </w:pPr>
      <w:r>
        <w:rPr>
          <w:sz w:val="20"/>
          <w:szCs w:val="20"/>
        </w:rPr>
        <w:t>Evaluar mecanismos de exigibilidad administrativa y judicial disponibles en Cuba.</w:t>
      </w:r>
    </w:p>
    <w:p w14:paraId="1B26C6DC" w14:textId="77777777" w:rsidR="00330AA1" w:rsidRDefault="00E0374E">
      <w:pPr>
        <w:pStyle w:val="Ttulo3"/>
        <w:spacing w:before="180" w:after="90"/>
      </w:pPr>
      <w:r>
        <w:rPr>
          <w:b/>
          <w:bCs/>
          <w:i/>
          <w:iCs/>
          <w:color w:val="8B6F1F"/>
          <w:sz w:val="21"/>
          <w:szCs w:val="21"/>
        </w:rPr>
        <w:t>Subtemas y contenidos</w:t>
      </w:r>
    </w:p>
    <w:p w14:paraId="688C4083" w14:textId="77777777" w:rsidR="00330AA1" w:rsidRDefault="00E0374E">
      <w:pPr>
        <w:spacing w:after="150" w:line="276" w:lineRule="auto"/>
        <w:jc w:val="both"/>
      </w:pPr>
      <w:r>
        <w:rPr>
          <w:sz w:val="20"/>
          <w:szCs w:val="20"/>
        </w:rPr>
        <w:t>5.1. Venezuela: Ley Orgánica sobre el Derecho de las Mujeres a una Vida Libre de Violencia (2007), primer antecedente de tipificación autónoma en la región.</w:t>
      </w:r>
    </w:p>
    <w:p w14:paraId="1021730D" w14:textId="77777777" w:rsidR="00330AA1" w:rsidRDefault="00E0374E">
      <w:pPr>
        <w:spacing w:after="150" w:line="276" w:lineRule="auto"/>
        <w:jc w:val="both"/>
      </w:pPr>
      <w:r>
        <w:rPr>
          <w:sz w:val="20"/>
          <w:szCs w:val="20"/>
        </w:rPr>
        <w:t>5.2. Argentina: Ley 25.929 de Parto Humanizado y su articulación con la Ley 26.485 de Protección Integral a las Mujeres.</w:t>
      </w:r>
    </w:p>
    <w:p w14:paraId="6572AFDA" w14:textId="77777777" w:rsidR="00330AA1" w:rsidRDefault="00E0374E">
      <w:pPr>
        <w:spacing w:after="150" w:line="276" w:lineRule="auto"/>
        <w:jc w:val="both"/>
      </w:pPr>
      <w:r>
        <w:rPr>
          <w:sz w:val="20"/>
          <w:szCs w:val="20"/>
        </w:rPr>
        <w:t>5.3. México: jurisprudencia de la Suprema Corte de Justicia de la Nación y protocolos de actuación en casos de violencia obstétrica; Norma Oficial Mexicana NOM-007.</w:t>
      </w:r>
    </w:p>
    <w:p w14:paraId="398A22C3" w14:textId="77777777" w:rsidR="00330AA1" w:rsidRDefault="00E0374E">
      <w:pPr>
        <w:spacing w:after="150" w:line="276" w:lineRule="auto"/>
        <w:jc w:val="both"/>
      </w:pPr>
      <w:r>
        <w:rPr>
          <w:sz w:val="20"/>
          <w:szCs w:val="20"/>
        </w:rPr>
        <w:t>5.4. Análisis crítico comparado: fortalezas y debilidades de los modelos de tipificación penal autónoma frente a modelos de protección administrativa/civil reforzada. Pertinencia y viabilidad de cada modelo para el contexto jurídico-institucional cubano.</w:t>
      </w:r>
    </w:p>
    <w:p w14:paraId="01F2C713" w14:textId="77777777" w:rsidR="00330AA1" w:rsidRDefault="00E0374E">
      <w:pPr>
        <w:spacing w:after="150" w:line="276" w:lineRule="auto"/>
        <w:jc w:val="both"/>
      </w:pPr>
      <w:r>
        <w:rPr>
          <w:sz w:val="20"/>
          <w:szCs w:val="20"/>
        </w:rPr>
        <w:t xml:space="preserve">5.5. Mecanismos de exigibilidad en Cuba: vías administrativas (quejas ante direcciones de salud), vía judicial civil, procedimientos ante la Fiscalía General de la República; rol de las organizaciones de la sociedad civil y redes académicas (Red Cubana de Estudios sobre Cuidados, CENESEX) en la </w:t>
      </w:r>
      <w:proofErr w:type="spellStart"/>
      <w:r>
        <w:rPr>
          <w:sz w:val="20"/>
          <w:szCs w:val="20"/>
        </w:rPr>
        <w:t>visibilización</w:t>
      </w:r>
      <w:proofErr w:type="spellEnd"/>
      <w:r>
        <w:rPr>
          <w:sz w:val="20"/>
          <w:szCs w:val="20"/>
        </w:rPr>
        <w:t xml:space="preserve"> y documentación del fenómeno.</w:t>
      </w:r>
    </w:p>
    <w:p w14:paraId="3D499C52" w14:textId="77777777" w:rsidR="00330AA1" w:rsidRDefault="00E0374E">
      <w:r>
        <w:br w:type="page"/>
      </w:r>
    </w:p>
    <w:p w14:paraId="5E68DF26" w14:textId="77777777" w:rsidR="00330AA1" w:rsidRDefault="00E0374E">
      <w:pPr>
        <w:pStyle w:val="Ttulo1"/>
        <w:pBdr>
          <w:bottom w:val="single" w:sz="8" w:space="4" w:color="1F3864"/>
        </w:pBdr>
        <w:spacing w:before="400" w:after="200"/>
      </w:pPr>
      <w:r>
        <w:rPr>
          <w:b/>
          <w:bCs/>
          <w:color w:val="1F3864"/>
          <w:sz w:val="28"/>
          <w:szCs w:val="28"/>
        </w:rPr>
        <w:lastRenderedPageBreak/>
        <w:t>TEMA VI. INVESTIGACIÓN JURÍDICA APLICADA Y EJERCICIO PROFESIONAL</w:t>
      </w:r>
    </w:p>
    <w:p w14:paraId="796E5306" w14:textId="77777777" w:rsidR="00330AA1" w:rsidRDefault="00E0374E">
      <w:pPr>
        <w:spacing w:after="140" w:line="276" w:lineRule="auto"/>
        <w:jc w:val="both"/>
      </w:pPr>
      <w:r>
        <w:rPr>
          <w:b/>
          <w:bCs/>
          <w:sz w:val="20"/>
          <w:szCs w:val="20"/>
        </w:rPr>
        <w:t xml:space="preserve">Horas clase: </w:t>
      </w:r>
      <w:r>
        <w:rPr>
          <w:sz w:val="20"/>
          <w:szCs w:val="20"/>
        </w:rPr>
        <w:t>6</w:t>
      </w:r>
    </w:p>
    <w:p w14:paraId="33183204" w14:textId="77777777" w:rsidR="00330AA1" w:rsidRDefault="00E0374E">
      <w:pPr>
        <w:pStyle w:val="Ttulo3"/>
        <w:spacing w:before="180" w:after="90"/>
      </w:pPr>
      <w:r>
        <w:rPr>
          <w:b/>
          <w:bCs/>
          <w:i/>
          <w:iCs/>
          <w:color w:val="8B6F1F"/>
          <w:sz w:val="21"/>
          <w:szCs w:val="21"/>
        </w:rPr>
        <w:t>Objetivo general del tema</w:t>
      </w:r>
    </w:p>
    <w:p w14:paraId="01C557F1" w14:textId="77777777" w:rsidR="00330AA1" w:rsidRDefault="00E0374E">
      <w:pPr>
        <w:spacing w:after="150" w:line="276" w:lineRule="auto"/>
        <w:jc w:val="both"/>
      </w:pPr>
      <w:r>
        <w:rPr>
          <w:sz w:val="20"/>
          <w:szCs w:val="20"/>
        </w:rPr>
        <w:t>Elaborar una propuesta fundamentada de perfeccionamiento normativo o estrategia de intervención jurídica ante la violencia obstétrica, aplicando metodología de investigación jurídica rigurosa.</w:t>
      </w:r>
    </w:p>
    <w:p w14:paraId="05896343" w14:textId="77777777" w:rsidR="00330AA1" w:rsidRDefault="00E0374E">
      <w:pPr>
        <w:pStyle w:val="Ttulo3"/>
        <w:spacing w:before="180" w:after="90"/>
      </w:pPr>
      <w:r>
        <w:rPr>
          <w:b/>
          <w:bCs/>
          <w:i/>
          <w:iCs/>
          <w:color w:val="8B6F1F"/>
          <w:sz w:val="21"/>
          <w:szCs w:val="21"/>
        </w:rPr>
        <w:t>Objetivos específicos</w:t>
      </w:r>
    </w:p>
    <w:p w14:paraId="59DB0F1B" w14:textId="77777777" w:rsidR="00330AA1" w:rsidRDefault="00E0374E">
      <w:pPr>
        <w:pStyle w:val="Prrafodelista"/>
        <w:numPr>
          <w:ilvl w:val="0"/>
          <w:numId w:val="2"/>
        </w:numPr>
        <w:spacing w:after="90"/>
      </w:pPr>
      <w:r>
        <w:rPr>
          <w:sz w:val="20"/>
          <w:szCs w:val="20"/>
        </w:rPr>
        <w:t>Diseñar un proyecto de investigación o propuesta normativa sobre violencia obstétrica en el contexto cubano.</w:t>
      </w:r>
    </w:p>
    <w:p w14:paraId="04DB2A92" w14:textId="77777777" w:rsidR="00330AA1" w:rsidRDefault="00E0374E">
      <w:pPr>
        <w:pStyle w:val="Prrafodelista"/>
        <w:numPr>
          <w:ilvl w:val="0"/>
          <w:numId w:val="2"/>
        </w:numPr>
        <w:spacing w:after="90"/>
      </w:pPr>
      <w:r>
        <w:rPr>
          <w:sz w:val="20"/>
          <w:szCs w:val="20"/>
        </w:rPr>
        <w:t>Sustentar oralmente, con argumentación jurídica rigurosa, la propuesta elaborada.</w:t>
      </w:r>
    </w:p>
    <w:p w14:paraId="12106717" w14:textId="77777777" w:rsidR="00330AA1" w:rsidRDefault="00E0374E">
      <w:pPr>
        <w:pStyle w:val="Ttulo3"/>
        <w:spacing w:before="180" w:after="90"/>
      </w:pPr>
      <w:r>
        <w:rPr>
          <w:b/>
          <w:bCs/>
          <w:i/>
          <w:iCs/>
          <w:color w:val="8B6F1F"/>
          <w:sz w:val="21"/>
          <w:szCs w:val="21"/>
        </w:rPr>
        <w:t>Subtemas y contenidos</w:t>
      </w:r>
    </w:p>
    <w:p w14:paraId="073F03B8" w14:textId="77777777" w:rsidR="00330AA1" w:rsidRDefault="00E0374E">
      <w:pPr>
        <w:spacing w:after="150" w:line="276" w:lineRule="auto"/>
        <w:jc w:val="both"/>
      </w:pPr>
      <w:r>
        <w:rPr>
          <w:sz w:val="20"/>
          <w:szCs w:val="20"/>
        </w:rPr>
        <w:t>6.1. Metodología de la investigación jurídica aplicada al Derecho de Familia y los Derechos Humanos: formulación del problema jurídico, hipótesis, marco teórico-normativo.</w:t>
      </w:r>
    </w:p>
    <w:p w14:paraId="5D18423E" w14:textId="77777777" w:rsidR="00330AA1" w:rsidRDefault="00E0374E">
      <w:pPr>
        <w:spacing w:after="150" w:line="276" w:lineRule="auto"/>
        <w:jc w:val="both"/>
      </w:pPr>
      <w:r>
        <w:rPr>
          <w:sz w:val="20"/>
          <w:szCs w:val="20"/>
        </w:rPr>
        <w:t xml:space="preserve">6.2. Técnicas de argumentación jurídica para la propuesta de </w:t>
      </w:r>
      <w:proofErr w:type="spellStart"/>
      <w:r>
        <w:rPr>
          <w:sz w:val="20"/>
          <w:szCs w:val="20"/>
        </w:rPr>
        <w:t>lege</w:t>
      </w:r>
      <w:proofErr w:type="spellEnd"/>
      <w:r>
        <w:rPr>
          <w:sz w:val="20"/>
          <w:szCs w:val="20"/>
        </w:rPr>
        <w:t xml:space="preserve"> </w:t>
      </w:r>
      <w:proofErr w:type="spellStart"/>
      <w:r>
        <w:rPr>
          <w:sz w:val="20"/>
          <w:szCs w:val="20"/>
        </w:rPr>
        <w:t>ferenda</w:t>
      </w:r>
      <w:proofErr w:type="spellEnd"/>
      <w:r>
        <w:rPr>
          <w:sz w:val="20"/>
          <w:szCs w:val="20"/>
        </w:rPr>
        <w:t>: principio de proporcionalidad, ponderación de bienes jurídicos, técnica legislativa.</w:t>
      </w:r>
    </w:p>
    <w:p w14:paraId="2B6C03ED" w14:textId="77777777" w:rsidR="00330AA1" w:rsidRDefault="00E0374E">
      <w:pPr>
        <w:spacing w:after="150" w:line="276" w:lineRule="auto"/>
        <w:jc w:val="both"/>
      </w:pPr>
      <w:r>
        <w:rPr>
          <w:sz w:val="20"/>
          <w:szCs w:val="20"/>
        </w:rPr>
        <w:t>6.3. Taller de elaboración de trabajo de curso: estructuración, defensa oral y debate académico ante tribunal.</w:t>
      </w:r>
    </w:p>
    <w:p w14:paraId="54A020A4" w14:textId="77777777" w:rsidR="00330AA1" w:rsidRDefault="00E0374E">
      <w:r>
        <w:br w:type="page"/>
      </w:r>
    </w:p>
    <w:p w14:paraId="20FDE4E8" w14:textId="77777777" w:rsidR="00330AA1" w:rsidRDefault="00E0374E">
      <w:pPr>
        <w:pStyle w:val="Ttulo1"/>
        <w:pBdr>
          <w:bottom w:val="single" w:sz="8" w:space="4" w:color="1F3864"/>
        </w:pBdr>
        <w:spacing w:before="400" w:after="200"/>
      </w:pPr>
      <w:r>
        <w:rPr>
          <w:b/>
          <w:bCs/>
          <w:color w:val="1F3864"/>
          <w:sz w:val="28"/>
          <w:szCs w:val="28"/>
        </w:rPr>
        <w:lastRenderedPageBreak/>
        <w:t>V. ORIENTACIONES METODOLÓGICAS GENERALES</w:t>
      </w:r>
    </w:p>
    <w:p w14:paraId="169B8C1E" w14:textId="77777777" w:rsidR="00330AA1" w:rsidRDefault="00E0374E">
      <w:pPr>
        <w:spacing w:after="150" w:line="276" w:lineRule="auto"/>
        <w:jc w:val="both"/>
      </w:pPr>
      <w:r>
        <w:rPr>
          <w:sz w:val="20"/>
          <w:szCs w:val="20"/>
        </w:rPr>
        <w:t>La asignatura se desarrollará combinando conferencias magistrales (fundamentación teórico-doctrinal, 40% del tiempo), clases prácticas (análisis de casos, textos normativos y sentencias, 35%) y seminarios (debate argumentativo dirigido, 25%). Se privilegiará el método del caso y el análisis exegético-normativo como vías fundamentales para el desarrollo del pensamiento jurídico crítico, evitando el enfoque puramente descriptivo del fenómeno.</w:t>
      </w:r>
    </w:p>
    <w:p w14:paraId="664CC5F0" w14:textId="77777777" w:rsidR="00330AA1" w:rsidRDefault="00E0374E">
      <w:pPr>
        <w:pStyle w:val="Ttulo1"/>
        <w:pBdr>
          <w:bottom w:val="single" w:sz="8" w:space="4" w:color="1F3864"/>
        </w:pBdr>
        <w:spacing w:before="400" w:after="200"/>
      </w:pPr>
      <w:r>
        <w:rPr>
          <w:b/>
          <w:bCs/>
          <w:color w:val="1F3864"/>
          <w:sz w:val="28"/>
          <w:szCs w:val="28"/>
        </w:rPr>
        <w:t>VI. SISTEMA DE EVALUACIÓN</w:t>
      </w:r>
    </w:p>
    <w:p w14:paraId="0A8CDD4D" w14:textId="77777777" w:rsidR="00330AA1" w:rsidRDefault="00E0374E">
      <w:pPr>
        <w:pStyle w:val="Prrafodelista"/>
        <w:numPr>
          <w:ilvl w:val="0"/>
          <w:numId w:val="2"/>
        </w:numPr>
        <w:spacing w:after="90"/>
      </w:pPr>
      <w:r>
        <w:rPr>
          <w:sz w:val="20"/>
          <w:szCs w:val="20"/>
        </w:rPr>
        <w:t>Evaluaciones frecuentes (participación en seminarios y controles de lectura): 30%</w:t>
      </w:r>
    </w:p>
    <w:p w14:paraId="7E74A214" w14:textId="77777777" w:rsidR="00330AA1" w:rsidRDefault="00E0374E">
      <w:pPr>
        <w:pStyle w:val="Prrafodelista"/>
        <w:numPr>
          <w:ilvl w:val="0"/>
          <w:numId w:val="2"/>
        </w:numPr>
        <w:spacing w:after="90"/>
      </w:pPr>
      <w:r>
        <w:rPr>
          <w:sz w:val="20"/>
          <w:szCs w:val="20"/>
        </w:rPr>
        <w:t>Evaluación parcial (análisis de caso escrito, Temas I-III): 30%</w:t>
      </w:r>
    </w:p>
    <w:p w14:paraId="214245C4" w14:textId="77777777" w:rsidR="00330AA1" w:rsidRDefault="00E0374E">
      <w:pPr>
        <w:pStyle w:val="Prrafodelista"/>
        <w:numPr>
          <w:ilvl w:val="0"/>
          <w:numId w:val="2"/>
        </w:numPr>
        <w:spacing w:after="90"/>
      </w:pPr>
      <w:r>
        <w:rPr>
          <w:sz w:val="20"/>
          <w:szCs w:val="20"/>
        </w:rPr>
        <w:t>Trabajo de curso final con defensa oral (Tema VI): 40%</w:t>
      </w:r>
    </w:p>
    <w:p w14:paraId="6A0B9EB0" w14:textId="77777777" w:rsidR="00330AA1" w:rsidRDefault="00E0374E">
      <w:pPr>
        <w:pStyle w:val="Ttulo1"/>
        <w:pBdr>
          <w:bottom w:val="single" w:sz="8" w:space="4" w:color="1F3864"/>
        </w:pBdr>
        <w:spacing w:before="400" w:after="200"/>
      </w:pPr>
      <w:r>
        <w:rPr>
          <w:b/>
          <w:bCs/>
          <w:color w:val="1F3864"/>
          <w:sz w:val="28"/>
          <w:szCs w:val="28"/>
        </w:rPr>
        <w:t>VII. BIBLIOGRAFÍA BÁSICA</w:t>
      </w:r>
    </w:p>
    <w:p w14:paraId="06E79FCC" w14:textId="77777777" w:rsidR="00330AA1" w:rsidRDefault="00E0374E">
      <w:pPr>
        <w:spacing w:after="150" w:line="276" w:lineRule="auto"/>
      </w:pPr>
      <w:r>
        <w:rPr>
          <w:i/>
          <w:iCs/>
          <w:sz w:val="20"/>
          <w:szCs w:val="20"/>
        </w:rPr>
        <w:t>(</w:t>
      </w:r>
      <w:proofErr w:type="gramStart"/>
      <w:r>
        <w:rPr>
          <w:i/>
          <w:iCs/>
          <w:sz w:val="20"/>
          <w:szCs w:val="20"/>
        </w:rPr>
        <w:t>orientativa</w:t>
      </w:r>
      <w:proofErr w:type="gramEnd"/>
      <w:r>
        <w:rPr>
          <w:i/>
          <w:iCs/>
          <w:sz w:val="20"/>
          <w:szCs w:val="20"/>
        </w:rPr>
        <w:t>, sujeta a verificación y actualización)</w:t>
      </w:r>
    </w:p>
    <w:p w14:paraId="232F6510" w14:textId="77777777" w:rsidR="00330AA1" w:rsidRDefault="00E0374E">
      <w:pPr>
        <w:pStyle w:val="Prrafodelista"/>
        <w:numPr>
          <w:ilvl w:val="0"/>
          <w:numId w:val="2"/>
        </w:numPr>
        <w:spacing w:after="90"/>
      </w:pPr>
      <w:r>
        <w:rPr>
          <w:sz w:val="20"/>
          <w:szCs w:val="20"/>
        </w:rPr>
        <w:t>Constitución de la República de Cuba (2019).</w:t>
      </w:r>
    </w:p>
    <w:p w14:paraId="542B313F" w14:textId="77777777" w:rsidR="00330AA1" w:rsidRDefault="00E0374E">
      <w:pPr>
        <w:pStyle w:val="Prrafodelista"/>
        <w:numPr>
          <w:ilvl w:val="0"/>
          <w:numId w:val="2"/>
        </w:numPr>
        <w:spacing w:after="90"/>
      </w:pPr>
      <w:r>
        <w:rPr>
          <w:sz w:val="20"/>
          <w:szCs w:val="20"/>
        </w:rPr>
        <w:t>Código de las Familias, Ley No. 156/2022.</w:t>
      </w:r>
    </w:p>
    <w:p w14:paraId="00933CFC" w14:textId="77777777" w:rsidR="00330AA1" w:rsidRDefault="00E0374E">
      <w:pPr>
        <w:pStyle w:val="Prrafodelista"/>
        <w:numPr>
          <w:ilvl w:val="0"/>
          <w:numId w:val="2"/>
        </w:numPr>
        <w:spacing w:after="90"/>
      </w:pPr>
      <w:r>
        <w:rPr>
          <w:sz w:val="20"/>
          <w:szCs w:val="20"/>
        </w:rPr>
        <w:t>Ley No. 41 de Salud Pública y su Reglamento.</w:t>
      </w:r>
    </w:p>
    <w:p w14:paraId="1F1B406D" w14:textId="77777777" w:rsidR="00330AA1" w:rsidRDefault="00E0374E">
      <w:pPr>
        <w:pStyle w:val="Prrafodelista"/>
        <w:numPr>
          <w:ilvl w:val="0"/>
          <w:numId w:val="2"/>
        </w:numPr>
        <w:spacing w:after="90"/>
      </w:pPr>
      <w:r>
        <w:rPr>
          <w:sz w:val="20"/>
          <w:szCs w:val="20"/>
        </w:rPr>
        <w:t>Código Penal, Ley No. 151/2022.</w:t>
      </w:r>
    </w:p>
    <w:p w14:paraId="675A471C" w14:textId="77777777" w:rsidR="00330AA1" w:rsidRDefault="00E0374E">
      <w:pPr>
        <w:pStyle w:val="Prrafodelista"/>
        <w:numPr>
          <w:ilvl w:val="0"/>
          <w:numId w:val="2"/>
        </w:numPr>
        <w:spacing w:after="90"/>
      </w:pPr>
      <w:r>
        <w:rPr>
          <w:sz w:val="20"/>
          <w:szCs w:val="20"/>
        </w:rPr>
        <w:t>Convención sobre la Eliminación de Todas las Formas de Discriminación contra la Mujer (CEDAW) y Observación General No. 24 del Comité CEDAW.</w:t>
      </w:r>
    </w:p>
    <w:p w14:paraId="072945E1" w14:textId="77777777" w:rsidR="00330AA1" w:rsidRDefault="00E0374E">
      <w:pPr>
        <w:pStyle w:val="Prrafodelista"/>
        <w:numPr>
          <w:ilvl w:val="0"/>
          <w:numId w:val="2"/>
        </w:numPr>
        <w:spacing w:after="90"/>
      </w:pPr>
      <w:r>
        <w:rPr>
          <w:sz w:val="20"/>
          <w:szCs w:val="20"/>
        </w:rPr>
        <w:t>Convención Interamericana para Prevenir, Sancionar y Erradicar la Violencia contra la Mujer (Belém do Pará).</w:t>
      </w:r>
    </w:p>
    <w:p w14:paraId="6E8C1CF4" w14:textId="77777777" w:rsidR="00330AA1" w:rsidRDefault="00E0374E">
      <w:pPr>
        <w:pStyle w:val="Prrafodelista"/>
        <w:numPr>
          <w:ilvl w:val="0"/>
          <w:numId w:val="2"/>
        </w:numPr>
        <w:spacing w:after="90"/>
      </w:pPr>
      <w:r>
        <w:rPr>
          <w:sz w:val="20"/>
          <w:szCs w:val="20"/>
        </w:rPr>
        <w:t>Corte IDH: Caso I.V. vs. Bolivia (2016); Caso Manuela y familiares vs. El Salvador (2021).</w:t>
      </w:r>
    </w:p>
    <w:p w14:paraId="532819D2" w14:textId="77777777" w:rsidR="00330AA1" w:rsidRDefault="00E0374E">
      <w:pPr>
        <w:pStyle w:val="Prrafodelista"/>
        <w:numPr>
          <w:ilvl w:val="0"/>
          <w:numId w:val="2"/>
        </w:numPr>
        <w:spacing w:after="90"/>
      </w:pPr>
      <w:r>
        <w:rPr>
          <w:sz w:val="20"/>
          <w:szCs w:val="20"/>
        </w:rPr>
        <w:t>OMS: Declaración sobre la prevención y erradicación de la falta de respeto y el maltrato durante el parto en los centros de salud (2014).</w:t>
      </w:r>
    </w:p>
    <w:p w14:paraId="36D31BB3" w14:textId="77777777" w:rsidR="00330AA1" w:rsidRDefault="00E0374E">
      <w:pPr>
        <w:pStyle w:val="Prrafodelista"/>
        <w:numPr>
          <w:ilvl w:val="0"/>
          <w:numId w:val="2"/>
        </w:numPr>
        <w:spacing w:after="90"/>
      </w:pPr>
      <w:r>
        <w:rPr>
          <w:sz w:val="20"/>
          <w:szCs w:val="20"/>
        </w:rPr>
        <w:t>Legislación comparada: Ley Orgánica venezolana 2007; Ley 25.929 y Ley 26.485 (Argentina); NOM-007 (México).</w:t>
      </w:r>
    </w:p>
    <w:sectPr w:rsidR="00330AA1">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53208E"/>
    <w:multiLevelType w:val="singleLevel"/>
    <w:tmpl w:val="0053208E"/>
    <w:lvl w:ilvl="0">
      <w:start w:val="1"/>
      <w:numFmt w:val="decimal"/>
      <w:lvlText w:val="%1."/>
      <w:lvlJc w:val="left"/>
      <w:pPr>
        <w:ind w:left="460" w:hanging="260"/>
      </w:pPr>
    </w:lvl>
  </w:abstractNum>
  <w:abstractNum w:abstractNumId="1">
    <w:nsid w:val="59ADCABA"/>
    <w:multiLevelType w:val="singleLevel"/>
    <w:tmpl w:val="59ADCABA"/>
    <w:lvl w:ilvl="0">
      <w:start w:val="1"/>
      <w:numFmt w:val="bullet"/>
      <w:lvlText w:val="•"/>
      <w:lvlJc w:val="left"/>
      <w:pPr>
        <w:ind w:left="460" w:hanging="260"/>
      </w:pPr>
    </w:lvl>
  </w:abstractNum>
  <w:num w:numId="1">
    <w:abstractNumId w:val="0"/>
    <w:lvlOverride w:ilvl="0">
      <w:startOverride w:val="1"/>
    </w:lvlOverride>
  </w:num>
  <w:num w:numId="2">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AA1"/>
    <w:rsid w:val="00330AA1"/>
    <w:rsid w:val="00E0374E"/>
    <w:rsid w:val="00E81EF2"/>
    <w:rsid w:val="126879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63B25E-CD31-4046-8B0D-CDB3046B6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US" w:eastAsia="es-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1"/>
      <w:szCs w:val="22"/>
    </w:rPr>
  </w:style>
  <w:style w:type="paragraph" w:styleId="Ttulo1">
    <w:name w:val="heading 1"/>
    <w:next w:val="Normal"/>
    <w:qFormat/>
    <w:pPr>
      <w:outlineLvl w:val="0"/>
    </w:pPr>
    <w:rPr>
      <w:color w:val="2E74B5"/>
      <w:sz w:val="32"/>
      <w:szCs w:val="32"/>
    </w:rPr>
  </w:style>
  <w:style w:type="paragraph" w:styleId="Ttulo2">
    <w:name w:val="heading 2"/>
    <w:next w:val="Normal"/>
    <w:qFormat/>
    <w:pPr>
      <w:outlineLvl w:val="1"/>
    </w:pPr>
    <w:rPr>
      <w:color w:val="2E74B5"/>
      <w:sz w:val="26"/>
      <w:szCs w:val="26"/>
    </w:rPr>
  </w:style>
  <w:style w:type="paragraph" w:styleId="Ttulo3">
    <w:name w:val="heading 3"/>
    <w:next w:val="Normal"/>
    <w:qFormat/>
    <w:pPr>
      <w:outlineLvl w:val="2"/>
    </w:pPr>
    <w:rPr>
      <w:color w:val="1F4D78"/>
      <w:sz w:val="24"/>
      <w:szCs w:val="24"/>
    </w:rPr>
  </w:style>
  <w:style w:type="paragraph" w:styleId="Ttulo4">
    <w:name w:val="heading 4"/>
    <w:next w:val="Normal"/>
    <w:qFormat/>
    <w:pPr>
      <w:outlineLvl w:val="3"/>
    </w:pPr>
    <w:rPr>
      <w:i/>
      <w:iCs/>
      <w:color w:val="2E74B5"/>
      <w:sz w:val="21"/>
      <w:szCs w:val="22"/>
    </w:rPr>
  </w:style>
  <w:style w:type="paragraph" w:styleId="Ttulo5">
    <w:name w:val="heading 5"/>
    <w:next w:val="Normal"/>
    <w:qFormat/>
    <w:pPr>
      <w:outlineLvl w:val="4"/>
    </w:pPr>
    <w:rPr>
      <w:color w:val="2E74B5"/>
      <w:sz w:val="21"/>
      <w:szCs w:val="22"/>
    </w:rPr>
  </w:style>
  <w:style w:type="paragraph" w:styleId="Ttulo6">
    <w:name w:val="heading 6"/>
    <w:next w:val="Normal"/>
    <w:qFormat/>
    <w:pPr>
      <w:outlineLvl w:val="5"/>
    </w:pPr>
    <w:rPr>
      <w:color w:val="1F4D78"/>
      <w:sz w:val="21"/>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notaalfinal">
    <w:name w:val="endnote reference"/>
    <w:uiPriority w:val="99"/>
    <w:semiHidden/>
    <w:unhideWhenUsed/>
    <w:qFormat/>
    <w:rPr>
      <w:vertAlign w:val="superscript"/>
    </w:rPr>
  </w:style>
  <w:style w:type="character" w:styleId="Refdenotaalpie">
    <w:name w:val="footnote reference"/>
    <w:uiPriority w:val="99"/>
    <w:semiHidden/>
    <w:unhideWhenUsed/>
    <w:qFormat/>
    <w:rPr>
      <w:vertAlign w:val="superscript"/>
    </w:rPr>
  </w:style>
  <w:style w:type="character" w:styleId="Hipervnculo">
    <w:name w:val="Hyperlink"/>
    <w:uiPriority w:val="99"/>
    <w:unhideWhenUsed/>
    <w:qFormat/>
    <w:rPr>
      <w:color w:val="0563C1"/>
      <w:u w:val="single"/>
    </w:rPr>
  </w:style>
  <w:style w:type="paragraph" w:styleId="Textonotapie">
    <w:name w:val="footnote text"/>
    <w:link w:val="TextonotapieCar"/>
    <w:uiPriority w:val="99"/>
    <w:semiHidden/>
    <w:unhideWhenUsed/>
    <w:qFormat/>
  </w:style>
  <w:style w:type="paragraph" w:styleId="Textonotaalfinal">
    <w:name w:val="endnote text"/>
    <w:link w:val="TextonotaalfinalCar"/>
    <w:uiPriority w:val="99"/>
    <w:semiHidden/>
    <w:unhideWhenUsed/>
    <w:qFormat/>
  </w:style>
  <w:style w:type="paragraph" w:styleId="Puesto">
    <w:name w:val="Title"/>
    <w:qFormat/>
    <w:rPr>
      <w:sz w:val="56"/>
      <w:szCs w:val="56"/>
    </w:rPr>
  </w:style>
  <w:style w:type="paragraph" w:styleId="Prrafodelista">
    <w:name w:val="List Paragraph"/>
    <w:qFormat/>
    <w:rPr>
      <w:sz w:val="21"/>
      <w:szCs w:val="22"/>
    </w:rPr>
  </w:style>
  <w:style w:type="character" w:customStyle="1" w:styleId="TextonotapieCar">
    <w:name w:val="Texto nota pie Car"/>
    <w:link w:val="Textonotapie"/>
    <w:uiPriority w:val="99"/>
    <w:semiHidden/>
    <w:unhideWhenUsed/>
    <w:qFormat/>
    <w:rPr>
      <w:sz w:val="20"/>
      <w:szCs w:val="20"/>
    </w:rPr>
  </w:style>
  <w:style w:type="character" w:customStyle="1" w:styleId="TextonotaalfinalCar">
    <w:name w:val="Texto nota al final Car"/>
    <w:link w:val="Textonotaalfinal"/>
    <w:uiPriority w:val="99"/>
    <w:semiHidden/>
    <w:unhideWhenUsed/>
    <w:qFormat/>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2306</Words>
  <Characters>12684</Characters>
  <Application>Microsoft Office Word</Application>
  <DocSecurity>0</DocSecurity>
  <Lines>105</Lines>
  <Paragraphs>29</Paragraphs>
  <ScaleCrop>false</ScaleCrop>
  <Company/>
  <LinksUpToDate>false</LinksUpToDate>
  <CharactersWithSpaces>14961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casa</cp:lastModifiedBy>
  <cp:revision>4</cp:revision>
  <dcterms:created xsi:type="dcterms:W3CDTF">2026-09-27T17:26:00Z</dcterms:created>
  <dcterms:modified xsi:type="dcterms:W3CDTF">2026-09-29T13:09:00Z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eyJoZGlkIjoiOWM2OTU4YzAxYzI2ZTBkOWNkMjk0MmVhYTk0ODY5MDUiLCJ1c2VySWQiOiIxNjY2NzUwOTI2NzE5In0=</vt:lpwstr>
  </property>
  <property fmtid="{D5CDD505-2E9C-101B-9397-08002B2CF9AE}" pid="3" name="KSOProductBuildVer">
    <vt:lpwstr>3082-12.1.0.25862</vt:lpwstr>
  </property>
  <property fmtid="{D5CDD505-2E9C-101B-9397-08002B2CF9AE}" pid="4" name="ICV">
    <vt:lpwstr>C0939832DEE545599B3E02459D7359A3_13</vt:lpwstr>
  </property>
</Properties>
</file>