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4459E" w14:textId="03088DAA" w:rsidR="003D748E" w:rsidRDefault="00DF2056">
      <w:pPr>
        <w:pStyle w:val="Ttulo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>TEMA I. FUNDAMENTOS CONCEPTUALES Y EPISTEMOLÓGICOS DE LA VIOLENCIA</w:t>
      </w:r>
      <w:r w:rsidR="007C3556">
        <w:rPr>
          <w:b/>
          <w:bCs/>
          <w:color w:val="1F3864"/>
          <w:sz w:val="30"/>
          <w:szCs w:val="30"/>
        </w:rPr>
        <w:t>; la VO.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800"/>
      </w:tblGrid>
      <w:tr w:rsidR="003D748E" w14:paraId="1A90375C" w14:textId="77777777">
        <w:trPr>
          <w:tblHeader/>
        </w:trPr>
        <w:tc>
          <w:tcPr>
            <w:tcW w:w="3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CA77D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Ficha del tema</w:t>
            </w:r>
          </w:p>
        </w:tc>
        <w:tc>
          <w:tcPr>
            <w:tcW w:w="6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C7AB7" w14:textId="77777777" w:rsidR="003D748E" w:rsidRDefault="003D748E">
            <w:pPr>
              <w:jc w:val="center"/>
            </w:pPr>
          </w:p>
        </w:tc>
      </w:tr>
      <w:tr w:rsidR="003D748E" w14:paraId="6C3BA48E" w14:textId="77777777">
        <w:tc>
          <w:tcPr>
            <w:tcW w:w="30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1938A" w14:textId="77777777" w:rsidR="003D748E" w:rsidRDefault="00DF2056">
            <w:r>
              <w:rPr>
                <w:color w:val="000000"/>
                <w:sz w:val="19"/>
                <w:szCs w:val="19"/>
              </w:rPr>
              <w:t>Horas clase</w:t>
            </w:r>
          </w:p>
        </w:tc>
        <w:tc>
          <w:tcPr>
            <w:tcW w:w="68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B0211" w14:textId="77777777" w:rsidR="003D748E" w:rsidRDefault="00DF2056">
            <w:r>
              <w:rPr>
                <w:color w:val="000000"/>
                <w:sz w:val="19"/>
                <w:szCs w:val="19"/>
              </w:rPr>
              <w:t>6</w:t>
            </w:r>
          </w:p>
        </w:tc>
      </w:tr>
      <w:tr w:rsidR="003D748E" w14:paraId="70C088E1" w14:textId="77777777"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6E999" w14:textId="77777777" w:rsidR="003D748E" w:rsidRDefault="00DF2056">
            <w:r>
              <w:rPr>
                <w:color w:val="000000"/>
                <w:sz w:val="19"/>
                <w:szCs w:val="19"/>
              </w:rPr>
              <w:t>Objetivo general del tema</w:t>
            </w:r>
          </w:p>
        </w:tc>
        <w:tc>
          <w:tcPr>
            <w:tcW w:w="6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8BCE4" w14:textId="77777777" w:rsidR="003D748E" w:rsidRDefault="00DF2056">
            <w:r>
              <w:rPr>
                <w:color w:val="000000"/>
                <w:sz w:val="19"/>
                <w:szCs w:val="19"/>
              </w:rPr>
              <w:t>Explicar el fundamento conceptual y epistemológico de la violencia obstétrica, distinguiéndola de categorías jurídicas afines, como base para su tratamiento jurídico posterior.</w:t>
            </w:r>
          </w:p>
        </w:tc>
      </w:tr>
    </w:tbl>
    <w:p w14:paraId="2188F164" w14:textId="77777777" w:rsidR="003D748E" w:rsidRDefault="003D748E">
      <w:pPr>
        <w:spacing w:after="120"/>
      </w:pPr>
    </w:p>
    <w:p w14:paraId="76641262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Objetivos específicos del tema</w:t>
      </w:r>
    </w:p>
    <w:p w14:paraId="769B9476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Definir la violencia obstétrica desde una perspectiva multidisciplinaria y su tránsito hacia una categoría jurídica.</w:t>
      </w:r>
    </w:p>
    <w:p w14:paraId="49254A22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Diferenciar violencia obstétrica de mala praxis médica, negligencia e iatrogenia.</w:t>
      </w:r>
    </w:p>
    <w:p w14:paraId="1E26E308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Identificar las manifestaciones típicas de violencia obstétrica desde la evidencia científico-jurídica.</w:t>
      </w:r>
    </w:p>
    <w:p w14:paraId="59E304E8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1. Síntesis de contenidos por subtema</w:t>
      </w:r>
    </w:p>
    <w:p w14:paraId="0FC4E306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1.1. Origen y evolución del concepto</w:t>
      </w:r>
    </w:p>
    <w:p w14:paraId="5BD91713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 xml:space="preserve">El concepto emerge del movimiento latinoamericano por el parto respetado (Argentina, Venezuela, Brasil, décadas de 1980-2000) y se consolida jurídicamente con la Ley Orgánica venezolana de 2007, primer texto legal en tipificar autónomamente la figura. Su tránsito de categoría sociológica a categoría normativa constituye el eje de análisis del estudiante de Derecho: no basta con describir el fenómeno, es necesario identificar el momento y el mecanismo de su </w:t>
      </w:r>
      <w:proofErr w:type="spellStart"/>
      <w:r>
        <w:rPr>
          <w:szCs w:val="21"/>
        </w:rPr>
        <w:t>juridificación</w:t>
      </w:r>
      <w:proofErr w:type="spellEnd"/>
      <w:r>
        <w:rPr>
          <w:szCs w:val="21"/>
        </w:rPr>
        <w:t>.</w:t>
      </w:r>
    </w:p>
    <w:p w14:paraId="3065EE87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1.2. Elementos configurativos de la figura</w:t>
      </w:r>
    </w:p>
    <w:p w14:paraId="4A3DB518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>Todo análisis jurídico riguroso de la violencia obstétrica exige identificar sus tres elementos estructurales: sujeto activo (personal sanitario e instituciones de salud, en tanto que actúan investidos de autoridad técnica), sujeto pasivo (la persona gestante o parturienta, titular de derechos reproductivos) y bien jurídico afectado (un haz complejo que incluye autonomía, dignidad, integridad física y psíquica, y salud sexual y reproductiva).</w:t>
      </w:r>
    </w:p>
    <w:p w14:paraId="1D12A211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1.3. Manifestaciones fácticas típicas</w:t>
      </w:r>
    </w:p>
    <w:p w14:paraId="2FFE34AC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 xml:space="preserve">La literatura especializada y los instrumentos de la OMS (2014) identifican manifestaciones recurrentes: violencia física (maniobras no consentidas, episiotomía rutinaria no justificada), violencia verbal y psicológica (trato humillante, infantilización de la paciente), medicalización excesiva de procesos fisiológicos, negación de información y de consentimiento informado, y discriminación </w:t>
      </w:r>
      <w:proofErr w:type="spellStart"/>
      <w:r>
        <w:rPr>
          <w:szCs w:val="21"/>
        </w:rPr>
        <w:t>interseccional</w:t>
      </w:r>
      <w:proofErr w:type="spellEnd"/>
      <w:r>
        <w:rPr>
          <w:szCs w:val="21"/>
        </w:rPr>
        <w:t xml:space="preserve"> agravada por factores de raza, edad o discapacidad. Cada manifestación exige, desde la perspectiva jurídica, la identificación del derecho concretamente vulnerado.</w:t>
      </w:r>
    </w:p>
    <w:p w14:paraId="067FDD29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1.4. Deslinde conceptual con figuras afines</w:t>
      </w:r>
    </w:p>
    <w:p w14:paraId="0E547B18" w14:textId="77777777" w:rsidR="003D748E" w:rsidRDefault="00DF2056">
      <w:pPr>
        <w:spacing w:after="160" w:line="276" w:lineRule="auto"/>
        <w:jc w:val="both"/>
      </w:pPr>
      <w:r>
        <w:rPr>
          <w:szCs w:val="21"/>
        </w:rPr>
        <w:t xml:space="preserve">La precisión conceptual exige distinguir la violencia obstétrica de la mala praxis médica (que responde a un criterio de infracción de la </w:t>
      </w:r>
      <w:proofErr w:type="spellStart"/>
      <w:r>
        <w:rPr>
          <w:szCs w:val="21"/>
        </w:rPr>
        <w:t>lex</w:t>
      </w:r>
      <w:proofErr w:type="spellEnd"/>
      <w:r>
        <w:rPr>
          <w:szCs w:val="21"/>
        </w:rPr>
        <w:t xml:space="preserve"> </w:t>
      </w:r>
      <w:proofErr w:type="spellStart"/>
      <w:r>
        <w:rPr>
          <w:szCs w:val="21"/>
        </w:rPr>
        <w:t>artis</w:t>
      </w:r>
      <w:proofErr w:type="spellEnd"/>
      <w:r>
        <w:rPr>
          <w:szCs w:val="21"/>
        </w:rPr>
        <w:t>, no necesariamente vinculado al género) y de la negligencia médica (categoría de imputación subjetiva). La violencia obstétrica se caracteriza, en cambio, por el componente estructural de género y por la vulneración de la autonomía, aun en ausencia de daño físico objetivable.</w:t>
      </w:r>
    </w:p>
    <w:p w14:paraId="6B3BC7F1" w14:textId="77777777" w:rsidR="003D748E" w:rsidRDefault="003D748E">
      <w:pPr>
        <w:pStyle w:val="Ttulo2"/>
        <w:spacing w:before="300" w:after="150"/>
        <w:rPr>
          <w:b/>
          <w:bCs/>
          <w:color w:val="1F3864"/>
          <w:sz w:val="25"/>
          <w:szCs w:val="25"/>
        </w:rPr>
      </w:pPr>
    </w:p>
    <w:p w14:paraId="4CB9CBD9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2. Vocabulario jurídico básico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200"/>
      </w:tblGrid>
      <w:tr w:rsidR="003D748E" w14:paraId="334891AC" w14:textId="77777777">
        <w:trPr>
          <w:tblHeader/>
        </w:trPr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6AF04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Término</w:t>
            </w:r>
          </w:p>
        </w:tc>
        <w:tc>
          <w:tcPr>
            <w:tcW w:w="72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1C673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Definición operativa</w:t>
            </w:r>
          </w:p>
        </w:tc>
      </w:tr>
      <w:tr w:rsidR="003D748E" w14:paraId="3EEEDC10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E6AF1" w14:textId="77777777" w:rsidR="003D748E" w:rsidRDefault="00DF2056">
            <w:r>
              <w:rPr>
                <w:color w:val="000000"/>
                <w:sz w:val="19"/>
                <w:szCs w:val="19"/>
              </w:rPr>
              <w:t>Violencia obstétrica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4E76C" w14:textId="77777777" w:rsidR="003D748E" w:rsidRDefault="00DF2056">
            <w:r>
              <w:rPr>
                <w:color w:val="000000"/>
                <w:sz w:val="19"/>
                <w:szCs w:val="19"/>
              </w:rPr>
              <w:t xml:space="preserve">Toda acción u omisión del personal o de las instituciones de salud que, en el marco de la atención al embarazo, parto o puerperio, vulnera la autonomía, dignidad o integridad de la persona gestante, mediante trato deshumanizado, medicalización abusiva o </w:t>
            </w:r>
            <w:proofErr w:type="spellStart"/>
            <w:r>
              <w:rPr>
                <w:color w:val="000000"/>
                <w:sz w:val="19"/>
                <w:szCs w:val="19"/>
              </w:rPr>
              <w:t>patologización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de procesos fisiológicos.</w:t>
            </w:r>
          </w:p>
        </w:tc>
      </w:tr>
      <w:tr w:rsidR="003D748E" w14:paraId="3144E223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F2396" w14:textId="77777777" w:rsidR="003D748E" w:rsidRDefault="00DF2056">
            <w:r>
              <w:rPr>
                <w:color w:val="000000"/>
                <w:sz w:val="19"/>
                <w:szCs w:val="19"/>
              </w:rPr>
              <w:t>Parto humanizado / parto respetado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B9739" w14:textId="77777777" w:rsidR="003D748E" w:rsidRDefault="00DF2056">
            <w:r>
              <w:rPr>
                <w:color w:val="000000"/>
                <w:sz w:val="19"/>
                <w:szCs w:val="19"/>
              </w:rPr>
              <w:t>Modelo de atención obstétrica centrado en la persona gestante como sujeto de derechos, que exige información completa, consentimiento informado y respeto a su autonomía decisional durante el proceso de parto.</w:t>
            </w:r>
          </w:p>
        </w:tc>
      </w:tr>
      <w:tr w:rsidR="003D748E" w14:paraId="4279D11F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71121" w14:textId="77777777" w:rsidR="003D748E" w:rsidRDefault="00DF2056">
            <w:r>
              <w:rPr>
                <w:color w:val="000000"/>
                <w:sz w:val="19"/>
                <w:szCs w:val="19"/>
              </w:rPr>
              <w:t>Iatrogenia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FA516" w14:textId="77777777" w:rsidR="003D748E" w:rsidRDefault="00DF2056">
            <w:r>
              <w:rPr>
                <w:color w:val="000000"/>
                <w:sz w:val="19"/>
                <w:szCs w:val="19"/>
              </w:rPr>
              <w:t>Daño causado al paciente como consecuencia directa del acto médico, con independencia de la existencia de culpa; categoría distinta de la violencia obstétrica en tanto no exige el componente de trato deshumanizante o discriminatorio.</w:t>
            </w:r>
          </w:p>
        </w:tc>
      </w:tr>
      <w:tr w:rsidR="003D748E" w14:paraId="12E54436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58543" w14:textId="77777777" w:rsidR="003D748E" w:rsidRDefault="00DF2056">
            <w:proofErr w:type="spellStart"/>
            <w:r>
              <w:rPr>
                <w:color w:val="000000"/>
                <w:sz w:val="19"/>
                <w:szCs w:val="19"/>
              </w:rPr>
              <w:t>Lex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artis</w:t>
            </w:r>
            <w:proofErr w:type="spellEnd"/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43C26" w14:textId="77777777" w:rsidR="003D748E" w:rsidRDefault="00DF2056">
            <w:r>
              <w:rPr>
                <w:color w:val="000000"/>
                <w:sz w:val="19"/>
                <w:szCs w:val="19"/>
              </w:rPr>
              <w:t>Conjunto de reglas técnicas y protocolos que definen la conducta médica correcta según el estado del conocimiento científico en un momento determinado; parámetro objetivo para valorar la existencia de mala praxis.</w:t>
            </w:r>
          </w:p>
        </w:tc>
      </w:tr>
      <w:tr w:rsidR="003D748E" w14:paraId="0A570658" w14:textId="77777777">
        <w:tc>
          <w:tcPr>
            <w:tcW w:w="26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303C1" w14:textId="77777777" w:rsidR="003D748E" w:rsidRDefault="00DF2056">
            <w:r>
              <w:rPr>
                <w:color w:val="000000"/>
                <w:sz w:val="19"/>
                <w:szCs w:val="19"/>
              </w:rPr>
              <w:t>Autonomía reproductiva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0C319" w14:textId="77777777" w:rsidR="003D748E" w:rsidRDefault="00DF2056">
            <w:r>
              <w:rPr>
                <w:color w:val="000000"/>
                <w:sz w:val="19"/>
                <w:szCs w:val="19"/>
              </w:rPr>
              <w:t xml:space="preserve">Facultad jurídica de la persona para decidir libre e </w:t>
            </w:r>
            <w:proofErr w:type="spellStart"/>
            <w:r>
              <w:rPr>
                <w:color w:val="000000"/>
                <w:sz w:val="19"/>
                <w:szCs w:val="19"/>
              </w:rPr>
              <w:t>informadamente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sobre su cuerpo y sus procesos reproductivos, sin coacción ni sustitución de voluntad por parte de terceros, incluido el personal sanitario.</w:t>
            </w:r>
          </w:p>
        </w:tc>
      </w:tr>
      <w:tr w:rsidR="003D748E" w14:paraId="6CED8FCC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80EF5" w14:textId="77777777" w:rsidR="003D748E" w:rsidRDefault="00DF2056">
            <w:proofErr w:type="spellStart"/>
            <w:r>
              <w:rPr>
                <w:color w:val="000000"/>
                <w:sz w:val="19"/>
                <w:szCs w:val="19"/>
              </w:rPr>
              <w:t>Interseccionalidad</w:t>
            </w:r>
            <w:proofErr w:type="spellEnd"/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18054" w14:textId="77777777" w:rsidR="003D748E" w:rsidRDefault="00DF2056">
            <w:r>
              <w:rPr>
                <w:color w:val="000000"/>
                <w:sz w:val="19"/>
                <w:szCs w:val="19"/>
              </w:rPr>
              <w:t>Categoría analítica que examina cómo múltiples factores de discriminación (género, raza, edad, discapacidad, situación económica) se combinan y potencian mutuamente en la producción de una vulneración de derechos.</w:t>
            </w:r>
          </w:p>
        </w:tc>
      </w:tr>
    </w:tbl>
    <w:p w14:paraId="1D52A831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3. Tabla comparativa: violencia obstétrica frente a figuras afines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500"/>
        <w:gridCol w:w="2500"/>
        <w:gridCol w:w="2500"/>
      </w:tblGrid>
      <w:tr w:rsidR="003D748E" w14:paraId="27585C7E" w14:textId="77777777">
        <w:trPr>
          <w:tblHeader/>
        </w:trPr>
        <w:tc>
          <w:tcPr>
            <w:tcW w:w="1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BFC80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Criterio</w:t>
            </w:r>
          </w:p>
        </w:tc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8A613A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Violencia obstétrica</w:t>
            </w:r>
          </w:p>
        </w:tc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D302E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Mala praxis médica</w:t>
            </w:r>
          </w:p>
        </w:tc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84BC2" w14:textId="77777777" w:rsidR="003D748E" w:rsidRDefault="00DF20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Negligencia médica</w:t>
            </w:r>
          </w:p>
        </w:tc>
      </w:tr>
      <w:tr w:rsidR="003D748E" w14:paraId="1A44D4B8" w14:textId="77777777">
        <w:tc>
          <w:tcPr>
            <w:tcW w:w="19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D1B54" w14:textId="77777777" w:rsidR="003D748E" w:rsidRDefault="00DF2056">
            <w:r>
              <w:rPr>
                <w:color w:val="000000"/>
                <w:sz w:val="19"/>
                <w:szCs w:val="19"/>
              </w:rPr>
              <w:t>Componente de género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D7C5B" w14:textId="77777777" w:rsidR="003D748E" w:rsidRDefault="00DF2056">
            <w:r>
              <w:rPr>
                <w:color w:val="000000"/>
                <w:sz w:val="19"/>
                <w:szCs w:val="19"/>
              </w:rPr>
              <w:t>Estructural y definitorio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D8EF0" w14:textId="77777777" w:rsidR="003D748E" w:rsidRDefault="00DF2056">
            <w:r>
              <w:rPr>
                <w:color w:val="000000"/>
                <w:sz w:val="19"/>
                <w:szCs w:val="19"/>
              </w:rPr>
              <w:t>No necesariamente presente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BC902" w14:textId="77777777" w:rsidR="003D748E" w:rsidRDefault="00DF2056">
            <w:r>
              <w:rPr>
                <w:color w:val="000000"/>
                <w:sz w:val="19"/>
                <w:szCs w:val="19"/>
              </w:rPr>
              <w:t>No necesariamente presente</w:t>
            </w:r>
          </w:p>
        </w:tc>
      </w:tr>
      <w:tr w:rsidR="003D748E" w14:paraId="562EDC4B" w14:textId="77777777"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3ADB8" w14:textId="77777777" w:rsidR="003D748E" w:rsidRDefault="00DF2056">
            <w:r>
              <w:rPr>
                <w:color w:val="000000"/>
                <w:sz w:val="19"/>
                <w:szCs w:val="19"/>
              </w:rPr>
              <w:t>Parámetro de valoración</w:t>
            </w:r>
          </w:p>
        </w:tc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F4F64" w14:textId="77777777" w:rsidR="003D748E" w:rsidRDefault="00DF2056">
            <w:r>
              <w:rPr>
                <w:color w:val="000000"/>
                <w:sz w:val="19"/>
                <w:szCs w:val="19"/>
              </w:rPr>
              <w:t>Trato deshumanizado / vulneración de autonomía</w:t>
            </w:r>
          </w:p>
        </w:tc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9743A" w14:textId="77777777" w:rsidR="003D748E" w:rsidRDefault="00DF2056">
            <w:r>
              <w:rPr>
                <w:color w:val="000000"/>
                <w:sz w:val="19"/>
                <w:szCs w:val="19"/>
              </w:rPr>
              <w:t xml:space="preserve">Infracción de la </w:t>
            </w:r>
            <w:proofErr w:type="spellStart"/>
            <w:r>
              <w:rPr>
                <w:color w:val="000000"/>
                <w:sz w:val="19"/>
                <w:szCs w:val="19"/>
              </w:rPr>
              <w:t>lex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artis</w:t>
            </w:r>
            <w:proofErr w:type="spellEnd"/>
          </w:p>
        </w:tc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4B5C9" w14:textId="77777777" w:rsidR="003D748E" w:rsidRDefault="00DF2056">
            <w:r>
              <w:rPr>
                <w:color w:val="000000"/>
                <w:sz w:val="19"/>
                <w:szCs w:val="19"/>
              </w:rPr>
              <w:t>Falta del deber objetivo de cuidado</w:t>
            </w:r>
          </w:p>
        </w:tc>
      </w:tr>
      <w:tr w:rsidR="003D748E" w14:paraId="5EF85F31" w14:textId="77777777">
        <w:tc>
          <w:tcPr>
            <w:tcW w:w="19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02202" w14:textId="77777777" w:rsidR="003D748E" w:rsidRDefault="00DF2056">
            <w:r>
              <w:rPr>
                <w:color w:val="000000"/>
                <w:sz w:val="19"/>
                <w:szCs w:val="19"/>
              </w:rPr>
              <w:t>Exige daño físico objetivable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AB964" w14:textId="77777777" w:rsidR="003D748E" w:rsidRDefault="00DF2056">
            <w:r>
              <w:rPr>
                <w:color w:val="000000"/>
                <w:sz w:val="19"/>
                <w:szCs w:val="19"/>
              </w:rPr>
              <w:t>No necesariamente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416F1" w14:textId="77777777" w:rsidR="003D748E" w:rsidRDefault="00DF2056">
            <w:r>
              <w:rPr>
                <w:color w:val="000000"/>
                <w:sz w:val="19"/>
                <w:szCs w:val="19"/>
              </w:rPr>
              <w:t>Generalmente sí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C2828" w14:textId="77777777" w:rsidR="003D748E" w:rsidRDefault="00DF2056">
            <w:r>
              <w:rPr>
                <w:color w:val="000000"/>
                <w:sz w:val="19"/>
                <w:szCs w:val="19"/>
              </w:rPr>
              <w:t>Generalmente sí</w:t>
            </w:r>
          </w:p>
        </w:tc>
      </w:tr>
      <w:tr w:rsidR="003D748E" w14:paraId="0556BD61" w14:textId="77777777"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86531" w14:textId="77777777" w:rsidR="003D748E" w:rsidRDefault="00DF2056">
            <w:r>
              <w:rPr>
                <w:color w:val="000000"/>
                <w:sz w:val="19"/>
                <w:szCs w:val="19"/>
              </w:rPr>
              <w:t>Bien jurídico central</w:t>
            </w:r>
          </w:p>
        </w:tc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C35B6" w14:textId="77777777" w:rsidR="003D748E" w:rsidRDefault="00DF2056">
            <w:r>
              <w:rPr>
                <w:color w:val="000000"/>
                <w:sz w:val="19"/>
                <w:szCs w:val="19"/>
              </w:rPr>
              <w:t>Dignidad, autonomía, integridad</w:t>
            </w:r>
          </w:p>
        </w:tc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26A86" w14:textId="77777777" w:rsidR="003D748E" w:rsidRDefault="00DF2056">
            <w:r>
              <w:rPr>
                <w:color w:val="000000"/>
                <w:sz w:val="19"/>
                <w:szCs w:val="19"/>
              </w:rPr>
              <w:t>Salud / integridad física</w:t>
            </w:r>
          </w:p>
        </w:tc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F4B8B" w14:textId="77777777" w:rsidR="003D748E" w:rsidRDefault="00DF2056">
            <w:r>
              <w:rPr>
                <w:color w:val="000000"/>
                <w:sz w:val="19"/>
                <w:szCs w:val="19"/>
              </w:rPr>
              <w:t>Salud / integridad física</w:t>
            </w:r>
          </w:p>
        </w:tc>
      </w:tr>
      <w:tr w:rsidR="003D748E" w14:paraId="07441493" w14:textId="77777777">
        <w:tc>
          <w:tcPr>
            <w:tcW w:w="19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838EC" w14:textId="77777777" w:rsidR="003D748E" w:rsidRDefault="00DF2056">
            <w:r>
              <w:rPr>
                <w:color w:val="000000"/>
                <w:sz w:val="19"/>
                <w:szCs w:val="19"/>
              </w:rPr>
              <w:t>Reconocimiento jurídico en Cuba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9E2C3" w14:textId="77777777" w:rsidR="003D748E" w:rsidRDefault="00DF2056">
            <w:r>
              <w:rPr>
                <w:color w:val="000000"/>
                <w:sz w:val="19"/>
                <w:szCs w:val="19"/>
              </w:rPr>
              <w:t>No tipificada autónomamente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818DE" w14:textId="77777777" w:rsidR="003D748E" w:rsidRDefault="00DF2056">
            <w:r>
              <w:rPr>
                <w:color w:val="000000"/>
                <w:sz w:val="19"/>
                <w:szCs w:val="19"/>
              </w:rPr>
              <w:t>Vía responsabilidad civil/penal general</w:t>
            </w:r>
          </w:p>
        </w:tc>
        <w:tc>
          <w:tcPr>
            <w:tcW w:w="250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11654" w14:textId="77777777" w:rsidR="003D748E" w:rsidRDefault="00DF2056">
            <w:r>
              <w:rPr>
                <w:color w:val="000000"/>
                <w:sz w:val="19"/>
                <w:szCs w:val="19"/>
              </w:rPr>
              <w:t>Vía responsabilidad civil/penal general</w:t>
            </w:r>
          </w:p>
        </w:tc>
      </w:tr>
    </w:tbl>
    <w:p w14:paraId="5FFF0B8A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4. Actividades de aprendizaje</w:t>
      </w:r>
    </w:p>
    <w:p w14:paraId="6DF96B47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Comprensión</w:t>
      </w:r>
    </w:p>
    <w:p w14:paraId="2C1BFA68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Elabore una definición propia de violencia obstétrica que incorpore los tres elementos configurativos estudiados, justificando cada componente con referencia a la doctrina revisada.</w:t>
      </w:r>
    </w:p>
    <w:p w14:paraId="3617E963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Construya un mapa conceptual que sitúe la violencia obstétrica dentro del género próximo de la violencia de género y explicite su diferencia específica.</w:t>
      </w:r>
    </w:p>
    <w:p w14:paraId="4AFFB8BB" w14:textId="77777777" w:rsidR="003D748E" w:rsidRDefault="003D748E">
      <w:pPr>
        <w:pStyle w:val="Ttulo3"/>
        <w:spacing w:before="200" w:after="100"/>
        <w:rPr>
          <w:b/>
          <w:bCs/>
          <w:i/>
          <w:iCs/>
          <w:color w:val="8B6F1F"/>
          <w:sz w:val="22"/>
          <w:szCs w:val="22"/>
        </w:rPr>
      </w:pPr>
    </w:p>
    <w:p w14:paraId="0B03247F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Aplicación</w:t>
      </w:r>
    </w:p>
    <w:p w14:paraId="6710277D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A partir de tres relatos breves de experiencias de parto (que el profesor proporcionará o el estudiante recopilará de fuentes verificables), clasifique cada uno como violencia obstétrica, mala praxis o ninguna de las anteriores, fundamentando la calificación.</w:t>
      </w:r>
    </w:p>
    <w:p w14:paraId="6CEA1F4C" w14:textId="77777777" w:rsidR="003D748E" w:rsidRDefault="00DF2056">
      <w:pPr>
        <w:pStyle w:val="Ttulo3"/>
        <w:spacing w:before="200" w:after="100"/>
      </w:pPr>
      <w:r>
        <w:rPr>
          <w:b/>
          <w:bCs/>
          <w:i/>
          <w:iCs/>
          <w:color w:val="8B6F1F"/>
          <w:sz w:val="22"/>
          <w:szCs w:val="22"/>
        </w:rPr>
        <w:t>Valoración crítica</w:t>
      </w:r>
    </w:p>
    <w:p w14:paraId="2CAD0486" w14:textId="77777777" w:rsidR="003D748E" w:rsidRDefault="00DF2056">
      <w:pPr>
        <w:pStyle w:val="Prrafodelista"/>
        <w:numPr>
          <w:ilvl w:val="0"/>
          <w:numId w:val="2"/>
        </w:numPr>
        <w:spacing w:after="100"/>
      </w:pPr>
      <w:r>
        <w:rPr>
          <w:szCs w:val="21"/>
        </w:rPr>
        <w:t>Discuta en seminario: ¿es metodológicamente correcto trasladar sin mediaciones un concepto acuñado en el derecho venezolano o argentino al análisis del sistema de salud cubano, dadas sus diferencias estructurales (carácter público y gratuito, modelo de atención primaria)? Argumente en no más de una cuartilla.</w:t>
      </w:r>
    </w:p>
    <w:p w14:paraId="496049A7" w14:textId="77777777" w:rsidR="003D748E" w:rsidRDefault="00DF2056">
      <w:pPr>
        <w:pStyle w:val="Ttulo2"/>
        <w:spacing w:before="300" w:after="150"/>
      </w:pPr>
      <w:r>
        <w:rPr>
          <w:b/>
          <w:bCs/>
          <w:color w:val="1F3864"/>
          <w:sz w:val="25"/>
          <w:szCs w:val="25"/>
        </w:rPr>
        <w:t>5. Preguntas de autoevaluación</w:t>
      </w:r>
    </w:p>
    <w:p w14:paraId="72D87F1E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¿Qué diferencia, en términos de imputación jurídica, existe entre violencia obstétrica y negligencia médica?</w:t>
      </w:r>
    </w:p>
    <w:p w14:paraId="1AFE6444" w14:textId="77777777" w:rsidR="003D748E" w:rsidRDefault="00DF2056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Mencione tres manifestaciones fácticas de violencia obstétrica identificadas por la OMS (2014).</w:t>
      </w:r>
    </w:p>
    <w:p w14:paraId="763F4D09" w14:textId="458C1843" w:rsidR="003D748E" w:rsidRDefault="00DF2056" w:rsidP="000E0E91">
      <w:pPr>
        <w:pStyle w:val="Prrafodelista"/>
        <w:numPr>
          <w:ilvl w:val="0"/>
          <w:numId w:val="1"/>
        </w:numPr>
        <w:spacing w:after="100"/>
      </w:pPr>
      <w:r>
        <w:rPr>
          <w:szCs w:val="21"/>
        </w:rPr>
        <w:t>¿Por qué se afirma que la violencia obstétrica puede configurarse sin necesidad de un daño físico objetivable?</w:t>
      </w:r>
      <w:bookmarkStart w:id="0" w:name="_GoBack"/>
      <w:bookmarkEnd w:id="0"/>
    </w:p>
    <w:sectPr w:rsidR="003D748E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singleLevel"/>
    <w:tmpl w:val="0053208E"/>
    <w:lvl w:ilvl="0">
      <w:start w:val="1"/>
      <w:numFmt w:val="bullet"/>
      <w:lvlText w:val="•"/>
      <w:lvlJc w:val="left"/>
      <w:pPr>
        <w:ind w:left="460" w:hanging="260"/>
      </w:pPr>
    </w:lvl>
  </w:abstractNum>
  <w:abstractNum w:abstractNumId="1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8E"/>
    <w:rsid w:val="000E0E91"/>
    <w:rsid w:val="003D748E"/>
    <w:rsid w:val="007C3556"/>
    <w:rsid w:val="00DF2056"/>
    <w:rsid w:val="0709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A4C00-4F46-4D96-BFE2-EE864000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s-US" w:eastAsia="es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 w:qFormat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1"/>
      <w:szCs w:val="22"/>
    </w:rPr>
  </w:style>
  <w:style w:type="paragraph" w:styleId="Ttulo1">
    <w:name w:val="heading 1"/>
    <w:next w:val="Normal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next w:val="Normal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next w:val="Normal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next w:val="Normal"/>
    <w:qFormat/>
    <w:pPr>
      <w:outlineLvl w:val="3"/>
    </w:pPr>
    <w:rPr>
      <w:i/>
      <w:iCs/>
      <w:color w:val="2E74B5"/>
      <w:sz w:val="21"/>
      <w:szCs w:val="22"/>
    </w:rPr>
  </w:style>
  <w:style w:type="paragraph" w:styleId="Ttulo5">
    <w:name w:val="heading 5"/>
    <w:next w:val="Normal"/>
    <w:qFormat/>
    <w:pPr>
      <w:outlineLvl w:val="4"/>
    </w:pPr>
    <w:rPr>
      <w:color w:val="2E74B5"/>
      <w:sz w:val="21"/>
      <w:szCs w:val="22"/>
    </w:rPr>
  </w:style>
  <w:style w:type="paragraph" w:styleId="Ttulo6">
    <w:name w:val="heading 6"/>
    <w:next w:val="Normal"/>
    <w:qFormat/>
    <w:pPr>
      <w:outlineLvl w:val="5"/>
    </w:pPr>
    <w:rPr>
      <w:color w:val="1F4D78"/>
      <w:sz w:val="21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final">
    <w:name w:val="endnote reference"/>
    <w:uiPriority w:val="99"/>
    <w:semiHidden/>
    <w:unhideWhenUsed/>
    <w:qFormat/>
    <w:rPr>
      <w:vertAlign w:val="superscript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styleId="Hipervnculo">
    <w:name w:val="Hyperlink"/>
    <w:uiPriority w:val="99"/>
    <w:unhideWhenUsed/>
    <w:rPr>
      <w:color w:val="0563C1"/>
      <w:u w:val="single"/>
    </w:rPr>
  </w:style>
  <w:style w:type="paragraph" w:styleId="Textonotapie">
    <w:name w:val="footnote text"/>
    <w:link w:val="TextonotapieCar"/>
    <w:uiPriority w:val="99"/>
    <w:semiHidden/>
    <w:unhideWhenUsed/>
  </w:style>
  <w:style w:type="paragraph" w:styleId="Textonotaalfinal">
    <w:name w:val="endnote text"/>
    <w:link w:val="TextonotaalfinalCar"/>
    <w:uiPriority w:val="99"/>
    <w:semiHidden/>
    <w:unhideWhenUsed/>
  </w:style>
  <w:style w:type="paragraph" w:styleId="Puesto">
    <w:name w:val="Title"/>
    <w:qFormat/>
    <w:rPr>
      <w:sz w:val="56"/>
      <w:szCs w:val="56"/>
    </w:rPr>
  </w:style>
  <w:style w:type="paragraph" w:styleId="Prrafodelista">
    <w:name w:val="List Paragraph"/>
    <w:qFormat/>
    <w:rPr>
      <w:sz w:val="21"/>
      <w:szCs w:val="22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978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casa</cp:lastModifiedBy>
  <cp:revision>4</cp:revision>
  <dcterms:created xsi:type="dcterms:W3CDTF">2026-09-27T17:21:00Z</dcterms:created>
  <dcterms:modified xsi:type="dcterms:W3CDTF">2026-09-29T13:14:00Z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eyJoZGlkIjoiOWM2OTU4YzAxYzI2ZTBkOWNkMjk0MmVhYTk0ODY5MDUiLCJ1c2VySWQiOiIxNjY2NzUwOTI2NzE5In0=</vt:lpwstr>
  </property>
  <property fmtid="{D5CDD505-2E9C-101B-9397-08002B2CF9AE}" pid="3" name="KSOProductBuildVer">
    <vt:lpwstr>3082-12.1.0.25862</vt:lpwstr>
  </property>
  <property fmtid="{D5CDD505-2E9C-101B-9397-08002B2CF9AE}" pid="4" name="ICV">
    <vt:lpwstr>21436B96DE134AC6A795E109885B9767_13</vt:lpwstr>
  </property>
</Properties>
</file>