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2C8855" w14:textId="77777777" w:rsidR="003D748E" w:rsidRDefault="00DF2056">
      <w:pPr>
        <w:pStyle w:val="Ttulo1"/>
        <w:pBdr>
          <w:bottom w:val="single" w:sz="8" w:space="4" w:color="1F3864"/>
        </w:pBdr>
        <w:spacing w:before="400" w:after="200"/>
      </w:pPr>
      <w:r>
        <w:rPr>
          <w:b/>
          <w:bCs/>
          <w:color w:val="1F3864"/>
          <w:sz w:val="30"/>
          <w:szCs w:val="30"/>
        </w:rPr>
        <w:t>TEMA II. MARCO JURÍDICO INTERNACIONAL DE LOS DERECHOS REPRODUCTIVOS Y LA VIOLENCIA OBSTÉTRICA</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3D748E" w14:paraId="2684164A" w14:textId="77777777">
        <w:trPr>
          <w:tblHeader/>
        </w:trPr>
        <w:tc>
          <w:tcPr>
            <w:tcW w:w="3000" w:type="dxa"/>
            <w:shd w:val="clear" w:color="auto" w:fill="1F3864"/>
            <w:tcMar>
              <w:top w:w="80" w:type="dxa"/>
              <w:left w:w="100" w:type="dxa"/>
              <w:bottom w:w="80" w:type="dxa"/>
              <w:right w:w="100" w:type="dxa"/>
            </w:tcMar>
            <w:vAlign w:val="center"/>
          </w:tcPr>
          <w:p w14:paraId="775036AC" w14:textId="77777777" w:rsidR="003D748E" w:rsidRDefault="00DF2056">
            <w:pPr>
              <w:jc w:val="center"/>
            </w:pPr>
            <w:r>
              <w:rPr>
                <w:b/>
                <w:bCs/>
                <w:color w:val="FFFFFF"/>
                <w:sz w:val="19"/>
                <w:szCs w:val="19"/>
              </w:rPr>
              <w:t>Ficha del tema</w:t>
            </w:r>
          </w:p>
        </w:tc>
        <w:tc>
          <w:tcPr>
            <w:tcW w:w="6800" w:type="dxa"/>
            <w:shd w:val="clear" w:color="auto" w:fill="1F3864"/>
            <w:tcMar>
              <w:top w:w="80" w:type="dxa"/>
              <w:left w:w="100" w:type="dxa"/>
              <w:bottom w:w="80" w:type="dxa"/>
              <w:right w:w="100" w:type="dxa"/>
            </w:tcMar>
            <w:vAlign w:val="center"/>
          </w:tcPr>
          <w:p w14:paraId="48E08D8B" w14:textId="77777777" w:rsidR="003D748E" w:rsidRDefault="003D748E">
            <w:pPr>
              <w:jc w:val="center"/>
            </w:pPr>
          </w:p>
        </w:tc>
      </w:tr>
      <w:tr w:rsidR="003D748E" w14:paraId="595C4521" w14:textId="77777777">
        <w:tc>
          <w:tcPr>
            <w:tcW w:w="3000" w:type="dxa"/>
            <w:shd w:val="clear" w:color="auto" w:fill="F5F5F5"/>
            <w:tcMar>
              <w:top w:w="80" w:type="dxa"/>
              <w:left w:w="100" w:type="dxa"/>
              <w:bottom w:w="80" w:type="dxa"/>
              <w:right w:w="100" w:type="dxa"/>
            </w:tcMar>
            <w:vAlign w:val="center"/>
          </w:tcPr>
          <w:p w14:paraId="5DD2CBAD" w14:textId="77777777" w:rsidR="003D748E" w:rsidRDefault="00DF2056">
            <w:r>
              <w:rPr>
                <w:color w:val="000000"/>
                <w:sz w:val="19"/>
                <w:szCs w:val="19"/>
              </w:rPr>
              <w:t>Horas clase</w:t>
            </w:r>
          </w:p>
        </w:tc>
        <w:tc>
          <w:tcPr>
            <w:tcW w:w="6800" w:type="dxa"/>
            <w:shd w:val="clear" w:color="auto" w:fill="F5F5F5"/>
            <w:tcMar>
              <w:top w:w="80" w:type="dxa"/>
              <w:left w:w="100" w:type="dxa"/>
              <w:bottom w:w="80" w:type="dxa"/>
              <w:right w:w="100" w:type="dxa"/>
            </w:tcMar>
            <w:vAlign w:val="center"/>
          </w:tcPr>
          <w:p w14:paraId="73F8D31E" w14:textId="77777777" w:rsidR="003D748E" w:rsidRDefault="00DF2056">
            <w:r>
              <w:rPr>
                <w:color w:val="000000"/>
                <w:sz w:val="19"/>
                <w:szCs w:val="19"/>
              </w:rPr>
              <w:t>8</w:t>
            </w:r>
          </w:p>
        </w:tc>
      </w:tr>
      <w:tr w:rsidR="003D748E" w14:paraId="61B3C561" w14:textId="77777777">
        <w:tc>
          <w:tcPr>
            <w:tcW w:w="3000" w:type="dxa"/>
            <w:shd w:val="clear" w:color="auto" w:fill="FFFFFF"/>
            <w:tcMar>
              <w:top w:w="80" w:type="dxa"/>
              <w:left w:w="100" w:type="dxa"/>
              <w:bottom w:w="80" w:type="dxa"/>
              <w:right w:w="100" w:type="dxa"/>
            </w:tcMar>
            <w:vAlign w:val="center"/>
          </w:tcPr>
          <w:p w14:paraId="386A17C9" w14:textId="77777777" w:rsidR="003D748E" w:rsidRDefault="00DF2056">
            <w:r>
              <w:rPr>
                <w:color w:val="000000"/>
                <w:sz w:val="19"/>
                <w:szCs w:val="19"/>
              </w:rPr>
              <w:t>Objetivo general del tema</w:t>
            </w:r>
          </w:p>
        </w:tc>
        <w:tc>
          <w:tcPr>
            <w:tcW w:w="6800" w:type="dxa"/>
            <w:shd w:val="clear" w:color="auto" w:fill="FFFFFF"/>
            <w:tcMar>
              <w:top w:w="80" w:type="dxa"/>
              <w:left w:w="100" w:type="dxa"/>
              <w:bottom w:w="80" w:type="dxa"/>
              <w:right w:w="100" w:type="dxa"/>
            </w:tcMar>
            <w:vAlign w:val="center"/>
          </w:tcPr>
          <w:p w14:paraId="1CE9D781" w14:textId="77777777" w:rsidR="003D748E" w:rsidRDefault="00DF2056">
            <w:r>
              <w:rPr>
                <w:color w:val="000000"/>
                <w:sz w:val="19"/>
                <w:szCs w:val="19"/>
              </w:rPr>
              <w:t>Analizar el sistema normativo internacional de protección de los derechos reproductivos aplicable a la violencia obstétrica y su recepción en el ordenamiento jurídico cubano.</w:t>
            </w:r>
          </w:p>
        </w:tc>
      </w:tr>
    </w:tbl>
    <w:p w14:paraId="38D14C0F" w14:textId="77777777" w:rsidR="003D748E" w:rsidRDefault="003D748E">
      <w:pPr>
        <w:spacing w:after="120"/>
      </w:pPr>
    </w:p>
    <w:p w14:paraId="7B89B661" w14:textId="77777777" w:rsidR="003D748E" w:rsidRDefault="00DF2056">
      <w:pPr>
        <w:pStyle w:val="Ttulo3"/>
        <w:spacing w:before="200" w:after="100"/>
      </w:pPr>
      <w:r>
        <w:rPr>
          <w:b/>
          <w:bCs/>
          <w:i/>
          <w:iCs/>
          <w:color w:val="8B6F1F"/>
          <w:sz w:val="22"/>
          <w:szCs w:val="22"/>
        </w:rPr>
        <w:t>Objetivos específicos del tema</w:t>
      </w:r>
    </w:p>
    <w:p w14:paraId="4789697F" w14:textId="77777777" w:rsidR="003D748E" w:rsidRDefault="00DF2056">
      <w:pPr>
        <w:pStyle w:val="Prrafodelista"/>
        <w:numPr>
          <w:ilvl w:val="0"/>
          <w:numId w:val="1"/>
        </w:numPr>
        <w:spacing w:after="100"/>
      </w:pPr>
      <w:r>
        <w:rPr>
          <w:szCs w:val="21"/>
        </w:rPr>
        <w:t>Interpretar el contenido normativo de CEDAW y la Convención de Belém do Pará en relación con la salud reproductiva.</w:t>
      </w:r>
    </w:p>
    <w:p w14:paraId="73B1679A" w14:textId="77777777" w:rsidR="003D748E" w:rsidRDefault="00DF2056">
      <w:pPr>
        <w:pStyle w:val="Prrafodelista"/>
        <w:numPr>
          <w:ilvl w:val="0"/>
          <w:numId w:val="1"/>
        </w:numPr>
        <w:spacing w:after="100"/>
      </w:pPr>
      <w:r>
        <w:rPr>
          <w:szCs w:val="21"/>
        </w:rPr>
        <w:t>Examinar los estándares del Sistema Interamericano y de Naciones Unidas sobre violencia obstétrica.</w:t>
      </w:r>
    </w:p>
    <w:p w14:paraId="0949F4BF" w14:textId="77777777" w:rsidR="003D748E" w:rsidRDefault="00DF2056">
      <w:pPr>
        <w:pStyle w:val="Prrafodelista"/>
        <w:numPr>
          <w:ilvl w:val="0"/>
          <w:numId w:val="1"/>
        </w:numPr>
        <w:spacing w:after="100"/>
      </w:pPr>
      <w:r>
        <w:rPr>
          <w:szCs w:val="21"/>
        </w:rPr>
        <w:t>Determinar el estatus normativo de los tratados internacionales en el ordenamiento jurídico cubano conforme al artículo 8 de la Constitución de 2019.</w:t>
      </w:r>
    </w:p>
    <w:p w14:paraId="3914C6E7" w14:textId="77777777" w:rsidR="003D748E" w:rsidRDefault="00DF2056">
      <w:pPr>
        <w:pStyle w:val="Ttulo2"/>
        <w:spacing w:before="300" w:after="150"/>
      </w:pPr>
      <w:r>
        <w:rPr>
          <w:b/>
          <w:bCs/>
          <w:color w:val="1F3864"/>
          <w:sz w:val="25"/>
          <w:szCs w:val="25"/>
        </w:rPr>
        <w:t>1. Síntesis de contenidos por subtema</w:t>
      </w:r>
    </w:p>
    <w:p w14:paraId="5EE0A3FB" w14:textId="77777777" w:rsidR="003D748E" w:rsidRDefault="00DF2056">
      <w:pPr>
        <w:pStyle w:val="Ttulo3"/>
        <w:spacing w:before="200" w:after="100"/>
      </w:pPr>
      <w:r>
        <w:rPr>
          <w:b/>
          <w:bCs/>
          <w:i/>
          <w:iCs/>
          <w:color w:val="8B6F1F"/>
          <w:sz w:val="22"/>
          <w:szCs w:val="22"/>
        </w:rPr>
        <w:t>2.1. Sistema universal de protección</w:t>
      </w:r>
    </w:p>
    <w:p w14:paraId="087A5A6C" w14:textId="77777777" w:rsidR="003D748E" w:rsidRDefault="00DF2056">
      <w:pPr>
        <w:spacing w:after="160" w:line="276" w:lineRule="auto"/>
        <w:jc w:val="both"/>
      </w:pPr>
      <w:r>
        <w:rPr>
          <w:szCs w:val="21"/>
        </w:rPr>
        <w:t>La CEDAW (arts. 12 y 16) constituye el instrumento matriz en materia de igualdad y salud reproductiva; la Observación General No. 24 del Comité CEDAW (2016) precisa las obligaciones estatales respecto al acceso a servicios de salud reproductiva libres de discriminación y violencia. El Pacto Internacional de Derechos Económicos, Sociales y Culturales (art. 12) complementa este marco desde el derecho al más alto nivel posible de salud. La Relatoría Especial de Naciones Unidas sobre violencia contra la mujer produjo en 2019 un informe temático específico sobre enfoque basado en derechos humanos frente al maltrato y la violencia obstétrica, de valor interpretativo relevante.</w:t>
      </w:r>
    </w:p>
    <w:p w14:paraId="5C757A61" w14:textId="77777777" w:rsidR="003D748E" w:rsidRDefault="00DF2056">
      <w:pPr>
        <w:pStyle w:val="Ttulo3"/>
        <w:spacing w:before="200" w:after="100"/>
      </w:pPr>
      <w:r>
        <w:rPr>
          <w:b/>
          <w:bCs/>
          <w:i/>
          <w:iCs/>
          <w:color w:val="8B6F1F"/>
          <w:sz w:val="22"/>
          <w:szCs w:val="22"/>
        </w:rPr>
        <w:t>2.2. Sistema Interamericano</w:t>
      </w:r>
    </w:p>
    <w:p w14:paraId="7A372A28" w14:textId="77777777" w:rsidR="003D748E" w:rsidRDefault="00DF2056">
      <w:pPr>
        <w:spacing w:after="160" w:line="276" w:lineRule="auto"/>
        <w:jc w:val="both"/>
      </w:pPr>
      <w:r>
        <w:rPr>
          <w:szCs w:val="21"/>
        </w:rPr>
        <w:t>La Convención de Belém do Pará (1994) define la violencia contra la mujer en términos amplios que permiten subsumir la violencia obstétrica como modalidad institucional. La jurisprudencia de la Corte Interamericana de Derechos Humanos —singularmente los casos I.V. vs. Bolivia (2016, esterilización no consentida) y Manuela vs. El Salvador (2021, criminalización de emergencias obstétricas</w:t>
      </w:r>
      <w:proofErr w:type="gramStart"/>
      <w:r>
        <w:rPr>
          <w:szCs w:val="21"/>
        </w:rPr>
        <w:t>)—</w:t>
      </w:r>
      <w:proofErr w:type="gramEnd"/>
      <w:r>
        <w:rPr>
          <w:szCs w:val="21"/>
        </w:rPr>
        <w:t xml:space="preserve"> configura un estándar interpretativo de primer orden sobre consentimiento informado y autonomía reproductiva, aplicable analógicamente al análisis de la violencia obstétrica en general.</w:t>
      </w:r>
    </w:p>
    <w:p w14:paraId="2D6909E4" w14:textId="77777777" w:rsidR="003D748E" w:rsidRDefault="00DF2056">
      <w:pPr>
        <w:pStyle w:val="Ttulo3"/>
        <w:spacing w:before="200" w:after="100"/>
      </w:pPr>
      <w:r>
        <w:rPr>
          <w:b/>
          <w:bCs/>
          <w:i/>
          <w:iCs/>
          <w:color w:val="8B6F1F"/>
          <w:sz w:val="22"/>
          <w:szCs w:val="22"/>
        </w:rPr>
        <w:t>2.3. Declaración de la OMS (2014)</w:t>
      </w:r>
    </w:p>
    <w:p w14:paraId="4CAA64CF" w14:textId="77777777" w:rsidR="003D748E" w:rsidRDefault="00DF2056">
      <w:pPr>
        <w:spacing w:after="160" w:line="276" w:lineRule="auto"/>
        <w:jc w:val="both"/>
      </w:pPr>
      <w:r>
        <w:rPr>
          <w:szCs w:val="21"/>
        </w:rPr>
        <w:t xml:space="preserve">Sin naturaleza de tratado, constituye </w:t>
      </w:r>
      <w:proofErr w:type="spellStart"/>
      <w:r>
        <w:rPr>
          <w:szCs w:val="21"/>
        </w:rPr>
        <w:t>soft</w:t>
      </w:r>
      <w:proofErr w:type="spellEnd"/>
      <w:r>
        <w:rPr>
          <w:szCs w:val="21"/>
        </w:rPr>
        <w:t xml:space="preserve"> </w:t>
      </w:r>
      <w:proofErr w:type="spellStart"/>
      <w:r>
        <w:rPr>
          <w:szCs w:val="21"/>
        </w:rPr>
        <w:t>law</w:t>
      </w:r>
      <w:proofErr w:type="spellEnd"/>
      <w:r>
        <w:rPr>
          <w:szCs w:val="21"/>
        </w:rPr>
        <w:t xml:space="preserve"> de autoridad técnica reconocida, empleada como parámetro interpretativo por órganos jurisdiccionales y cuasi-jurisdiccionales para precisar el contenido del derecho a una atención obstétrica respetuosa.</w:t>
      </w:r>
    </w:p>
    <w:p w14:paraId="2C7EED38" w14:textId="77777777" w:rsidR="003D748E" w:rsidRDefault="00DF2056">
      <w:pPr>
        <w:pStyle w:val="Ttulo3"/>
        <w:spacing w:before="200" w:after="100"/>
      </w:pPr>
      <w:r>
        <w:rPr>
          <w:b/>
          <w:bCs/>
          <w:i/>
          <w:iCs/>
          <w:color w:val="8B6F1F"/>
          <w:sz w:val="22"/>
          <w:szCs w:val="22"/>
        </w:rPr>
        <w:t>2.4. Recepción en el ordenamiento cubano</w:t>
      </w:r>
    </w:p>
    <w:p w14:paraId="1F757B4A" w14:textId="77777777" w:rsidR="003D748E" w:rsidRDefault="00DF2056">
      <w:pPr>
        <w:spacing w:after="160" w:line="276" w:lineRule="auto"/>
        <w:jc w:val="both"/>
      </w:pPr>
      <w:r>
        <w:rPr>
          <w:szCs w:val="21"/>
        </w:rPr>
        <w:t xml:space="preserve">El artículo 8 de la Constitución de la República de Cuba (2019) reconoce y garantiza en el orden interno el goce de los derechos reconocidos en los instrumentos internacionales de derechos humanos de los que Cuba es parte. Se impone al estudiante examinar con rigor: (i) qué instrumentos ha ratificado Cuba (Cuba es Estado parte de la CEDAW, no así de </w:t>
      </w:r>
      <w:r>
        <w:rPr>
          <w:szCs w:val="21"/>
        </w:rPr>
        <w:lastRenderedPageBreak/>
        <w:t xml:space="preserve">la Convención Americana sobre Derechos Humanos, lo que condiciona la aplicabilidad directa de la jurisprudencia de la Corte IDH, que opera entonces como referente interpretativo persuasivo y no como fuente vinculante); (ii) el mecanismo concreto de incorporación e </w:t>
      </w:r>
      <w:proofErr w:type="spellStart"/>
      <w:r>
        <w:rPr>
          <w:szCs w:val="21"/>
        </w:rPr>
        <w:t>invocabilidad</w:t>
      </w:r>
      <w:proofErr w:type="spellEnd"/>
      <w:r>
        <w:rPr>
          <w:szCs w:val="21"/>
        </w:rPr>
        <w:t xml:space="preserve"> de dichas normas ante operadores jurídicos internos.</w:t>
      </w:r>
    </w:p>
    <w:p w14:paraId="0326AADC" w14:textId="77777777" w:rsidR="003D748E" w:rsidRDefault="00DF2056">
      <w:pPr>
        <w:pStyle w:val="Ttulo2"/>
        <w:spacing w:before="300" w:after="150"/>
      </w:pPr>
      <w:r>
        <w:rPr>
          <w:b/>
          <w:bCs/>
          <w:color w:val="1F3864"/>
          <w:sz w:val="25"/>
          <w:szCs w:val="25"/>
        </w:rPr>
        <w:t>2. Vocabulario jurídico básico</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3D748E" w14:paraId="7AF90480" w14:textId="77777777">
        <w:trPr>
          <w:tblHeader/>
        </w:trPr>
        <w:tc>
          <w:tcPr>
            <w:tcW w:w="2600" w:type="dxa"/>
            <w:shd w:val="clear" w:color="auto" w:fill="1F3864"/>
            <w:tcMar>
              <w:top w:w="80" w:type="dxa"/>
              <w:left w:w="100" w:type="dxa"/>
              <w:bottom w:w="80" w:type="dxa"/>
              <w:right w:w="100" w:type="dxa"/>
            </w:tcMar>
            <w:vAlign w:val="center"/>
          </w:tcPr>
          <w:p w14:paraId="4D0E3510" w14:textId="77777777" w:rsidR="003D748E" w:rsidRDefault="00DF2056">
            <w:pPr>
              <w:jc w:val="center"/>
            </w:pPr>
            <w:r>
              <w:rPr>
                <w:b/>
                <w:bCs/>
                <w:color w:val="FFFFFF"/>
                <w:sz w:val="19"/>
                <w:szCs w:val="19"/>
              </w:rPr>
              <w:t>Término</w:t>
            </w:r>
          </w:p>
        </w:tc>
        <w:tc>
          <w:tcPr>
            <w:tcW w:w="7200" w:type="dxa"/>
            <w:shd w:val="clear" w:color="auto" w:fill="1F3864"/>
            <w:tcMar>
              <w:top w:w="80" w:type="dxa"/>
              <w:left w:w="100" w:type="dxa"/>
              <w:bottom w:w="80" w:type="dxa"/>
              <w:right w:w="100" w:type="dxa"/>
            </w:tcMar>
            <w:vAlign w:val="center"/>
          </w:tcPr>
          <w:p w14:paraId="38DC4CB8" w14:textId="77777777" w:rsidR="003D748E" w:rsidRDefault="00DF2056">
            <w:pPr>
              <w:jc w:val="center"/>
            </w:pPr>
            <w:r>
              <w:rPr>
                <w:b/>
                <w:bCs/>
                <w:color w:val="FFFFFF"/>
                <w:sz w:val="19"/>
                <w:szCs w:val="19"/>
              </w:rPr>
              <w:t>Definición operativa</w:t>
            </w:r>
          </w:p>
        </w:tc>
      </w:tr>
      <w:tr w:rsidR="003D748E" w14:paraId="17B5DCD0" w14:textId="77777777">
        <w:tc>
          <w:tcPr>
            <w:tcW w:w="2600" w:type="dxa"/>
            <w:shd w:val="clear" w:color="auto" w:fill="F5F5F5"/>
            <w:tcMar>
              <w:top w:w="80" w:type="dxa"/>
              <w:left w:w="100" w:type="dxa"/>
              <w:bottom w:w="80" w:type="dxa"/>
              <w:right w:w="100" w:type="dxa"/>
            </w:tcMar>
            <w:vAlign w:val="center"/>
          </w:tcPr>
          <w:p w14:paraId="524386D9" w14:textId="77777777" w:rsidR="003D748E" w:rsidRDefault="00DF2056">
            <w:r>
              <w:rPr>
                <w:color w:val="000000"/>
                <w:sz w:val="19"/>
                <w:szCs w:val="19"/>
              </w:rPr>
              <w:t>Bloque de constitucionalidad</w:t>
            </w:r>
          </w:p>
        </w:tc>
        <w:tc>
          <w:tcPr>
            <w:tcW w:w="7200" w:type="dxa"/>
            <w:shd w:val="clear" w:color="auto" w:fill="F5F5F5"/>
            <w:tcMar>
              <w:top w:w="80" w:type="dxa"/>
              <w:left w:w="100" w:type="dxa"/>
              <w:bottom w:w="80" w:type="dxa"/>
              <w:right w:w="100" w:type="dxa"/>
            </w:tcMar>
            <w:vAlign w:val="center"/>
          </w:tcPr>
          <w:p w14:paraId="7FFD1661" w14:textId="77777777" w:rsidR="003D748E" w:rsidRDefault="00DF2056">
            <w:r>
              <w:rPr>
                <w:color w:val="000000"/>
                <w:sz w:val="19"/>
                <w:szCs w:val="19"/>
              </w:rPr>
              <w:t>Conjunto normativo integrado por la Constitución y los instrumentos internacionales de derechos humanos que, por mandato constitucional expreso, se incorporan con jerarquía y eficacia interpretativa reforzada al ordenamiento interno.</w:t>
            </w:r>
          </w:p>
        </w:tc>
      </w:tr>
      <w:tr w:rsidR="003D748E" w14:paraId="0B08A809" w14:textId="77777777">
        <w:tc>
          <w:tcPr>
            <w:tcW w:w="2600" w:type="dxa"/>
            <w:shd w:val="clear" w:color="auto" w:fill="FFFFFF"/>
            <w:tcMar>
              <w:top w:w="80" w:type="dxa"/>
              <w:left w:w="100" w:type="dxa"/>
              <w:bottom w:w="80" w:type="dxa"/>
              <w:right w:w="100" w:type="dxa"/>
            </w:tcMar>
            <w:vAlign w:val="center"/>
          </w:tcPr>
          <w:p w14:paraId="6B474B5B" w14:textId="77777777" w:rsidR="003D748E" w:rsidRDefault="00DF2056">
            <w:proofErr w:type="spellStart"/>
            <w:r>
              <w:rPr>
                <w:color w:val="000000"/>
                <w:sz w:val="19"/>
                <w:szCs w:val="19"/>
              </w:rPr>
              <w:t>Soft</w:t>
            </w:r>
            <w:proofErr w:type="spellEnd"/>
            <w:r>
              <w:rPr>
                <w:color w:val="000000"/>
                <w:sz w:val="19"/>
                <w:szCs w:val="19"/>
              </w:rPr>
              <w:t xml:space="preserve"> </w:t>
            </w:r>
            <w:proofErr w:type="spellStart"/>
            <w:r>
              <w:rPr>
                <w:color w:val="000000"/>
                <w:sz w:val="19"/>
                <w:szCs w:val="19"/>
              </w:rPr>
              <w:t>law</w:t>
            </w:r>
            <w:proofErr w:type="spellEnd"/>
          </w:p>
        </w:tc>
        <w:tc>
          <w:tcPr>
            <w:tcW w:w="7200" w:type="dxa"/>
            <w:shd w:val="clear" w:color="auto" w:fill="FFFFFF"/>
            <w:tcMar>
              <w:top w:w="80" w:type="dxa"/>
              <w:left w:w="100" w:type="dxa"/>
              <w:bottom w:w="80" w:type="dxa"/>
              <w:right w:w="100" w:type="dxa"/>
            </w:tcMar>
            <w:vAlign w:val="center"/>
          </w:tcPr>
          <w:p w14:paraId="2101896B" w14:textId="77777777" w:rsidR="003D748E" w:rsidRDefault="00DF2056">
            <w:r>
              <w:rPr>
                <w:color w:val="000000"/>
                <w:sz w:val="19"/>
                <w:szCs w:val="19"/>
              </w:rPr>
              <w:t>Conjunto de instrumentos internacionales (declaraciones, recomendaciones, observaciones generales) desprovistos de fuerza vinculante formal, pero dotados de valor interpretativo y persuasivo relevante para la determinación del contenido de las obligaciones estatales.</w:t>
            </w:r>
          </w:p>
        </w:tc>
      </w:tr>
      <w:tr w:rsidR="003D748E" w14:paraId="66F1D3B8" w14:textId="77777777">
        <w:tc>
          <w:tcPr>
            <w:tcW w:w="2600" w:type="dxa"/>
            <w:shd w:val="clear" w:color="auto" w:fill="F5F5F5"/>
            <w:tcMar>
              <w:top w:w="80" w:type="dxa"/>
              <w:left w:w="100" w:type="dxa"/>
              <w:bottom w:w="80" w:type="dxa"/>
              <w:right w:w="100" w:type="dxa"/>
            </w:tcMar>
            <w:vAlign w:val="center"/>
          </w:tcPr>
          <w:p w14:paraId="3FF5DCB5" w14:textId="77777777" w:rsidR="003D748E" w:rsidRDefault="00DF2056">
            <w:r>
              <w:rPr>
                <w:color w:val="000000"/>
                <w:sz w:val="19"/>
                <w:szCs w:val="19"/>
              </w:rPr>
              <w:t>Control de convencionalidad</w:t>
            </w:r>
          </w:p>
        </w:tc>
        <w:tc>
          <w:tcPr>
            <w:tcW w:w="7200" w:type="dxa"/>
            <w:shd w:val="clear" w:color="auto" w:fill="F5F5F5"/>
            <w:tcMar>
              <w:top w:w="80" w:type="dxa"/>
              <w:left w:w="100" w:type="dxa"/>
              <w:bottom w:w="80" w:type="dxa"/>
              <w:right w:w="100" w:type="dxa"/>
            </w:tcMar>
            <w:vAlign w:val="center"/>
          </w:tcPr>
          <w:p w14:paraId="562530EA" w14:textId="77777777" w:rsidR="003D748E" w:rsidRDefault="00DF2056">
            <w:r>
              <w:rPr>
                <w:color w:val="000000"/>
                <w:sz w:val="19"/>
                <w:szCs w:val="19"/>
              </w:rPr>
              <w:t>Mecanismo mediante el cual los operadores jurídicos internos contrastan la normativa nacional con los estándares de los tratados internacionales de derechos humanos ratificados por el Estado.</w:t>
            </w:r>
          </w:p>
        </w:tc>
      </w:tr>
      <w:tr w:rsidR="003D748E" w14:paraId="5FE271BA" w14:textId="77777777">
        <w:tc>
          <w:tcPr>
            <w:tcW w:w="2600" w:type="dxa"/>
            <w:shd w:val="clear" w:color="auto" w:fill="FFFFFF"/>
            <w:tcMar>
              <w:top w:w="80" w:type="dxa"/>
              <w:left w:w="100" w:type="dxa"/>
              <w:bottom w:w="80" w:type="dxa"/>
              <w:right w:w="100" w:type="dxa"/>
            </w:tcMar>
            <w:vAlign w:val="center"/>
          </w:tcPr>
          <w:p w14:paraId="56AB2B31" w14:textId="77777777" w:rsidR="003D748E" w:rsidRDefault="00DF2056">
            <w:r>
              <w:rPr>
                <w:color w:val="000000"/>
                <w:sz w:val="19"/>
                <w:szCs w:val="19"/>
              </w:rPr>
              <w:t>Consentimiento informado</w:t>
            </w:r>
          </w:p>
        </w:tc>
        <w:tc>
          <w:tcPr>
            <w:tcW w:w="7200" w:type="dxa"/>
            <w:shd w:val="clear" w:color="auto" w:fill="FFFFFF"/>
            <w:tcMar>
              <w:top w:w="80" w:type="dxa"/>
              <w:left w:w="100" w:type="dxa"/>
              <w:bottom w:w="80" w:type="dxa"/>
              <w:right w:w="100" w:type="dxa"/>
            </w:tcMar>
            <w:vAlign w:val="center"/>
          </w:tcPr>
          <w:p w14:paraId="7BDAA5F2" w14:textId="77777777" w:rsidR="003D748E" w:rsidRDefault="00DF2056">
            <w:r>
              <w:rPr>
                <w:color w:val="000000"/>
                <w:sz w:val="19"/>
                <w:szCs w:val="19"/>
              </w:rPr>
              <w:t>Manifestación libre, voluntaria y suficientemente informada de la voluntad del paciente, presupuesto de licitud de toda intervención médica, cuyo desconocimiento genera responsabilidad jurídica autónoma.</w:t>
            </w:r>
          </w:p>
        </w:tc>
      </w:tr>
      <w:tr w:rsidR="003D748E" w14:paraId="585A59F0" w14:textId="77777777">
        <w:tc>
          <w:tcPr>
            <w:tcW w:w="2600" w:type="dxa"/>
            <w:shd w:val="clear" w:color="auto" w:fill="F5F5F5"/>
            <w:tcMar>
              <w:top w:w="80" w:type="dxa"/>
              <w:left w:w="100" w:type="dxa"/>
              <w:bottom w:w="80" w:type="dxa"/>
              <w:right w:w="100" w:type="dxa"/>
            </w:tcMar>
            <w:vAlign w:val="center"/>
          </w:tcPr>
          <w:p w14:paraId="14551B78" w14:textId="77777777" w:rsidR="003D748E" w:rsidRDefault="00DF2056">
            <w:r>
              <w:rPr>
                <w:color w:val="000000"/>
                <w:sz w:val="19"/>
                <w:szCs w:val="19"/>
              </w:rPr>
              <w:t>Obligación de debida diligencia</w:t>
            </w:r>
          </w:p>
        </w:tc>
        <w:tc>
          <w:tcPr>
            <w:tcW w:w="7200" w:type="dxa"/>
            <w:shd w:val="clear" w:color="auto" w:fill="F5F5F5"/>
            <w:tcMar>
              <w:top w:w="80" w:type="dxa"/>
              <w:left w:w="100" w:type="dxa"/>
              <w:bottom w:w="80" w:type="dxa"/>
              <w:right w:w="100" w:type="dxa"/>
            </w:tcMar>
            <w:vAlign w:val="center"/>
          </w:tcPr>
          <w:p w14:paraId="7F3BEA92" w14:textId="77777777" w:rsidR="003D748E" w:rsidRDefault="00DF2056">
            <w:r>
              <w:rPr>
                <w:color w:val="000000"/>
                <w:sz w:val="19"/>
                <w:szCs w:val="19"/>
              </w:rPr>
              <w:t>Estándar interamericano que exige al Estado prevenir, investigar, sancionar y reparar las violaciones de derechos humanos, incluidas las cometidas por agentes no estatales cuando el Estado incumple su deber de protección.</w:t>
            </w:r>
          </w:p>
        </w:tc>
      </w:tr>
    </w:tbl>
    <w:p w14:paraId="54B425B3" w14:textId="77777777" w:rsidR="003D748E" w:rsidRDefault="00DF2056">
      <w:pPr>
        <w:pStyle w:val="Ttulo2"/>
        <w:spacing w:before="300" w:after="150"/>
      </w:pPr>
      <w:r>
        <w:rPr>
          <w:b/>
          <w:bCs/>
          <w:color w:val="1F3864"/>
          <w:sz w:val="25"/>
          <w:szCs w:val="25"/>
        </w:rPr>
        <w:t>3. Tabla comparativa: instrumentos internacionales aplicables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100"/>
        <w:gridCol w:w="2100"/>
        <w:gridCol w:w="2600"/>
      </w:tblGrid>
      <w:tr w:rsidR="003D748E" w14:paraId="5D7E7002" w14:textId="77777777">
        <w:trPr>
          <w:tblHeader/>
        </w:trPr>
        <w:tc>
          <w:tcPr>
            <w:tcW w:w="2600" w:type="dxa"/>
            <w:shd w:val="clear" w:color="auto" w:fill="1F3864"/>
            <w:tcMar>
              <w:top w:w="80" w:type="dxa"/>
              <w:left w:w="100" w:type="dxa"/>
              <w:bottom w:w="80" w:type="dxa"/>
              <w:right w:w="100" w:type="dxa"/>
            </w:tcMar>
            <w:vAlign w:val="center"/>
          </w:tcPr>
          <w:p w14:paraId="61C0B3EF" w14:textId="77777777" w:rsidR="003D748E" w:rsidRDefault="00DF2056">
            <w:pPr>
              <w:jc w:val="center"/>
            </w:pPr>
            <w:r>
              <w:rPr>
                <w:b/>
                <w:bCs/>
                <w:color w:val="FFFFFF"/>
                <w:sz w:val="19"/>
                <w:szCs w:val="19"/>
              </w:rPr>
              <w:t>Instrumento</w:t>
            </w:r>
          </w:p>
        </w:tc>
        <w:tc>
          <w:tcPr>
            <w:tcW w:w="2100" w:type="dxa"/>
            <w:shd w:val="clear" w:color="auto" w:fill="1F3864"/>
            <w:tcMar>
              <w:top w:w="80" w:type="dxa"/>
              <w:left w:w="100" w:type="dxa"/>
              <w:bottom w:w="80" w:type="dxa"/>
              <w:right w:w="100" w:type="dxa"/>
            </w:tcMar>
            <w:vAlign w:val="center"/>
          </w:tcPr>
          <w:p w14:paraId="3C0C6FF8" w14:textId="77777777" w:rsidR="003D748E" w:rsidRDefault="00DF2056">
            <w:pPr>
              <w:jc w:val="center"/>
            </w:pPr>
            <w:r>
              <w:rPr>
                <w:b/>
                <w:bCs/>
                <w:color w:val="FFFFFF"/>
                <w:sz w:val="19"/>
                <w:szCs w:val="19"/>
              </w:rPr>
              <w:t>Naturaleza</w:t>
            </w:r>
          </w:p>
        </w:tc>
        <w:tc>
          <w:tcPr>
            <w:tcW w:w="2100" w:type="dxa"/>
            <w:shd w:val="clear" w:color="auto" w:fill="1F3864"/>
            <w:tcMar>
              <w:top w:w="80" w:type="dxa"/>
              <w:left w:w="100" w:type="dxa"/>
              <w:bottom w:w="80" w:type="dxa"/>
              <w:right w:w="100" w:type="dxa"/>
            </w:tcMar>
            <w:vAlign w:val="center"/>
          </w:tcPr>
          <w:p w14:paraId="03E4A357" w14:textId="77777777" w:rsidR="003D748E" w:rsidRDefault="00DF2056">
            <w:pPr>
              <w:jc w:val="center"/>
            </w:pPr>
            <w:r>
              <w:rPr>
                <w:b/>
                <w:bCs/>
                <w:color w:val="FFFFFF"/>
                <w:sz w:val="19"/>
                <w:szCs w:val="19"/>
              </w:rPr>
              <w:t>Órgano de control</w:t>
            </w:r>
          </w:p>
        </w:tc>
        <w:tc>
          <w:tcPr>
            <w:tcW w:w="2600" w:type="dxa"/>
            <w:shd w:val="clear" w:color="auto" w:fill="1F3864"/>
            <w:tcMar>
              <w:top w:w="80" w:type="dxa"/>
              <w:left w:w="100" w:type="dxa"/>
              <w:bottom w:w="80" w:type="dxa"/>
              <w:right w:w="100" w:type="dxa"/>
            </w:tcMar>
            <w:vAlign w:val="center"/>
          </w:tcPr>
          <w:p w14:paraId="5A2BC78A" w14:textId="77777777" w:rsidR="003D748E" w:rsidRDefault="00DF2056">
            <w:pPr>
              <w:jc w:val="center"/>
            </w:pPr>
            <w:r>
              <w:rPr>
                <w:b/>
                <w:bCs/>
                <w:color w:val="FFFFFF"/>
                <w:sz w:val="19"/>
                <w:szCs w:val="19"/>
              </w:rPr>
              <w:t>¿Cuba es parte / aplicable?</w:t>
            </w:r>
          </w:p>
        </w:tc>
      </w:tr>
      <w:tr w:rsidR="003D748E" w14:paraId="32E7BC67" w14:textId="77777777">
        <w:tc>
          <w:tcPr>
            <w:tcW w:w="2600" w:type="dxa"/>
            <w:shd w:val="clear" w:color="auto" w:fill="F5F5F5"/>
            <w:tcMar>
              <w:top w:w="80" w:type="dxa"/>
              <w:left w:w="100" w:type="dxa"/>
              <w:bottom w:w="80" w:type="dxa"/>
              <w:right w:w="100" w:type="dxa"/>
            </w:tcMar>
            <w:vAlign w:val="center"/>
          </w:tcPr>
          <w:p w14:paraId="6B95F3E3" w14:textId="77777777" w:rsidR="003D748E" w:rsidRDefault="00DF2056">
            <w:r>
              <w:rPr>
                <w:color w:val="000000"/>
                <w:sz w:val="19"/>
                <w:szCs w:val="19"/>
              </w:rPr>
              <w:t>CEDAW (1979)</w:t>
            </w:r>
          </w:p>
        </w:tc>
        <w:tc>
          <w:tcPr>
            <w:tcW w:w="2100" w:type="dxa"/>
            <w:shd w:val="clear" w:color="auto" w:fill="F5F5F5"/>
            <w:tcMar>
              <w:top w:w="80" w:type="dxa"/>
              <w:left w:w="100" w:type="dxa"/>
              <w:bottom w:w="80" w:type="dxa"/>
              <w:right w:w="100" w:type="dxa"/>
            </w:tcMar>
            <w:vAlign w:val="center"/>
          </w:tcPr>
          <w:p w14:paraId="4BE5FC85" w14:textId="77777777" w:rsidR="003D748E" w:rsidRDefault="00DF2056">
            <w:r>
              <w:rPr>
                <w:color w:val="000000"/>
                <w:sz w:val="19"/>
                <w:szCs w:val="19"/>
              </w:rPr>
              <w:t>Tratado vinculante</w:t>
            </w:r>
          </w:p>
        </w:tc>
        <w:tc>
          <w:tcPr>
            <w:tcW w:w="2100" w:type="dxa"/>
            <w:shd w:val="clear" w:color="auto" w:fill="F5F5F5"/>
            <w:tcMar>
              <w:top w:w="80" w:type="dxa"/>
              <w:left w:w="100" w:type="dxa"/>
              <w:bottom w:w="80" w:type="dxa"/>
              <w:right w:w="100" w:type="dxa"/>
            </w:tcMar>
            <w:vAlign w:val="center"/>
          </w:tcPr>
          <w:p w14:paraId="50ABA80F" w14:textId="77777777" w:rsidR="003D748E" w:rsidRDefault="00DF2056">
            <w:r>
              <w:rPr>
                <w:color w:val="000000"/>
                <w:sz w:val="19"/>
                <w:szCs w:val="19"/>
              </w:rPr>
              <w:t>Comité CEDAW</w:t>
            </w:r>
          </w:p>
        </w:tc>
        <w:tc>
          <w:tcPr>
            <w:tcW w:w="2600" w:type="dxa"/>
            <w:shd w:val="clear" w:color="auto" w:fill="F5F5F5"/>
            <w:tcMar>
              <w:top w:w="80" w:type="dxa"/>
              <w:left w:w="100" w:type="dxa"/>
              <w:bottom w:w="80" w:type="dxa"/>
              <w:right w:w="100" w:type="dxa"/>
            </w:tcMar>
            <w:vAlign w:val="center"/>
          </w:tcPr>
          <w:p w14:paraId="787DD0EF" w14:textId="77777777" w:rsidR="003D748E" w:rsidRDefault="00DF2056">
            <w:r>
              <w:rPr>
                <w:color w:val="000000"/>
                <w:sz w:val="19"/>
                <w:szCs w:val="19"/>
              </w:rPr>
              <w:t>Sí — ratificada por Cuba</w:t>
            </w:r>
          </w:p>
        </w:tc>
      </w:tr>
      <w:tr w:rsidR="003D748E" w14:paraId="1710742E" w14:textId="77777777">
        <w:tc>
          <w:tcPr>
            <w:tcW w:w="2600" w:type="dxa"/>
            <w:shd w:val="clear" w:color="auto" w:fill="FFFFFF"/>
            <w:tcMar>
              <w:top w:w="80" w:type="dxa"/>
              <w:left w:w="100" w:type="dxa"/>
              <w:bottom w:w="80" w:type="dxa"/>
              <w:right w:w="100" w:type="dxa"/>
            </w:tcMar>
            <w:vAlign w:val="center"/>
          </w:tcPr>
          <w:p w14:paraId="5CF165C2" w14:textId="77777777" w:rsidR="003D748E" w:rsidRDefault="00DF2056">
            <w:r>
              <w:rPr>
                <w:color w:val="000000"/>
                <w:sz w:val="19"/>
                <w:szCs w:val="19"/>
              </w:rPr>
              <w:t>Convención Belém do Pará (1994)</w:t>
            </w:r>
          </w:p>
        </w:tc>
        <w:tc>
          <w:tcPr>
            <w:tcW w:w="2100" w:type="dxa"/>
            <w:shd w:val="clear" w:color="auto" w:fill="FFFFFF"/>
            <w:tcMar>
              <w:top w:w="80" w:type="dxa"/>
              <w:left w:w="100" w:type="dxa"/>
              <w:bottom w:w="80" w:type="dxa"/>
              <w:right w:w="100" w:type="dxa"/>
            </w:tcMar>
            <w:vAlign w:val="center"/>
          </w:tcPr>
          <w:p w14:paraId="77F7840B" w14:textId="77777777" w:rsidR="003D748E" w:rsidRDefault="00DF2056">
            <w:r>
              <w:rPr>
                <w:color w:val="000000"/>
                <w:sz w:val="19"/>
                <w:szCs w:val="19"/>
              </w:rPr>
              <w:t>Tratado vinculante (sistema OEA)</w:t>
            </w:r>
          </w:p>
        </w:tc>
        <w:tc>
          <w:tcPr>
            <w:tcW w:w="2100" w:type="dxa"/>
            <w:shd w:val="clear" w:color="auto" w:fill="FFFFFF"/>
            <w:tcMar>
              <w:top w:w="80" w:type="dxa"/>
              <w:left w:w="100" w:type="dxa"/>
              <w:bottom w:w="80" w:type="dxa"/>
              <w:right w:w="100" w:type="dxa"/>
            </w:tcMar>
            <w:vAlign w:val="center"/>
          </w:tcPr>
          <w:p w14:paraId="2A26D065" w14:textId="77777777" w:rsidR="003D748E" w:rsidRDefault="00DF2056">
            <w:r>
              <w:rPr>
                <w:color w:val="000000"/>
                <w:sz w:val="19"/>
                <w:szCs w:val="19"/>
              </w:rPr>
              <w:t>Mecanismo de Seguimiento MESECVI</w:t>
            </w:r>
          </w:p>
        </w:tc>
        <w:tc>
          <w:tcPr>
            <w:tcW w:w="2600" w:type="dxa"/>
            <w:shd w:val="clear" w:color="auto" w:fill="FFFFFF"/>
            <w:tcMar>
              <w:top w:w="80" w:type="dxa"/>
              <w:left w:w="100" w:type="dxa"/>
              <w:bottom w:w="80" w:type="dxa"/>
              <w:right w:w="100" w:type="dxa"/>
            </w:tcMar>
            <w:vAlign w:val="center"/>
          </w:tcPr>
          <w:p w14:paraId="3A24C9E1" w14:textId="77777777" w:rsidR="003D748E" w:rsidRDefault="00DF2056">
            <w:r>
              <w:rPr>
                <w:color w:val="000000"/>
                <w:sz w:val="19"/>
                <w:szCs w:val="19"/>
              </w:rPr>
              <w:t>No — Cuba no es miembro de la OEA activo en este mecanismo</w:t>
            </w:r>
          </w:p>
        </w:tc>
      </w:tr>
      <w:tr w:rsidR="003D748E" w14:paraId="7BB29F35" w14:textId="77777777">
        <w:tc>
          <w:tcPr>
            <w:tcW w:w="2600" w:type="dxa"/>
            <w:shd w:val="clear" w:color="auto" w:fill="F5F5F5"/>
            <w:tcMar>
              <w:top w:w="80" w:type="dxa"/>
              <w:left w:w="100" w:type="dxa"/>
              <w:bottom w:w="80" w:type="dxa"/>
              <w:right w:w="100" w:type="dxa"/>
            </w:tcMar>
            <w:vAlign w:val="center"/>
          </w:tcPr>
          <w:p w14:paraId="232D9950" w14:textId="77777777" w:rsidR="003D748E" w:rsidRDefault="00DF2056">
            <w:r>
              <w:rPr>
                <w:color w:val="000000"/>
                <w:sz w:val="19"/>
                <w:szCs w:val="19"/>
              </w:rPr>
              <w:t>Convención Americana sobre DDHH</w:t>
            </w:r>
          </w:p>
        </w:tc>
        <w:tc>
          <w:tcPr>
            <w:tcW w:w="2100" w:type="dxa"/>
            <w:shd w:val="clear" w:color="auto" w:fill="F5F5F5"/>
            <w:tcMar>
              <w:top w:w="80" w:type="dxa"/>
              <w:left w:w="100" w:type="dxa"/>
              <w:bottom w:w="80" w:type="dxa"/>
              <w:right w:w="100" w:type="dxa"/>
            </w:tcMar>
            <w:vAlign w:val="center"/>
          </w:tcPr>
          <w:p w14:paraId="4423AA68" w14:textId="77777777" w:rsidR="003D748E" w:rsidRDefault="00DF2056">
            <w:r>
              <w:rPr>
                <w:color w:val="000000"/>
                <w:sz w:val="19"/>
                <w:szCs w:val="19"/>
              </w:rPr>
              <w:t>Tratado vinculante (sistema OEA)</w:t>
            </w:r>
          </w:p>
        </w:tc>
        <w:tc>
          <w:tcPr>
            <w:tcW w:w="2100" w:type="dxa"/>
            <w:shd w:val="clear" w:color="auto" w:fill="F5F5F5"/>
            <w:tcMar>
              <w:top w:w="80" w:type="dxa"/>
              <w:left w:w="100" w:type="dxa"/>
              <w:bottom w:w="80" w:type="dxa"/>
              <w:right w:w="100" w:type="dxa"/>
            </w:tcMar>
            <w:vAlign w:val="center"/>
          </w:tcPr>
          <w:p w14:paraId="2DA10EFE" w14:textId="77777777" w:rsidR="003D748E" w:rsidRDefault="00DF2056">
            <w:r>
              <w:rPr>
                <w:color w:val="000000"/>
                <w:sz w:val="19"/>
                <w:szCs w:val="19"/>
              </w:rPr>
              <w:t>Corte IDH / CIDH</w:t>
            </w:r>
          </w:p>
        </w:tc>
        <w:tc>
          <w:tcPr>
            <w:tcW w:w="2600" w:type="dxa"/>
            <w:shd w:val="clear" w:color="auto" w:fill="F5F5F5"/>
            <w:tcMar>
              <w:top w:w="80" w:type="dxa"/>
              <w:left w:w="100" w:type="dxa"/>
              <w:bottom w:w="80" w:type="dxa"/>
              <w:right w:w="100" w:type="dxa"/>
            </w:tcMar>
            <w:vAlign w:val="center"/>
          </w:tcPr>
          <w:p w14:paraId="2A6C51B9" w14:textId="77777777" w:rsidR="003D748E" w:rsidRDefault="00DF2056">
            <w:r>
              <w:rPr>
                <w:color w:val="000000"/>
                <w:sz w:val="19"/>
                <w:szCs w:val="19"/>
              </w:rPr>
              <w:t>No ratificada por Cuba; jurisprudencia con valor persuasivo, no vinculante directo</w:t>
            </w:r>
          </w:p>
        </w:tc>
      </w:tr>
      <w:tr w:rsidR="003D748E" w14:paraId="47E7B587" w14:textId="77777777">
        <w:tc>
          <w:tcPr>
            <w:tcW w:w="2600" w:type="dxa"/>
            <w:shd w:val="clear" w:color="auto" w:fill="FFFFFF"/>
            <w:tcMar>
              <w:top w:w="80" w:type="dxa"/>
              <w:left w:w="100" w:type="dxa"/>
              <w:bottom w:w="80" w:type="dxa"/>
              <w:right w:w="100" w:type="dxa"/>
            </w:tcMar>
            <w:vAlign w:val="center"/>
          </w:tcPr>
          <w:p w14:paraId="069EEE6F" w14:textId="77777777" w:rsidR="003D748E" w:rsidRDefault="00DF2056">
            <w:r>
              <w:rPr>
                <w:color w:val="000000"/>
                <w:sz w:val="19"/>
                <w:szCs w:val="19"/>
              </w:rPr>
              <w:t>Observación General 24, Comité CEDAW</w:t>
            </w:r>
          </w:p>
        </w:tc>
        <w:tc>
          <w:tcPr>
            <w:tcW w:w="2100" w:type="dxa"/>
            <w:shd w:val="clear" w:color="auto" w:fill="FFFFFF"/>
            <w:tcMar>
              <w:top w:w="80" w:type="dxa"/>
              <w:left w:w="100" w:type="dxa"/>
              <w:bottom w:w="80" w:type="dxa"/>
              <w:right w:w="100" w:type="dxa"/>
            </w:tcMar>
            <w:vAlign w:val="center"/>
          </w:tcPr>
          <w:p w14:paraId="355190A0" w14:textId="77777777" w:rsidR="003D748E" w:rsidRDefault="00DF2056">
            <w:proofErr w:type="spellStart"/>
            <w:r>
              <w:rPr>
                <w:color w:val="000000"/>
                <w:sz w:val="19"/>
                <w:szCs w:val="19"/>
              </w:rPr>
              <w:t>Soft</w:t>
            </w:r>
            <w:proofErr w:type="spellEnd"/>
            <w:r>
              <w:rPr>
                <w:color w:val="000000"/>
                <w:sz w:val="19"/>
                <w:szCs w:val="19"/>
              </w:rPr>
              <w:t xml:space="preserve"> </w:t>
            </w:r>
            <w:proofErr w:type="spellStart"/>
            <w:r>
              <w:rPr>
                <w:color w:val="000000"/>
                <w:sz w:val="19"/>
                <w:szCs w:val="19"/>
              </w:rPr>
              <w:t>law</w:t>
            </w:r>
            <w:proofErr w:type="spellEnd"/>
            <w:r>
              <w:rPr>
                <w:color w:val="000000"/>
                <w:sz w:val="19"/>
                <w:szCs w:val="19"/>
              </w:rPr>
              <w:t xml:space="preserve"> interpretativo</w:t>
            </w:r>
          </w:p>
        </w:tc>
        <w:tc>
          <w:tcPr>
            <w:tcW w:w="2100" w:type="dxa"/>
            <w:shd w:val="clear" w:color="auto" w:fill="FFFFFF"/>
            <w:tcMar>
              <w:top w:w="80" w:type="dxa"/>
              <w:left w:w="100" w:type="dxa"/>
              <w:bottom w:w="80" w:type="dxa"/>
              <w:right w:w="100" w:type="dxa"/>
            </w:tcMar>
            <w:vAlign w:val="center"/>
          </w:tcPr>
          <w:p w14:paraId="2CB233FB" w14:textId="77777777" w:rsidR="003D748E" w:rsidRDefault="00DF2056">
            <w:r>
              <w:rPr>
                <w:color w:val="000000"/>
                <w:sz w:val="19"/>
                <w:szCs w:val="19"/>
              </w:rPr>
              <w:t>Comité CEDAW</w:t>
            </w:r>
          </w:p>
        </w:tc>
        <w:tc>
          <w:tcPr>
            <w:tcW w:w="2600" w:type="dxa"/>
            <w:shd w:val="clear" w:color="auto" w:fill="FFFFFF"/>
            <w:tcMar>
              <w:top w:w="80" w:type="dxa"/>
              <w:left w:w="100" w:type="dxa"/>
              <w:bottom w:w="80" w:type="dxa"/>
              <w:right w:w="100" w:type="dxa"/>
            </w:tcMar>
            <w:vAlign w:val="center"/>
          </w:tcPr>
          <w:p w14:paraId="71AE8B55" w14:textId="77777777" w:rsidR="003D748E" w:rsidRDefault="00DF2056">
            <w:r>
              <w:rPr>
                <w:color w:val="000000"/>
                <w:sz w:val="19"/>
                <w:szCs w:val="19"/>
              </w:rPr>
              <w:t>Aplicable por remisión a CEDAW</w:t>
            </w:r>
          </w:p>
        </w:tc>
      </w:tr>
      <w:tr w:rsidR="003D748E" w14:paraId="7EC6B0C5" w14:textId="77777777">
        <w:tc>
          <w:tcPr>
            <w:tcW w:w="2600" w:type="dxa"/>
            <w:shd w:val="clear" w:color="auto" w:fill="F5F5F5"/>
            <w:tcMar>
              <w:top w:w="80" w:type="dxa"/>
              <w:left w:w="100" w:type="dxa"/>
              <w:bottom w:w="80" w:type="dxa"/>
              <w:right w:w="100" w:type="dxa"/>
            </w:tcMar>
            <w:vAlign w:val="center"/>
          </w:tcPr>
          <w:p w14:paraId="12ACAEFF" w14:textId="77777777" w:rsidR="003D748E" w:rsidRDefault="00DF2056">
            <w:r>
              <w:rPr>
                <w:color w:val="000000"/>
                <w:sz w:val="19"/>
                <w:szCs w:val="19"/>
              </w:rPr>
              <w:t>Declaración OMS (2014)</w:t>
            </w:r>
          </w:p>
        </w:tc>
        <w:tc>
          <w:tcPr>
            <w:tcW w:w="2100" w:type="dxa"/>
            <w:shd w:val="clear" w:color="auto" w:fill="F5F5F5"/>
            <w:tcMar>
              <w:top w:w="80" w:type="dxa"/>
              <w:left w:w="100" w:type="dxa"/>
              <w:bottom w:w="80" w:type="dxa"/>
              <w:right w:w="100" w:type="dxa"/>
            </w:tcMar>
            <w:vAlign w:val="center"/>
          </w:tcPr>
          <w:p w14:paraId="1D7C946C" w14:textId="77777777" w:rsidR="003D748E" w:rsidRDefault="00DF2056">
            <w:proofErr w:type="spellStart"/>
            <w:r>
              <w:rPr>
                <w:color w:val="000000"/>
                <w:sz w:val="19"/>
                <w:szCs w:val="19"/>
              </w:rPr>
              <w:t>Soft</w:t>
            </w:r>
            <w:proofErr w:type="spellEnd"/>
            <w:r>
              <w:rPr>
                <w:color w:val="000000"/>
                <w:sz w:val="19"/>
                <w:szCs w:val="19"/>
              </w:rPr>
              <w:t xml:space="preserve"> </w:t>
            </w:r>
            <w:proofErr w:type="spellStart"/>
            <w:r>
              <w:rPr>
                <w:color w:val="000000"/>
                <w:sz w:val="19"/>
                <w:szCs w:val="19"/>
              </w:rPr>
              <w:t>law</w:t>
            </w:r>
            <w:proofErr w:type="spellEnd"/>
            <w:r>
              <w:rPr>
                <w:color w:val="000000"/>
                <w:sz w:val="19"/>
                <w:szCs w:val="19"/>
              </w:rPr>
              <w:t xml:space="preserve"> técnico</w:t>
            </w:r>
          </w:p>
        </w:tc>
        <w:tc>
          <w:tcPr>
            <w:tcW w:w="2100" w:type="dxa"/>
            <w:shd w:val="clear" w:color="auto" w:fill="F5F5F5"/>
            <w:tcMar>
              <w:top w:w="80" w:type="dxa"/>
              <w:left w:w="100" w:type="dxa"/>
              <w:bottom w:w="80" w:type="dxa"/>
              <w:right w:w="100" w:type="dxa"/>
            </w:tcMar>
            <w:vAlign w:val="center"/>
          </w:tcPr>
          <w:p w14:paraId="6B31D90E" w14:textId="77777777" w:rsidR="003D748E" w:rsidRDefault="00DF2056">
            <w:r>
              <w:rPr>
                <w:color w:val="000000"/>
                <w:sz w:val="19"/>
                <w:szCs w:val="19"/>
              </w:rPr>
              <w:t>OMS</w:t>
            </w:r>
          </w:p>
        </w:tc>
        <w:tc>
          <w:tcPr>
            <w:tcW w:w="2600" w:type="dxa"/>
            <w:shd w:val="clear" w:color="auto" w:fill="F5F5F5"/>
            <w:tcMar>
              <w:top w:w="80" w:type="dxa"/>
              <w:left w:w="100" w:type="dxa"/>
              <w:bottom w:w="80" w:type="dxa"/>
              <w:right w:w="100" w:type="dxa"/>
            </w:tcMar>
            <w:vAlign w:val="center"/>
          </w:tcPr>
          <w:p w14:paraId="6B99A557" w14:textId="77777777" w:rsidR="003D748E" w:rsidRDefault="00DF2056">
            <w:r>
              <w:rPr>
                <w:color w:val="000000"/>
                <w:sz w:val="19"/>
                <w:szCs w:val="19"/>
              </w:rPr>
              <w:t>Aplicable como estándar técnico-interpretativo</w:t>
            </w:r>
          </w:p>
        </w:tc>
      </w:tr>
    </w:tbl>
    <w:p w14:paraId="553D6983" w14:textId="77777777" w:rsidR="003D748E" w:rsidRDefault="00DF2056">
      <w:pPr>
        <w:pStyle w:val="Ttulo2"/>
        <w:spacing w:before="300" w:after="150"/>
      </w:pPr>
      <w:r>
        <w:rPr>
          <w:b/>
          <w:bCs/>
          <w:color w:val="1F3864"/>
          <w:sz w:val="25"/>
          <w:szCs w:val="25"/>
        </w:rPr>
        <w:t>4. Actividades de aprendizaje</w:t>
      </w:r>
    </w:p>
    <w:p w14:paraId="49B6CD26" w14:textId="77777777" w:rsidR="003D748E" w:rsidRDefault="00DF2056">
      <w:pPr>
        <w:pStyle w:val="Ttulo3"/>
        <w:spacing w:before="200" w:after="100"/>
      </w:pPr>
      <w:r>
        <w:rPr>
          <w:b/>
          <w:bCs/>
          <w:i/>
          <w:iCs/>
          <w:color w:val="8B6F1F"/>
          <w:sz w:val="22"/>
          <w:szCs w:val="22"/>
        </w:rPr>
        <w:t>Comprensión</w:t>
      </w:r>
    </w:p>
    <w:p w14:paraId="43C1A994" w14:textId="77777777" w:rsidR="003D748E" w:rsidRDefault="00DF2056">
      <w:pPr>
        <w:pStyle w:val="Prrafodelista"/>
        <w:numPr>
          <w:ilvl w:val="0"/>
          <w:numId w:val="2"/>
        </w:numPr>
        <w:spacing w:after="100"/>
      </w:pPr>
      <w:r>
        <w:rPr>
          <w:szCs w:val="21"/>
        </w:rPr>
        <w:t>Elabore una ficha técnica del caso I.V. vs. Bolivia identificando: hechos, derechos vulnerados, estándar fijado por la Corte IDH.</w:t>
      </w:r>
    </w:p>
    <w:p w14:paraId="7CB89581" w14:textId="77777777" w:rsidR="003D748E" w:rsidRDefault="003D748E">
      <w:pPr>
        <w:pStyle w:val="Ttulo3"/>
        <w:spacing w:before="200" w:after="100"/>
        <w:rPr>
          <w:b/>
          <w:bCs/>
          <w:i/>
          <w:iCs/>
          <w:color w:val="8B6F1F"/>
          <w:sz w:val="22"/>
          <w:szCs w:val="22"/>
        </w:rPr>
      </w:pPr>
    </w:p>
    <w:p w14:paraId="39419D27" w14:textId="77777777" w:rsidR="003D748E" w:rsidRDefault="00DF2056">
      <w:pPr>
        <w:pStyle w:val="Ttulo3"/>
        <w:spacing w:before="200" w:after="100"/>
      </w:pPr>
      <w:r>
        <w:rPr>
          <w:b/>
          <w:bCs/>
          <w:i/>
          <w:iCs/>
          <w:color w:val="8B6F1F"/>
          <w:sz w:val="22"/>
          <w:szCs w:val="22"/>
        </w:rPr>
        <w:lastRenderedPageBreak/>
        <w:t>Aplicación</w:t>
      </w:r>
    </w:p>
    <w:p w14:paraId="3228A61F" w14:textId="77777777" w:rsidR="003D748E" w:rsidRDefault="00DF2056">
      <w:pPr>
        <w:pStyle w:val="Prrafodelista"/>
        <w:numPr>
          <w:ilvl w:val="0"/>
          <w:numId w:val="2"/>
        </w:numPr>
        <w:spacing w:after="100"/>
      </w:pPr>
      <w:r>
        <w:rPr>
          <w:szCs w:val="21"/>
        </w:rPr>
        <w:t>Redacte un dictamen breve (máximo dos cuartillas) sobre el valor jurídico que, en el ordenamiento cubano, puede atribuirse a la jurisprudencia de la Corte IDH en un caso de violencia obstétrica, dado que Cuba no ha ratificado la Convención Americana.</w:t>
      </w:r>
    </w:p>
    <w:p w14:paraId="25A37636" w14:textId="77777777" w:rsidR="003D748E" w:rsidRDefault="00DF2056">
      <w:pPr>
        <w:pStyle w:val="Ttulo3"/>
        <w:spacing w:before="200" w:after="100"/>
      </w:pPr>
      <w:r>
        <w:rPr>
          <w:b/>
          <w:bCs/>
          <w:i/>
          <w:iCs/>
          <w:color w:val="8B6F1F"/>
          <w:sz w:val="22"/>
          <w:szCs w:val="22"/>
        </w:rPr>
        <w:t>Valoración crítica</w:t>
      </w:r>
    </w:p>
    <w:p w14:paraId="623D5322" w14:textId="77777777" w:rsidR="003D748E" w:rsidRDefault="00DF2056">
      <w:pPr>
        <w:pStyle w:val="Prrafodelista"/>
        <w:numPr>
          <w:ilvl w:val="0"/>
          <w:numId w:val="2"/>
        </w:numPr>
        <w:spacing w:after="100"/>
      </w:pPr>
      <w:r>
        <w:rPr>
          <w:szCs w:val="21"/>
        </w:rPr>
        <w:t>Debata en seminario: ¿resulta jurídicamente sostenible invocar el artículo 8 constitucional para fundamentar en Cuba pretensiones derivadas de la violencia obstétrica exclusivamente a partir de la CEDAW, sin mediación del Sistema Interamericano? Identifique fortalezas y debilidades de esa estrategia argumentativa.</w:t>
      </w:r>
    </w:p>
    <w:p w14:paraId="26F282B4" w14:textId="77777777" w:rsidR="003D748E" w:rsidRDefault="00DF2056">
      <w:pPr>
        <w:pStyle w:val="Ttulo2"/>
        <w:spacing w:before="300" w:after="150"/>
      </w:pPr>
      <w:r>
        <w:rPr>
          <w:b/>
          <w:bCs/>
          <w:color w:val="1F3864"/>
          <w:sz w:val="25"/>
          <w:szCs w:val="25"/>
        </w:rPr>
        <w:t>5. Preguntas de autoevaluación</w:t>
      </w:r>
    </w:p>
    <w:p w14:paraId="045DFB0B" w14:textId="77777777" w:rsidR="003D748E" w:rsidRDefault="00DF2056">
      <w:pPr>
        <w:pStyle w:val="Prrafodelista"/>
        <w:numPr>
          <w:ilvl w:val="0"/>
          <w:numId w:val="1"/>
        </w:numPr>
        <w:spacing w:after="100"/>
      </w:pPr>
      <w:r>
        <w:rPr>
          <w:szCs w:val="21"/>
        </w:rPr>
        <w:t>¿Qué establece el artículo 8 de la Constitución cubana de 2019 respecto a los tratados internacionales de derechos humanos?</w:t>
      </w:r>
    </w:p>
    <w:p w14:paraId="03B5EE29" w14:textId="77777777" w:rsidR="003D748E" w:rsidRDefault="00DF2056">
      <w:pPr>
        <w:pStyle w:val="Prrafodelista"/>
        <w:numPr>
          <w:ilvl w:val="0"/>
          <w:numId w:val="1"/>
        </w:numPr>
        <w:spacing w:after="100"/>
      </w:pPr>
      <w:r>
        <w:rPr>
          <w:szCs w:val="21"/>
        </w:rPr>
        <w:t>¿Por qué la jurisprudencia de la Corte IDH no vincula directamente al Estado cubano?</w:t>
      </w:r>
    </w:p>
    <w:p w14:paraId="763F4D09" w14:textId="5DDF65C5" w:rsidR="003D748E" w:rsidRDefault="00DF2056" w:rsidP="00BE58B7">
      <w:pPr>
        <w:pStyle w:val="Prrafodelista"/>
        <w:numPr>
          <w:ilvl w:val="0"/>
          <w:numId w:val="1"/>
        </w:numPr>
        <w:spacing w:after="100"/>
      </w:pPr>
      <w:r>
        <w:rPr>
          <w:szCs w:val="21"/>
        </w:rPr>
        <w:t xml:space="preserve">Explique la diferencia entre un tratado vinculante y un instrumento de </w:t>
      </w:r>
      <w:proofErr w:type="spellStart"/>
      <w:r>
        <w:rPr>
          <w:szCs w:val="21"/>
        </w:rPr>
        <w:t>soft</w:t>
      </w:r>
      <w:proofErr w:type="spellEnd"/>
      <w:r>
        <w:rPr>
          <w:szCs w:val="21"/>
        </w:rPr>
        <w:t xml:space="preserve"> </w:t>
      </w:r>
      <w:proofErr w:type="spellStart"/>
      <w:r>
        <w:rPr>
          <w:szCs w:val="21"/>
        </w:rPr>
        <w:t>law</w:t>
      </w:r>
      <w:proofErr w:type="spellEnd"/>
      <w:r>
        <w:rPr>
          <w:szCs w:val="21"/>
        </w:rPr>
        <w:t>, con un ejemplo de cada uno estudiado en este tema.</w:t>
      </w:r>
      <w:bookmarkStart w:id="0" w:name="_GoBack"/>
      <w:bookmarkEnd w:id="0"/>
    </w:p>
    <w:sectPr w:rsidR="003D748E">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208E"/>
    <w:multiLevelType w:val="singleLevel"/>
    <w:tmpl w:val="0053208E"/>
    <w:lvl w:ilvl="0">
      <w:start w:val="1"/>
      <w:numFmt w:val="bullet"/>
      <w:lvlText w:val="•"/>
      <w:lvlJc w:val="left"/>
      <w:pPr>
        <w:ind w:left="460" w:hanging="260"/>
      </w:pPr>
    </w:lvl>
  </w:abstractNum>
  <w:abstractNum w:abstractNumId="1">
    <w:nsid w:val="59ADCABA"/>
    <w:multiLevelType w:val="singleLevel"/>
    <w:tmpl w:val="59ADCABA"/>
    <w:lvl w:ilvl="0">
      <w:start w:val="1"/>
      <w:numFmt w:val="decimal"/>
      <w:lvlText w:val="%1."/>
      <w:lvlJc w:val="left"/>
      <w:pPr>
        <w:ind w:left="460" w:hanging="2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48E"/>
    <w:rsid w:val="003D748E"/>
    <w:rsid w:val="007C3556"/>
    <w:rsid w:val="00BE58B7"/>
    <w:rsid w:val="00DF2056"/>
    <w:rsid w:val="07092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4A4C00-4F46-4D96-BFE2-EE864000A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s-US" w:eastAsia="es-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lsdException w:name="caption" w:semiHidden="1" w:unhideWhenUsed="1" w:qFormat="1"/>
    <w:lsdException w:name="footnote reference" w:semiHidden="1" w:uiPriority="99" w:unhideWhenUsed="1"/>
    <w:lsdException w:name="endnote reference" w:semiHidden="1" w:uiPriority="99" w:unhideWhenUsed="1" w:qFormat="1"/>
    <w:lsdException w:name="endnote text" w:semiHidden="1" w:uiPriority="99" w:unhideWhenUsed="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1"/>
      <w:szCs w:val="22"/>
    </w:rPr>
  </w:style>
  <w:style w:type="paragraph" w:styleId="Ttulo1">
    <w:name w:val="heading 1"/>
    <w:next w:val="Normal"/>
    <w:qFormat/>
    <w:pPr>
      <w:outlineLvl w:val="0"/>
    </w:pPr>
    <w:rPr>
      <w:color w:val="2E74B5"/>
      <w:sz w:val="32"/>
      <w:szCs w:val="32"/>
    </w:rPr>
  </w:style>
  <w:style w:type="paragraph" w:styleId="Ttulo2">
    <w:name w:val="heading 2"/>
    <w:next w:val="Normal"/>
    <w:qFormat/>
    <w:pPr>
      <w:outlineLvl w:val="1"/>
    </w:pPr>
    <w:rPr>
      <w:color w:val="2E74B5"/>
      <w:sz w:val="26"/>
      <w:szCs w:val="26"/>
    </w:rPr>
  </w:style>
  <w:style w:type="paragraph" w:styleId="Ttulo3">
    <w:name w:val="heading 3"/>
    <w:next w:val="Normal"/>
    <w:qFormat/>
    <w:pPr>
      <w:outlineLvl w:val="2"/>
    </w:pPr>
    <w:rPr>
      <w:color w:val="1F4D78"/>
      <w:sz w:val="24"/>
      <w:szCs w:val="24"/>
    </w:rPr>
  </w:style>
  <w:style w:type="paragraph" w:styleId="Ttulo4">
    <w:name w:val="heading 4"/>
    <w:next w:val="Normal"/>
    <w:qFormat/>
    <w:pPr>
      <w:outlineLvl w:val="3"/>
    </w:pPr>
    <w:rPr>
      <w:i/>
      <w:iCs/>
      <w:color w:val="2E74B5"/>
      <w:sz w:val="21"/>
      <w:szCs w:val="22"/>
    </w:rPr>
  </w:style>
  <w:style w:type="paragraph" w:styleId="Ttulo5">
    <w:name w:val="heading 5"/>
    <w:next w:val="Normal"/>
    <w:qFormat/>
    <w:pPr>
      <w:outlineLvl w:val="4"/>
    </w:pPr>
    <w:rPr>
      <w:color w:val="2E74B5"/>
      <w:sz w:val="21"/>
      <w:szCs w:val="22"/>
    </w:rPr>
  </w:style>
  <w:style w:type="paragraph" w:styleId="Ttulo6">
    <w:name w:val="heading 6"/>
    <w:next w:val="Normal"/>
    <w:qFormat/>
    <w:pPr>
      <w:outlineLvl w:val="5"/>
    </w:pPr>
    <w:rPr>
      <w:color w:val="1F4D78"/>
      <w:sz w:val="21"/>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final">
    <w:name w:val="endnote reference"/>
    <w:uiPriority w:val="99"/>
    <w:semiHidden/>
    <w:unhideWhenUsed/>
    <w:qFormat/>
    <w:rPr>
      <w:vertAlign w:val="superscript"/>
    </w:rPr>
  </w:style>
  <w:style w:type="character" w:styleId="Refdenotaalpie">
    <w:name w:val="footnote reference"/>
    <w:uiPriority w:val="99"/>
    <w:semiHidden/>
    <w:unhideWhenUsed/>
    <w:rPr>
      <w:vertAlign w:val="superscript"/>
    </w:rPr>
  </w:style>
  <w:style w:type="character" w:styleId="Hipervnculo">
    <w:name w:val="Hyperlink"/>
    <w:uiPriority w:val="99"/>
    <w:unhideWhenUsed/>
    <w:rPr>
      <w:color w:val="0563C1"/>
      <w:u w:val="single"/>
    </w:rPr>
  </w:style>
  <w:style w:type="paragraph" w:styleId="Textonotapie">
    <w:name w:val="footnote text"/>
    <w:link w:val="TextonotapieCar"/>
    <w:uiPriority w:val="99"/>
    <w:semiHidden/>
    <w:unhideWhenUsed/>
  </w:style>
  <w:style w:type="paragraph" w:styleId="Textonotaalfinal">
    <w:name w:val="endnote text"/>
    <w:link w:val="TextonotaalfinalCar"/>
    <w:uiPriority w:val="99"/>
    <w:semiHidden/>
    <w:unhideWhenUsed/>
  </w:style>
  <w:style w:type="paragraph" w:styleId="Puesto">
    <w:name w:val="Title"/>
    <w:qFormat/>
    <w:rPr>
      <w:sz w:val="56"/>
      <w:szCs w:val="56"/>
    </w:rPr>
  </w:style>
  <w:style w:type="paragraph" w:styleId="Prrafodelista">
    <w:name w:val="List Paragraph"/>
    <w:qFormat/>
    <w:rPr>
      <w:sz w:val="21"/>
      <w:szCs w:val="22"/>
    </w:rPr>
  </w:style>
  <w:style w:type="character" w:customStyle="1" w:styleId="TextonotapieCar">
    <w:name w:val="Texto nota pie Car"/>
    <w:link w:val="Textonotapie"/>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964</Words>
  <Characters>5308</Characters>
  <Application>Microsoft Office Word</Application>
  <DocSecurity>0</DocSecurity>
  <Lines>44</Lines>
  <Paragraphs>12</Paragraphs>
  <ScaleCrop>false</ScaleCrop>
  <Company/>
  <LinksUpToDate>false</LinksUpToDate>
  <CharactersWithSpaces>6260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casa</cp:lastModifiedBy>
  <cp:revision>4</cp:revision>
  <dcterms:created xsi:type="dcterms:W3CDTF">2026-09-27T17:21:00Z</dcterms:created>
  <dcterms:modified xsi:type="dcterms:W3CDTF">2026-09-29T13:16:00Z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eyJoZGlkIjoiOWM2OTU4YzAxYzI2ZTBkOWNkMjk0MmVhYTk0ODY5MDUiLCJ1c2VySWQiOiIxNjY2NzUwOTI2NzE5In0=</vt:lpwstr>
  </property>
  <property fmtid="{D5CDD505-2E9C-101B-9397-08002B2CF9AE}" pid="3" name="KSOProductBuildVer">
    <vt:lpwstr>3082-12.1.0.25862</vt:lpwstr>
  </property>
  <property fmtid="{D5CDD505-2E9C-101B-9397-08002B2CF9AE}" pid="4" name="ICV">
    <vt:lpwstr>21436B96DE134AC6A795E109885B9767_13</vt:lpwstr>
  </property>
</Properties>
</file>