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EB3D1E" w14:textId="77777777" w:rsidR="003D748E" w:rsidRDefault="00DF2056">
      <w:pPr>
        <w:pStyle w:val="Ttulo1"/>
        <w:pBdr>
          <w:bottom w:val="single" w:sz="8" w:space="4" w:color="1F3864"/>
        </w:pBdr>
        <w:spacing w:before="400" w:after="200"/>
      </w:pPr>
      <w:r>
        <w:rPr>
          <w:b/>
          <w:bCs/>
          <w:color w:val="1F3864"/>
          <w:sz w:val="30"/>
          <w:szCs w:val="30"/>
        </w:rPr>
        <w:t>TEMA III. MARCO JURÍDICO NACIONAL CUBANO: CONSTITUCIÓN, CÓDIGO DE LAS FAMILIAS Y SALUD PÚBLICA</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800"/>
      </w:tblGrid>
      <w:tr w:rsidR="003D748E" w14:paraId="002D6B86" w14:textId="77777777">
        <w:trPr>
          <w:tblHeader/>
        </w:trPr>
        <w:tc>
          <w:tcPr>
            <w:tcW w:w="3000" w:type="dxa"/>
            <w:shd w:val="clear" w:color="auto" w:fill="1F3864"/>
            <w:tcMar>
              <w:top w:w="80" w:type="dxa"/>
              <w:left w:w="100" w:type="dxa"/>
              <w:bottom w:w="80" w:type="dxa"/>
              <w:right w:w="100" w:type="dxa"/>
            </w:tcMar>
            <w:vAlign w:val="center"/>
          </w:tcPr>
          <w:p w14:paraId="07060957" w14:textId="77777777" w:rsidR="003D748E" w:rsidRDefault="00DF2056">
            <w:pPr>
              <w:jc w:val="center"/>
            </w:pPr>
            <w:r>
              <w:rPr>
                <w:b/>
                <w:bCs/>
                <w:color w:val="FFFFFF"/>
                <w:sz w:val="19"/>
                <w:szCs w:val="19"/>
              </w:rPr>
              <w:t>Ficha del tema</w:t>
            </w:r>
          </w:p>
        </w:tc>
        <w:tc>
          <w:tcPr>
            <w:tcW w:w="6800" w:type="dxa"/>
            <w:shd w:val="clear" w:color="auto" w:fill="1F3864"/>
            <w:tcMar>
              <w:top w:w="80" w:type="dxa"/>
              <w:left w:w="100" w:type="dxa"/>
              <w:bottom w:w="80" w:type="dxa"/>
              <w:right w:w="100" w:type="dxa"/>
            </w:tcMar>
            <w:vAlign w:val="center"/>
          </w:tcPr>
          <w:p w14:paraId="1A6CF990" w14:textId="77777777" w:rsidR="003D748E" w:rsidRDefault="003D748E">
            <w:pPr>
              <w:jc w:val="center"/>
            </w:pPr>
          </w:p>
        </w:tc>
      </w:tr>
      <w:tr w:rsidR="003D748E" w14:paraId="606691E5" w14:textId="77777777">
        <w:tc>
          <w:tcPr>
            <w:tcW w:w="3000" w:type="dxa"/>
            <w:shd w:val="clear" w:color="auto" w:fill="F5F5F5"/>
            <w:tcMar>
              <w:top w:w="80" w:type="dxa"/>
              <w:left w:w="100" w:type="dxa"/>
              <w:bottom w:w="80" w:type="dxa"/>
              <w:right w:w="100" w:type="dxa"/>
            </w:tcMar>
            <w:vAlign w:val="center"/>
          </w:tcPr>
          <w:p w14:paraId="267856F2" w14:textId="77777777" w:rsidR="003D748E" w:rsidRDefault="00DF2056">
            <w:r>
              <w:rPr>
                <w:color w:val="000000"/>
                <w:sz w:val="19"/>
                <w:szCs w:val="19"/>
              </w:rPr>
              <w:t>Horas clase</w:t>
            </w:r>
          </w:p>
        </w:tc>
        <w:tc>
          <w:tcPr>
            <w:tcW w:w="6800" w:type="dxa"/>
            <w:shd w:val="clear" w:color="auto" w:fill="F5F5F5"/>
            <w:tcMar>
              <w:top w:w="80" w:type="dxa"/>
              <w:left w:w="100" w:type="dxa"/>
              <w:bottom w:w="80" w:type="dxa"/>
              <w:right w:w="100" w:type="dxa"/>
            </w:tcMar>
            <w:vAlign w:val="center"/>
          </w:tcPr>
          <w:p w14:paraId="7822B50C" w14:textId="77777777" w:rsidR="003D748E" w:rsidRDefault="00DF2056">
            <w:r>
              <w:rPr>
                <w:color w:val="000000"/>
                <w:sz w:val="19"/>
                <w:szCs w:val="19"/>
              </w:rPr>
              <w:t>10</w:t>
            </w:r>
          </w:p>
        </w:tc>
      </w:tr>
      <w:tr w:rsidR="003D748E" w14:paraId="0D353FF5" w14:textId="77777777">
        <w:tc>
          <w:tcPr>
            <w:tcW w:w="3000" w:type="dxa"/>
            <w:shd w:val="clear" w:color="auto" w:fill="FFFFFF"/>
            <w:tcMar>
              <w:top w:w="80" w:type="dxa"/>
              <w:left w:w="100" w:type="dxa"/>
              <w:bottom w:w="80" w:type="dxa"/>
              <w:right w:w="100" w:type="dxa"/>
            </w:tcMar>
            <w:vAlign w:val="center"/>
          </w:tcPr>
          <w:p w14:paraId="461AF74C" w14:textId="77777777" w:rsidR="003D748E" w:rsidRDefault="00DF2056">
            <w:r>
              <w:rPr>
                <w:color w:val="000000"/>
                <w:sz w:val="19"/>
                <w:szCs w:val="19"/>
              </w:rPr>
              <w:t>Objetivo general del tema</w:t>
            </w:r>
          </w:p>
        </w:tc>
        <w:tc>
          <w:tcPr>
            <w:tcW w:w="6800" w:type="dxa"/>
            <w:shd w:val="clear" w:color="auto" w:fill="FFFFFF"/>
            <w:tcMar>
              <w:top w:w="80" w:type="dxa"/>
              <w:left w:w="100" w:type="dxa"/>
              <w:bottom w:w="80" w:type="dxa"/>
              <w:right w:w="100" w:type="dxa"/>
            </w:tcMar>
            <w:vAlign w:val="center"/>
          </w:tcPr>
          <w:p w14:paraId="10314C42" w14:textId="77777777" w:rsidR="003D748E" w:rsidRDefault="00DF2056">
            <w:r>
              <w:rPr>
                <w:color w:val="000000"/>
                <w:sz w:val="19"/>
                <w:szCs w:val="19"/>
              </w:rPr>
              <w:t>Determinar el alcance y los vacíos del ordenamiento jurídico cubano vigente respecto a la protección frente a la violencia obstétrica.</w:t>
            </w:r>
          </w:p>
        </w:tc>
      </w:tr>
    </w:tbl>
    <w:p w14:paraId="585FB038" w14:textId="77777777" w:rsidR="003D748E" w:rsidRDefault="003D748E">
      <w:pPr>
        <w:spacing w:after="120"/>
      </w:pPr>
    </w:p>
    <w:p w14:paraId="0CE4363C" w14:textId="77777777" w:rsidR="003D748E" w:rsidRDefault="00DF2056">
      <w:pPr>
        <w:pStyle w:val="Ttulo3"/>
        <w:spacing w:before="200" w:after="100"/>
      </w:pPr>
      <w:r>
        <w:rPr>
          <w:b/>
          <w:bCs/>
          <w:i/>
          <w:iCs/>
          <w:color w:val="8B6F1F"/>
          <w:sz w:val="22"/>
          <w:szCs w:val="22"/>
        </w:rPr>
        <w:t>Objetivos específicos del tema</w:t>
      </w:r>
    </w:p>
    <w:p w14:paraId="3918487D" w14:textId="77777777" w:rsidR="003D748E" w:rsidRDefault="00DF2056">
      <w:pPr>
        <w:pStyle w:val="Prrafodelista"/>
        <w:numPr>
          <w:ilvl w:val="0"/>
          <w:numId w:val="1"/>
        </w:numPr>
        <w:spacing w:after="100"/>
      </w:pPr>
      <w:r>
        <w:rPr>
          <w:szCs w:val="21"/>
        </w:rPr>
        <w:t>Analizar el fundamento constitucional de los derechos sexuales y reproductivos en Cuba.</w:t>
      </w:r>
    </w:p>
    <w:p w14:paraId="5B821B7A" w14:textId="77777777" w:rsidR="003D748E" w:rsidRDefault="00DF2056">
      <w:pPr>
        <w:pStyle w:val="Prrafodelista"/>
        <w:numPr>
          <w:ilvl w:val="0"/>
          <w:numId w:val="1"/>
        </w:numPr>
        <w:spacing w:after="100"/>
      </w:pPr>
      <w:r>
        <w:rPr>
          <w:szCs w:val="21"/>
        </w:rPr>
        <w:t>Examinar la Ley No. 156/2022 (Código de las Familias) en lo relativo a autonomía reproductiva y dignidad.</w:t>
      </w:r>
    </w:p>
    <w:p w14:paraId="1DB2A004" w14:textId="77777777" w:rsidR="003D748E" w:rsidRDefault="00DF2056">
      <w:pPr>
        <w:pStyle w:val="Prrafodelista"/>
        <w:numPr>
          <w:ilvl w:val="0"/>
          <w:numId w:val="1"/>
        </w:numPr>
        <w:spacing w:after="100"/>
      </w:pPr>
      <w:r>
        <w:rPr>
          <w:szCs w:val="21"/>
        </w:rPr>
        <w:t>Evaluar el marco regulatorio del sistema de salud pública cubano respecto al consentimiento informado y los derechos del paciente obstétrico.</w:t>
      </w:r>
    </w:p>
    <w:p w14:paraId="6E9793BA" w14:textId="77777777" w:rsidR="003D748E" w:rsidRDefault="00DF2056">
      <w:pPr>
        <w:pStyle w:val="Ttulo2"/>
        <w:spacing w:before="300" w:after="150"/>
      </w:pPr>
      <w:r>
        <w:rPr>
          <w:b/>
          <w:bCs/>
          <w:color w:val="1F3864"/>
          <w:sz w:val="25"/>
          <w:szCs w:val="25"/>
        </w:rPr>
        <w:t>1. Síntesis de contenidos por subtema</w:t>
      </w:r>
    </w:p>
    <w:p w14:paraId="794D4BCA" w14:textId="77777777" w:rsidR="003D748E" w:rsidRDefault="00DF2056">
      <w:pPr>
        <w:pStyle w:val="Ttulo3"/>
        <w:spacing w:before="200" w:after="100"/>
      </w:pPr>
      <w:r>
        <w:rPr>
          <w:b/>
          <w:bCs/>
          <w:i/>
          <w:iCs/>
          <w:color w:val="8B6F1F"/>
          <w:sz w:val="22"/>
          <w:szCs w:val="22"/>
        </w:rPr>
        <w:t>3.1. Fundamento constitucional</w:t>
      </w:r>
    </w:p>
    <w:p w14:paraId="779AB8EB" w14:textId="77777777" w:rsidR="003D748E" w:rsidRDefault="00DF2056">
      <w:pPr>
        <w:spacing w:after="160" w:line="276" w:lineRule="auto"/>
        <w:jc w:val="both"/>
      </w:pPr>
      <w:r>
        <w:rPr>
          <w:szCs w:val="21"/>
        </w:rPr>
        <w:t>La Constitución de la República de Cuba (2019) provee un entramado de derechos fundamentales desde el cual construir la protección frente a la violencia obstétrica, aun sin tipificación expresa: la dignidad humana como valor supremo (art. 40), la integridad física y psíquica (art. 46), el derecho a la salud (art. 72), la no discriminación (art. 42) y el libre desarrollo de la personalidad (art. 44). El ejercicio dogmático central de este subtema consiste en construir, a partir de estas normas de principio, un fundamento constitucional sólido y autónomo, no meramente retórico.</w:t>
      </w:r>
    </w:p>
    <w:p w14:paraId="10027C86" w14:textId="77777777" w:rsidR="003D748E" w:rsidRDefault="00DF2056">
      <w:pPr>
        <w:pStyle w:val="Ttulo3"/>
        <w:spacing w:before="200" w:after="100"/>
      </w:pPr>
      <w:r>
        <w:rPr>
          <w:b/>
          <w:bCs/>
          <w:i/>
          <w:iCs/>
          <w:color w:val="8B6F1F"/>
          <w:sz w:val="22"/>
          <w:szCs w:val="22"/>
        </w:rPr>
        <w:t>3.2. Código de las Familias (Ley 156/2022)</w:t>
      </w:r>
    </w:p>
    <w:p w14:paraId="0D8809D4" w14:textId="77777777" w:rsidR="003D748E" w:rsidRDefault="00DF2056">
      <w:pPr>
        <w:spacing w:after="160" w:line="276" w:lineRule="auto"/>
        <w:jc w:val="both"/>
      </w:pPr>
      <w:r>
        <w:rPr>
          <w:szCs w:val="21"/>
        </w:rPr>
        <w:t>Aunque el Código de las Familias no regula de manera directa la atención obstétrica, su reconocimiento expreso del principio de autonomía progresiva y de la capacidad de decisión sobre el propio cuerpo (particularmente en materia de salud reproductiva y planificación familiar) ofrece un fundamento normativo indirecto, pero jurídicamente aprovechable, para sustentar pretensiones vinculadas a la autonomía decisional durante el proceso de parto. Se exige al estudiante identificar con precisión los artículos aplicables por analogía y valorar críticamente los límites de dicha aplicación analógica.</w:t>
      </w:r>
    </w:p>
    <w:p w14:paraId="7886F1BD" w14:textId="77777777" w:rsidR="003D748E" w:rsidRDefault="00DF2056">
      <w:pPr>
        <w:pStyle w:val="Ttulo3"/>
        <w:spacing w:before="200" w:after="100"/>
      </w:pPr>
      <w:r>
        <w:rPr>
          <w:b/>
          <w:bCs/>
          <w:i/>
          <w:iCs/>
          <w:color w:val="8B6F1F"/>
          <w:sz w:val="22"/>
          <w:szCs w:val="22"/>
        </w:rPr>
        <w:t>3.3. Ley No. 41 de Salud Pública y su Reglamento</w:t>
      </w:r>
    </w:p>
    <w:p w14:paraId="2C8EC62D" w14:textId="77777777" w:rsidR="003D748E" w:rsidRDefault="00DF2056">
      <w:pPr>
        <w:spacing w:after="160" w:line="276" w:lineRule="auto"/>
        <w:jc w:val="both"/>
      </w:pPr>
      <w:r>
        <w:rPr>
          <w:szCs w:val="21"/>
        </w:rPr>
        <w:t>Regula los derechos del paciente, el consentimiento informado, la historia clínica y los procedimientos de queja administrativa. Constituye la vía normativa más directamente aplicable en la actualidad, si bien su carácter general —no diseñado específicamente para la atención obstétrica ni para el enfoque de género— revela una insuficiencia estructural que debe documentarse con rigor técnico.</w:t>
      </w:r>
    </w:p>
    <w:p w14:paraId="50942332" w14:textId="77777777" w:rsidR="003D748E" w:rsidRDefault="00DF2056">
      <w:pPr>
        <w:pStyle w:val="Ttulo3"/>
        <w:spacing w:before="200" w:after="100"/>
      </w:pPr>
      <w:r>
        <w:rPr>
          <w:b/>
          <w:bCs/>
          <w:i/>
          <w:iCs/>
          <w:color w:val="8B6F1F"/>
          <w:sz w:val="22"/>
          <w:szCs w:val="22"/>
        </w:rPr>
        <w:t>3.4. Código Penal (Ley 151/2022)</w:t>
      </w:r>
    </w:p>
    <w:p w14:paraId="04C45D53" w14:textId="77777777" w:rsidR="003D748E" w:rsidRDefault="00DF2056">
      <w:pPr>
        <w:spacing w:after="160" w:line="276" w:lineRule="auto"/>
        <w:jc w:val="both"/>
      </w:pPr>
      <w:r>
        <w:rPr>
          <w:szCs w:val="21"/>
        </w:rPr>
        <w:t xml:space="preserve">El análisis dogmático debe examinar la eventual subsunción de conductas de violencia obstétrica en tipos penales existentes: lesiones, coacción, omisión del deber de socorro. El ejercicio central es demostrar, mediante el método de la tipicidad estricta, por qué ninguno de estos tipos captura de forma satisfactoria el desvalor específico de la violencia obstétrica —particularmente en sus manifestaciones no físicas—, lo que fundamenta la discusión de </w:t>
      </w:r>
      <w:proofErr w:type="spellStart"/>
      <w:r>
        <w:rPr>
          <w:szCs w:val="21"/>
        </w:rPr>
        <w:t>lege</w:t>
      </w:r>
      <w:proofErr w:type="spellEnd"/>
      <w:r>
        <w:rPr>
          <w:szCs w:val="21"/>
        </w:rPr>
        <w:t xml:space="preserve"> </w:t>
      </w:r>
      <w:proofErr w:type="spellStart"/>
      <w:r>
        <w:rPr>
          <w:szCs w:val="21"/>
        </w:rPr>
        <w:t>ferenda</w:t>
      </w:r>
      <w:proofErr w:type="spellEnd"/>
      <w:r>
        <w:rPr>
          <w:szCs w:val="21"/>
        </w:rPr>
        <w:t>.</w:t>
      </w:r>
    </w:p>
    <w:p w14:paraId="1C3A8C74" w14:textId="77777777" w:rsidR="003D748E" w:rsidRDefault="00DF2056">
      <w:pPr>
        <w:pStyle w:val="Ttulo3"/>
        <w:spacing w:before="200" w:after="100"/>
      </w:pPr>
      <w:r>
        <w:rPr>
          <w:b/>
          <w:bCs/>
          <w:i/>
          <w:iCs/>
          <w:color w:val="8B6F1F"/>
          <w:sz w:val="22"/>
          <w:szCs w:val="22"/>
        </w:rPr>
        <w:lastRenderedPageBreak/>
        <w:t>3.5. Responsabilidad administrativa y disciplinaria</w:t>
      </w:r>
    </w:p>
    <w:p w14:paraId="18815272" w14:textId="77777777" w:rsidR="003D748E" w:rsidRDefault="00DF2056">
      <w:pPr>
        <w:spacing w:after="160" w:line="276" w:lineRule="auto"/>
        <w:jc w:val="both"/>
      </w:pPr>
      <w:r>
        <w:rPr>
          <w:szCs w:val="21"/>
        </w:rPr>
        <w:t>El régimen de quejas ante direcciones municipales y provinciales de salud, y los reglamentos disciplinarios internos del MINSAP, constituyen la vía de exigibilidad más accesible en la práctica, aunque con limitaciones evidentes en materia de reparación integral.</w:t>
      </w:r>
    </w:p>
    <w:p w14:paraId="6D535F57" w14:textId="77777777" w:rsidR="003D748E" w:rsidRDefault="00DF2056">
      <w:pPr>
        <w:pStyle w:val="Ttulo2"/>
        <w:spacing w:before="300" w:after="150"/>
      </w:pPr>
      <w:r>
        <w:rPr>
          <w:b/>
          <w:bCs/>
          <w:color w:val="1F3864"/>
          <w:sz w:val="25"/>
          <w:szCs w:val="25"/>
        </w:rPr>
        <w:t>2. Vocabulario jurídico básico</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200"/>
      </w:tblGrid>
      <w:tr w:rsidR="003D748E" w14:paraId="4D9DE7F7" w14:textId="77777777">
        <w:trPr>
          <w:tblHeader/>
        </w:trPr>
        <w:tc>
          <w:tcPr>
            <w:tcW w:w="2600" w:type="dxa"/>
            <w:shd w:val="clear" w:color="auto" w:fill="1F3864"/>
            <w:tcMar>
              <w:top w:w="80" w:type="dxa"/>
              <w:left w:w="100" w:type="dxa"/>
              <w:bottom w:w="80" w:type="dxa"/>
              <w:right w:w="100" w:type="dxa"/>
            </w:tcMar>
            <w:vAlign w:val="center"/>
          </w:tcPr>
          <w:p w14:paraId="6F00AA69" w14:textId="77777777" w:rsidR="003D748E" w:rsidRDefault="00DF2056">
            <w:pPr>
              <w:jc w:val="center"/>
            </w:pPr>
            <w:r>
              <w:rPr>
                <w:b/>
                <w:bCs/>
                <w:color w:val="FFFFFF"/>
                <w:sz w:val="19"/>
                <w:szCs w:val="19"/>
              </w:rPr>
              <w:t>Término</w:t>
            </w:r>
          </w:p>
        </w:tc>
        <w:tc>
          <w:tcPr>
            <w:tcW w:w="7200" w:type="dxa"/>
            <w:shd w:val="clear" w:color="auto" w:fill="1F3864"/>
            <w:tcMar>
              <w:top w:w="80" w:type="dxa"/>
              <w:left w:w="100" w:type="dxa"/>
              <w:bottom w:w="80" w:type="dxa"/>
              <w:right w:w="100" w:type="dxa"/>
            </w:tcMar>
            <w:vAlign w:val="center"/>
          </w:tcPr>
          <w:p w14:paraId="1E4A0313" w14:textId="77777777" w:rsidR="003D748E" w:rsidRDefault="00DF2056">
            <w:pPr>
              <w:jc w:val="center"/>
            </w:pPr>
            <w:r>
              <w:rPr>
                <w:b/>
                <w:bCs/>
                <w:color w:val="FFFFFF"/>
                <w:sz w:val="19"/>
                <w:szCs w:val="19"/>
              </w:rPr>
              <w:t>Definición operativa</w:t>
            </w:r>
          </w:p>
        </w:tc>
      </w:tr>
      <w:tr w:rsidR="003D748E" w14:paraId="1D5BB796" w14:textId="77777777">
        <w:tc>
          <w:tcPr>
            <w:tcW w:w="2600" w:type="dxa"/>
            <w:shd w:val="clear" w:color="auto" w:fill="F5F5F5"/>
            <w:tcMar>
              <w:top w:w="80" w:type="dxa"/>
              <w:left w:w="100" w:type="dxa"/>
              <w:bottom w:w="80" w:type="dxa"/>
              <w:right w:w="100" w:type="dxa"/>
            </w:tcMar>
            <w:vAlign w:val="center"/>
          </w:tcPr>
          <w:p w14:paraId="447FDB6C" w14:textId="77777777" w:rsidR="003D748E" w:rsidRDefault="00DF2056">
            <w:r>
              <w:rPr>
                <w:color w:val="000000"/>
                <w:sz w:val="19"/>
                <w:szCs w:val="19"/>
              </w:rPr>
              <w:t>Autonomía progresiva</w:t>
            </w:r>
          </w:p>
        </w:tc>
        <w:tc>
          <w:tcPr>
            <w:tcW w:w="7200" w:type="dxa"/>
            <w:shd w:val="clear" w:color="auto" w:fill="F5F5F5"/>
            <w:tcMar>
              <w:top w:w="80" w:type="dxa"/>
              <w:left w:w="100" w:type="dxa"/>
              <w:bottom w:w="80" w:type="dxa"/>
              <w:right w:w="100" w:type="dxa"/>
            </w:tcMar>
            <w:vAlign w:val="center"/>
          </w:tcPr>
          <w:p w14:paraId="79BDB5B3" w14:textId="77777777" w:rsidR="003D748E" w:rsidRDefault="00DF2056">
            <w:r>
              <w:rPr>
                <w:color w:val="000000"/>
                <w:sz w:val="19"/>
                <w:szCs w:val="19"/>
              </w:rPr>
              <w:t>Principio recogido en el Código de las Familias cubano según el cual la capacidad de la persona para tomar decisiones sobre sí misma se ejerce de manera gradual y contextual, atendiendo a su madurez y circunstancias, sin sustitución arbitraria de su voluntad.</w:t>
            </w:r>
          </w:p>
        </w:tc>
      </w:tr>
      <w:tr w:rsidR="003D748E" w14:paraId="3B1E3199" w14:textId="77777777">
        <w:tc>
          <w:tcPr>
            <w:tcW w:w="2600" w:type="dxa"/>
            <w:shd w:val="clear" w:color="auto" w:fill="FFFFFF"/>
            <w:tcMar>
              <w:top w:w="80" w:type="dxa"/>
              <w:left w:w="100" w:type="dxa"/>
              <w:bottom w:w="80" w:type="dxa"/>
              <w:right w:w="100" w:type="dxa"/>
            </w:tcMar>
            <w:vAlign w:val="center"/>
          </w:tcPr>
          <w:p w14:paraId="608A36E8" w14:textId="77777777" w:rsidR="003D748E" w:rsidRDefault="00DF2056">
            <w:r>
              <w:rPr>
                <w:color w:val="000000"/>
                <w:sz w:val="19"/>
                <w:szCs w:val="19"/>
              </w:rPr>
              <w:t>Tipicidad</w:t>
            </w:r>
          </w:p>
        </w:tc>
        <w:tc>
          <w:tcPr>
            <w:tcW w:w="7200" w:type="dxa"/>
            <w:shd w:val="clear" w:color="auto" w:fill="FFFFFF"/>
            <w:tcMar>
              <w:top w:w="80" w:type="dxa"/>
              <w:left w:w="100" w:type="dxa"/>
              <w:bottom w:w="80" w:type="dxa"/>
              <w:right w:w="100" w:type="dxa"/>
            </w:tcMar>
            <w:vAlign w:val="center"/>
          </w:tcPr>
          <w:p w14:paraId="66CE91C7" w14:textId="77777777" w:rsidR="003D748E" w:rsidRDefault="00DF2056">
            <w:r>
              <w:rPr>
                <w:color w:val="000000"/>
                <w:sz w:val="19"/>
                <w:szCs w:val="19"/>
              </w:rPr>
              <w:t xml:space="preserve">Correspondencia exacta entre una conducta y la descripción contenida en un tipo penal; principio de legalidad que impide la aplicación analógica in </w:t>
            </w:r>
            <w:proofErr w:type="spellStart"/>
            <w:r>
              <w:rPr>
                <w:color w:val="000000"/>
                <w:sz w:val="19"/>
                <w:szCs w:val="19"/>
              </w:rPr>
              <w:t>malam</w:t>
            </w:r>
            <w:proofErr w:type="spellEnd"/>
            <w:r>
              <w:rPr>
                <w:color w:val="000000"/>
                <w:sz w:val="19"/>
                <w:szCs w:val="19"/>
              </w:rPr>
              <w:t xml:space="preserve"> </w:t>
            </w:r>
            <w:proofErr w:type="spellStart"/>
            <w:r>
              <w:rPr>
                <w:color w:val="000000"/>
                <w:sz w:val="19"/>
                <w:szCs w:val="19"/>
              </w:rPr>
              <w:t>partem</w:t>
            </w:r>
            <w:proofErr w:type="spellEnd"/>
            <w:r>
              <w:rPr>
                <w:color w:val="000000"/>
                <w:sz w:val="19"/>
                <w:szCs w:val="19"/>
              </w:rPr>
              <w:t xml:space="preserve"> en Derecho Penal.</w:t>
            </w:r>
          </w:p>
        </w:tc>
      </w:tr>
      <w:tr w:rsidR="003D748E" w14:paraId="58A76FED" w14:textId="77777777">
        <w:tc>
          <w:tcPr>
            <w:tcW w:w="2600" w:type="dxa"/>
            <w:shd w:val="clear" w:color="auto" w:fill="F5F5F5"/>
            <w:tcMar>
              <w:top w:w="80" w:type="dxa"/>
              <w:left w:w="100" w:type="dxa"/>
              <w:bottom w:w="80" w:type="dxa"/>
              <w:right w:w="100" w:type="dxa"/>
            </w:tcMar>
            <w:vAlign w:val="center"/>
          </w:tcPr>
          <w:p w14:paraId="018F23B2" w14:textId="77777777" w:rsidR="003D748E" w:rsidRDefault="00DF2056">
            <w:proofErr w:type="spellStart"/>
            <w:r>
              <w:rPr>
                <w:color w:val="000000"/>
                <w:sz w:val="19"/>
                <w:szCs w:val="19"/>
              </w:rPr>
              <w:t>Lege</w:t>
            </w:r>
            <w:proofErr w:type="spellEnd"/>
            <w:r>
              <w:rPr>
                <w:color w:val="000000"/>
                <w:sz w:val="19"/>
                <w:szCs w:val="19"/>
              </w:rPr>
              <w:t xml:space="preserve"> </w:t>
            </w:r>
            <w:proofErr w:type="spellStart"/>
            <w:r>
              <w:rPr>
                <w:color w:val="000000"/>
                <w:sz w:val="19"/>
                <w:szCs w:val="19"/>
              </w:rPr>
              <w:t>ferenda</w:t>
            </w:r>
            <w:proofErr w:type="spellEnd"/>
          </w:p>
        </w:tc>
        <w:tc>
          <w:tcPr>
            <w:tcW w:w="7200" w:type="dxa"/>
            <w:shd w:val="clear" w:color="auto" w:fill="F5F5F5"/>
            <w:tcMar>
              <w:top w:w="80" w:type="dxa"/>
              <w:left w:w="100" w:type="dxa"/>
              <w:bottom w:w="80" w:type="dxa"/>
              <w:right w:w="100" w:type="dxa"/>
            </w:tcMar>
            <w:vAlign w:val="center"/>
          </w:tcPr>
          <w:p w14:paraId="4FD07114" w14:textId="77777777" w:rsidR="003D748E" w:rsidRDefault="00DF2056">
            <w:r>
              <w:rPr>
                <w:color w:val="000000"/>
                <w:sz w:val="19"/>
                <w:szCs w:val="19"/>
              </w:rPr>
              <w:t xml:space="preserve">Expresión latina empleada para referirse al derecho que debería existir (propuesta normativa), en contraposición a </w:t>
            </w:r>
            <w:proofErr w:type="spellStart"/>
            <w:r>
              <w:rPr>
                <w:color w:val="000000"/>
                <w:sz w:val="19"/>
                <w:szCs w:val="19"/>
              </w:rPr>
              <w:t>lege</w:t>
            </w:r>
            <w:proofErr w:type="spellEnd"/>
            <w:r>
              <w:rPr>
                <w:color w:val="000000"/>
                <w:sz w:val="19"/>
                <w:szCs w:val="19"/>
              </w:rPr>
              <w:t xml:space="preserve"> lata (el derecho vigente).</w:t>
            </w:r>
          </w:p>
        </w:tc>
      </w:tr>
      <w:tr w:rsidR="003D748E" w14:paraId="50B962F7" w14:textId="77777777">
        <w:tc>
          <w:tcPr>
            <w:tcW w:w="2600" w:type="dxa"/>
            <w:shd w:val="clear" w:color="auto" w:fill="FFFFFF"/>
            <w:tcMar>
              <w:top w:w="80" w:type="dxa"/>
              <w:left w:w="100" w:type="dxa"/>
              <w:bottom w:w="80" w:type="dxa"/>
              <w:right w:w="100" w:type="dxa"/>
            </w:tcMar>
            <w:vAlign w:val="center"/>
          </w:tcPr>
          <w:p w14:paraId="7D111AA9" w14:textId="77777777" w:rsidR="003D748E" w:rsidRDefault="00DF2056">
            <w:r>
              <w:rPr>
                <w:color w:val="000000"/>
                <w:sz w:val="19"/>
                <w:szCs w:val="19"/>
              </w:rPr>
              <w:t>Historia clínica</w:t>
            </w:r>
          </w:p>
        </w:tc>
        <w:tc>
          <w:tcPr>
            <w:tcW w:w="7200" w:type="dxa"/>
            <w:shd w:val="clear" w:color="auto" w:fill="FFFFFF"/>
            <w:tcMar>
              <w:top w:w="80" w:type="dxa"/>
              <w:left w:w="100" w:type="dxa"/>
              <w:bottom w:w="80" w:type="dxa"/>
              <w:right w:w="100" w:type="dxa"/>
            </w:tcMar>
            <w:vAlign w:val="center"/>
          </w:tcPr>
          <w:p w14:paraId="06E47EBD" w14:textId="77777777" w:rsidR="003D748E" w:rsidRDefault="00DF2056">
            <w:r>
              <w:rPr>
                <w:color w:val="000000"/>
                <w:sz w:val="19"/>
                <w:szCs w:val="19"/>
              </w:rPr>
              <w:t>Documento médico-legal que registra el proceso asistencial del paciente; instrumento probatorio de primer orden en la acreditación de vulneraciones al consentimiento informado.</w:t>
            </w:r>
          </w:p>
        </w:tc>
      </w:tr>
      <w:tr w:rsidR="003D748E" w14:paraId="5CF1CF19" w14:textId="77777777">
        <w:tc>
          <w:tcPr>
            <w:tcW w:w="2600" w:type="dxa"/>
            <w:shd w:val="clear" w:color="auto" w:fill="F5F5F5"/>
            <w:tcMar>
              <w:top w:w="80" w:type="dxa"/>
              <w:left w:w="100" w:type="dxa"/>
              <w:bottom w:w="80" w:type="dxa"/>
              <w:right w:w="100" w:type="dxa"/>
            </w:tcMar>
            <w:vAlign w:val="center"/>
          </w:tcPr>
          <w:p w14:paraId="6AA1E164" w14:textId="77777777" w:rsidR="003D748E" w:rsidRDefault="00DF2056">
            <w:r>
              <w:rPr>
                <w:color w:val="000000"/>
                <w:sz w:val="19"/>
                <w:szCs w:val="19"/>
              </w:rPr>
              <w:t>Vía administrativa de reclamación</w:t>
            </w:r>
          </w:p>
        </w:tc>
        <w:tc>
          <w:tcPr>
            <w:tcW w:w="7200" w:type="dxa"/>
            <w:shd w:val="clear" w:color="auto" w:fill="F5F5F5"/>
            <w:tcMar>
              <w:top w:w="80" w:type="dxa"/>
              <w:left w:w="100" w:type="dxa"/>
              <w:bottom w:w="80" w:type="dxa"/>
              <w:right w:w="100" w:type="dxa"/>
            </w:tcMar>
            <w:vAlign w:val="center"/>
          </w:tcPr>
          <w:p w14:paraId="38D634F8" w14:textId="77777777" w:rsidR="003D748E" w:rsidRDefault="00DF2056">
            <w:r>
              <w:rPr>
                <w:color w:val="000000"/>
                <w:sz w:val="19"/>
                <w:szCs w:val="19"/>
              </w:rPr>
              <w:t>Mecanismo interno, previo o alternativo a la vía judicial, mediante el cual el paciente puede formular quejas ante las estructuras de dirección del sistema de salud pública cubano.</w:t>
            </w:r>
          </w:p>
        </w:tc>
      </w:tr>
    </w:tbl>
    <w:p w14:paraId="30011071" w14:textId="77777777" w:rsidR="003D748E" w:rsidRDefault="00DF2056">
      <w:pPr>
        <w:pStyle w:val="Ttulo2"/>
        <w:spacing w:before="300" w:after="150"/>
      </w:pPr>
      <w:r>
        <w:rPr>
          <w:b/>
          <w:bCs/>
          <w:color w:val="1F3864"/>
          <w:sz w:val="25"/>
          <w:szCs w:val="25"/>
        </w:rPr>
        <w:t>3. Tabla comparativa: vías normativas cubanas disponibles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2600"/>
        <w:gridCol w:w="2700"/>
      </w:tblGrid>
      <w:tr w:rsidR="003D748E" w14:paraId="1122A06F" w14:textId="77777777">
        <w:trPr>
          <w:tblHeader/>
        </w:trPr>
        <w:tc>
          <w:tcPr>
            <w:tcW w:w="1600" w:type="dxa"/>
            <w:shd w:val="clear" w:color="auto" w:fill="1F3864"/>
            <w:tcMar>
              <w:top w:w="80" w:type="dxa"/>
              <w:left w:w="100" w:type="dxa"/>
              <w:bottom w:w="80" w:type="dxa"/>
              <w:right w:w="100" w:type="dxa"/>
            </w:tcMar>
            <w:vAlign w:val="center"/>
          </w:tcPr>
          <w:p w14:paraId="0560259C" w14:textId="77777777" w:rsidR="003D748E" w:rsidRDefault="00DF2056">
            <w:pPr>
              <w:jc w:val="center"/>
            </w:pPr>
            <w:r>
              <w:rPr>
                <w:b/>
                <w:bCs/>
                <w:color w:val="FFFFFF"/>
                <w:sz w:val="19"/>
                <w:szCs w:val="19"/>
              </w:rPr>
              <w:t>Vía</w:t>
            </w:r>
          </w:p>
        </w:tc>
        <w:tc>
          <w:tcPr>
            <w:tcW w:w="2500" w:type="dxa"/>
            <w:shd w:val="clear" w:color="auto" w:fill="1F3864"/>
            <w:tcMar>
              <w:top w:w="80" w:type="dxa"/>
              <w:left w:w="100" w:type="dxa"/>
              <w:bottom w:w="80" w:type="dxa"/>
              <w:right w:w="100" w:type="dxa"/>
            </w:tcMar>
            <w:vAlign w:val="center"/>
          </w:tcPr>
          <w:p w14:paraId="2F8109B0" w14:textId="77777777" w:rsidR="003D748E" w:rsidRDefault="00DF2056">
            <w:pPr>
              <w:jc w:val="center"/>
            </w:pPr>
            <w:r>
              <w:rPr>
                <w:b/>
                <w:bCs/>
                <w:color w:val="FFFFFF"/>
                <w:sz w:val="19"/>
                <w:szCs w:val="19"/>
              </w:rPr>
              <w:t>Norma base</w:t>
            </w:r>
          </w:p>
        </w:tc>
        <w:tc>
          <w:tcPr>
            <w:tcW w:w="2600" w:type="dxa"/>
            <w:shd w:val="clear" w:color="auto" w:fill="1F3864"/>
            <w:tcMar>
              <w:top w:w="80" w:type="dxa"/>
              <w:left w:w="100" w:type="dxa"/>
              <w:bottom w:w="80" w:type="dxa"/>
              <w:right w:w="100" w:type="dxa"/>
            </w:tcMar>
            <w:vAlign w:val="center"/>
          </w:tcPr>
          <w:p w14:paraId="6A49DA56" w14:textId="77777777" w:rsidR="003D748E" w:rsidRDefault="00DF2056">
            <w:pPr>
              <w:jc w:val="center"/>
            </w:pPr>
            <w:r>
              <w:rPr>
                <w:b/>
                <w:bCs/>
                <w:color w:val="FFFFFF"/>
                <w:sz w:val="19"/>
                <w:szCs w:val="19"/>
              </w:rPr>
              <w:t>Alcance</w:t>
            </w:r>
          </w:p>
        </w:tc>
        <w:tc>
          <w:tcPr>
            <w:tcW w:w="2700" w:type="dxa"/>
            <w:shd w:val="clear" w:color="auto" w:fill="1F3864"/>
            <w:tcMar>
              <w:top w:w="80" w:type="dxa"/>
              <w:left w:w="100" w:type="dxa"/>
              <w:bottom w:w="80" w:type="dxa"/>
              <w:right w:w="100" w:type="dxa"/>
            </w:tcMar>
            <w:vAlign w:val="center"/>
          </w:tcPr>
          <w:p w14:paraId="434B7C55" w14:textId="77777777" w:rsidR="003D748E" w:rsidRDefault="00DF2056">
            <w:pPr>
              <w:jc w:val="center"/>
            </w:pPr>
            <w:r>
              <w:rPr>
                <w:b/>
                <w:bCs/>
                <w:color w:val="FFFFFF"/>
                <w:sz w:val="19"/>
                <w:szCs w:val="19"/>
              </w:rPr>
              <w:t>Límite principal</w:t>
            </w:r>
          </w:p>
        </w:tc>
      </w:tr>
      <w:tr w:rsidR="003D748E" w14:paraId="58B07D5D" w14:textId="77777777">
        <w:tc>
          <w:tcPr>
            <w:tcW w:w="1600" w:type="dxa"/>
            <w:shd w:val="clear" w:color="auto" w:fill="F5F5F5"/>
            <w:tcMar>
              <w:top w:w="80" w:type="dxa"/>
              <w:left w:w="100" w:type="dxa"/>
              <w:bottom w:w="80" w:type="dxa"/>
              <w:right w:w="100" w:type="dxa"/>
            </w:tcMar>
            <w:vAlign w:val="center"/>
          </w:tcPr>
          <w:p w14:paraId="6FE3B084" w14:textId="77777777" w:rsidR="003D748E" w:rsidRDefault="00DF2056">
            <w:r>
              <w:rPr>
                <w:color w:val="000000"/>
                <w:sz w:val="19"/>
                <w:szCs w:val="19"/>
              </w:rPr>
              <w:t>Constitucional</w:t>
            </w:r>
          </w:p>
        </w:tc>
        <w:tc>
          <w:tcPr>
            <w:tcW w:w="2500" w:type="dxa"/>
            <w:shd w:val="clear" w:color="auto" w:fill="F5F5F5"/>
            <w:tcMar>
              <w:top w:w="80" w:type="dxa"/>
              <w:left w:w="100" w:type="dxa"/>
              <w:bottom w:w="80" w:type="dxa"/>
              <w:right w:w="100" w:type="dxa"/>
            </w:tcMar>
            <w:vAlign w:val="center"/>
          </w:tcPr>
          <w:p w14:paraId="51E62FB4" w14:textId="77777777" w:rsidR="003D748E" w:rsidRDefault="00DF2056">
            <w:r>
              <w:rPr>
                <w:color w:val="000000"/>
                <w:sz w:val="19"/>
                <w:szCs w:val="19"/>
              </w:rPr>
              <w:t>Arts. 40, 42, 44, 46, 72 CRC (2019)</w:t>
            </w:r>
          </w:p>
        </w:tc>
        <w:tc>
          <w:tcPr>
            <w:tcW w:w="2600" w:type="dxa"/>
            <w:shd w:val="clear" w:color="auto" w:fill="F5F5F5"/>
            <w:tcMar>
              <w:top w:w="80" w:type="dxa"/>
              <w:left w:w="100" w:type="dxa"/>
              <w:bottom w:w="80" w:type="dxa"/>
              <w:right w:w="100" w:type="dxa"/>
            </w:tcMar>
            <w:vAlign w:val="center"/>
          </w:tcPr>
          <w:p w14:paraId="4278AA1B" w14:textId="77777777" w:rsidR="003D748E" w:rsidRDefault="00DF2056">
            <w:r>
              <w:rPr>
                <w:color w:val="000000"/>
                <w:sz w:val="19"/>
                <w:szCs w:val="19"/>
              </w:rPr>
              <w:t xml:space="preserve">Fundamento </w:t>
            </w:r>
            <w:proofErr w:type="spellStart"/>
            <w:r>
              <w:rPr>
                <w:color w:val="000000"/>
                <w:sz w:val="19"/>
                <w:szCs w:val="19"/>
              </w:rPr>
              <w:t>principialista</w:t>
            </w:r>
            <w:proofErr w:type="spellEnd"/>
            <w:r>
              <w:rPr>
                <w:color w:val="000000"/>
                <w:sz w:val="19"/>
                <w:szCs w:val="19"/>
              </w:rPr>
              <w:t xml:space="preserve">, </w:t>
            </w:r>
            <w:proofErr w:type="spellStart"/>
            <w:r>
              <w:rPr>
                <w:color w:val="000000"/>
                <w:sz w:val="19"/>
                <w:szCs w:val="19"/>
              </w:rPr>
              <w:t>invocable</w:t>
            </w:r>
            <w:proofErr w:type="spellEnd"/>
            <w:r>
              <w:rPr>
                <w:color w:val="000000"/>
                <w:sz w:val="19"/>
                <w:szCs w:val="19"/>
              </w:rPr>
              <w:t xml:space="preserve"> en control de constitucionalidad</w:t>
            </w:r>
          </w:p>
        </w:tc>
        <w:tc>
          <w:tcPr>
            <w:tcW w:w="2700" w:type="dxa"/>
            <w:shd w:val="clear" w:color="auto" w:fill="F5F5F5"/>
            <w:tcMar>
              <w:top w:w="80" w:type="dxa"/>
              <w:left w:w="100" w:type="dxa"/>
              <w:bottom w:w="80" w:type="dxa"/>
              <w:right w:w="100" w:type="dxa"/>
            </w:tcMar>
            <w:vAlign w:val="center"/>
          </w:tcPr>
          <w:p w14:paraId="3354080A" w14:textId="77777777" w:rsidR="003D748E" w:rsidRDefault="00DF2056">
            <w:r>
              <w:rPr>
                <w:color w:val="000000"/>
                <w:sz w:val="19"/>
                <w:szCs w:val="19"/>
              </w:rPr>
              <w:t>Carácter programático; ausencia de acción constitucional autónoma específica</w:t>
            </w:r>
          </w:p>
        </w:tc>
      </w:tr>
      <w:tr w:rsidR="003D748E" w14:paraId="686E02A3" w14:textId="77777777">
        <w:tc>
          <w:tcPr>
            <w:tcW w:w="1600" w:type="dxa"/>
            <w:shd w:val="clear" w:color="auto" w:fill="FFFFFF"/>
            <w:tcMar>
              <w:top w:w="80" w:type="dxa"/>
              <w:left w:w="100" w:type="dxa"/>
              <w:bottom w:w="80" w:type="dxa"/>
              <w:right w:w="100" w:type="dxa"/>
            </w:tcMar>
            <w:vAlign w:val="center"/>
          </w:tcPr>
          <w:p w14:paraId="22AF10CA" w14:textId="77777777" w:rsidR="003D748E" w:rsidRDefault="00DF2056">
            <w:r>
              <w:rPr>
                <w:color w:val="000000"/>
                <w:sz w:val="19"/>
                <w:szCs w:val="19"/>
              </w:rPr>
              <w:t>Familiar</w:t>
            </w:r>
          </w:p>
        </w:tc>
        <w:tc>
          <w:tcPr>
            <w:tcW w:w="2500" w:type="dxa"/>
            <w:shd w:val="clear" w:color="auto" w:fill="FFFFFF"/>
            <w:tcMar>
              <w:top w:w="80" w:type="dxa"/>
              <w:left w:w="100" w:type="dxa"/>
              <w:bottom w:w="80" w:type="dxa"/>
              <w:right w:w="100" w:type="dxa"/>
            </w:tcMar>
            <w:vAlign w:val="center"/>
          </w:tcPr>
          <w:p w14:paraId="74593FD7" w14:textId="77777777" w:rsidR="003D748E" w:rsidRDefault="00DF2056">
            <w:r>
              <w:rPr>
                <w:color w:val="000000"/>
                <w:sz w:val="19"/>
                <w:szCs w:val="19"/>
              </w:rPr>
              <w:t>Ley 156/2022, principio de autonomía progresiva</w:t>
            </w:r>
          </w:p>
        </w:tc>
        <w:tc>
          <w:tcPr>
            <w:tcW w:w="2600" w:type="dxa"/>
            <w:shd w:val="clear" w:color="auto" w:fill="FFFFFF"/>
            <w:tcMar>
              <w:top w:w="80" w:type="dxa"/>
              <w:left w:w="100" w:type="dxa"/>
              <w:bottom w:w="80" w:type="dxa"/>
              <w:right w:w="100" w:type="dxa"/>
            </w:tcMar>
            <w:vAlign w:val="center"/>
          </w:tcPr>
          <w:p w14:paraId="15BEB094" w14:textId="77777777" w:rsidR="003D748E" w:rsidRDefault="00DF2056">
            <w:r>
              <w:rPr>
                <w:color w:val="000000"/>
                <w:sz w:val="19"/>
                <w:szCs w:val="19"/>
              </w:rPr>
              <w:t>Fundamento indirecto de la autonomía reproductiva</w:t>
            </w:r>
          </w:p>
        </w:tc>
        <w:tc>
          <w:tcPr>
            <w:tcW w:w="2700" w:type="dxa"/>
            <w:shd w:val="clear" w:color="auto" w:fill="FFFFFF"/>
            <w:tcMar>
              <w:top w:w="80" w:type="dxa"/>
              <w:left w:w="100" w:type="dxa"/>
              <w:bottom w:w="80" w:type="dxa"/>
              <w:right w:w="100" w:type="dxa"/>
            </w:tcMar>
            <w:vAlign w:val="center"/>
          </w:tcPr>
          <w:p w14:paraId="595DA9EE" w14:textId="77777777" w:rsidR="003D748E" w:rsidRDefault="00DF2056">
            <w:r>
              <w:rPr>
                <w:color w:val="000000"/>
                <w:sz w:val="19"/>
                <w:szCs w:val="19"/>
              </w:rPr>
              <w:t>No regula directamente la atención obstétrica</w:t>
            </w:r>
          </w:p>
        </w:tc>
      </w:tr>
      <w:tr w:rsidR="003D748E" w14:paraId="3165A468" w14:textId="77777777">
        <w:tc>
          <w:tcPr>
            <w:tcW w:w="1600" w:type="dxa"/>
            <w:shd w:val="clear" w:color="auto" w:fill="F5F5F5"/>
            <w:tcMar>
              <w:top w:w="80" w:type="dxa"/>
              <w:left w:w="100" w:type="dxa"/>
              <w:bottom w:w="80" w:type="dxa"/>
              <w:right w:w="100" w:type="dxa"/>
            </w:tcMar>
            <w:vAlign w:val="center"/>
          </w:tcPr>
          <w:p w14:paraId="52421EBF" w14:textId="77777777" w:rsidR="003D748E" w:rsidRDefault="00DF2056">
            <w:r>
              <w:rPr>
                <w:color w:val="000000"/>
                <w:sz w:val="19"/>
                <w:szCs w:val="19"/>
              </w:rPr>
              <w:t>Sanitaria</w:t>
            </w:r>
          </w:p>
        </w:tc>
        <w:tc>
          <w:tcPr>
            <w:tcW w:w="2500" w:type="dxa"/>
            <w:shd w:val="clear" w:color="auto" w:fill="F5F5F5"/>
            <w:tcMar>
              <w:top w:w="80" w:type="dxa"/>
              <w:left w:w="100" w:type="dxa"/>
              <w:bottom w:w="80" w:type="dxa"/>
              <w:right w:w="100" w:type="dxa"/>
            </w:tcMar>
            <w:vAlign w:val="center"/>
          </w:tcPr>
          <w:p w14:paraId="3254D52F" w14:textId="77777777" w:rsidR="003D748E" w:rsidRDefault="00DF2056">
            <w:r>
              <w:rPr>
                <w:color w:val="000000"/>
                <w:sz w:val="19"/>
                <w:szCs w:val="19"/>
              </w:rPr>
              <w:t>Ley 41 y Reglamento (Decreto 139)</w:t>
            </w:r>
          </w:p>
        </w:tc>
        <w:tc>
          <w:tcPr>
            <w:tcW w:w="2600" w:type="dxa"/>
            <w:shd w:val="clear" w:color="auto" w:fill="F5F5F5"/>
            <w:tcMar>
              <w:top w:w="80" w:type="dxa"/>
              <w:left w:w="100" w:type="dxa"/>
              <w:bottom w:w="80" w:type="dxa"/>
              <w:right w:w="100" w:type="dxa"/>
            </w:tcMar>
            <w:vAlign w:val="center"/>
          </w:tcPr>
          <w:p w14:paraId="33B24028" w14:textId="77777777" w:rsidR="003D748E" w:rsidRDefault="00DF2056">
            <w:r>
              <w:rPr>
                <w:color w:val="000000"/>
                <w:sz w:val="19"/>
                <w:szCs w:val="19"/>
              </w:rPr>
              <w:t>Consentimiento informado, queja administrativa</w:t>
            </w:r>
          </w:p>
        </w:tc>
        <w:tc>
          <w:tcPr>
            <w:tcW w:w="2700" w:type="dxa"/>
            <w:shd w:val="clear" w:color="auto" w:fill="F5F5F5"/>
            <w:tcMar>
              <w:top w:w="80" w:type="dxa"/>
              <w:left w:w="100" w:type="dxa"/>
              <w:bottom w:w="80" w:type="dxa"/>
              <w:right w:w="100" w:type="dxa"/>
            </w:tcMar>
            <w:vAlign w:val="center"/>
          </w:tcPr>
          <w:p w14:paraId="48A35461" w14:textId="77777777" w:rsidR="003D748E" w:rsidRDefault="00DF2056">
            <w:r>
              <w:rPr>
                <w:color w:val="000000"/>
                <w:sz w:val="19"/>
                <w:szCs w:val="19"/>
              </w:rPr>
              <w:t>No incorpora enfoque de género ni tipifica violencia obstétrica</w:t>
            </w:r>
          </w:p>
        </w:tc>
      </w:tr>
      <w:tr w:rsidR="003D748E" w14:paraId="3236D76E" w14:textId="77777777">
        <w:tc>
          <w:tcPr>
            <w:tcW w:w="1600" w:type="dxa"/>
            <w:shd w:val="clear" w:color="auto" w:fill="FFFFFF"/>
            <w:tcMar>
              <w:top w:w="80" w:type="dxa"/>
              <w:left w:w="100" w:type="dxa"/>
              <w:bottom w:w="80" w:type="dxa"/>
              <w:right w:w="100" w:type="dxa"/>
            </w:tcMar>
            <w:vAlign w:val="center"/>
          </w:tcPr>
          <w:p w14:paraId="41320DCB" w14:textId="77777777" w:rsidR="003D748E" w:rsidRDefault="00DF2056">
            <w:r>
              <w:rPr>
                <w:color w:val="000000"/>
                <w:sz w:val="19"/>
                <w:szCs w:val="19"/>
              </w:rPr>
              <w:t>Penal</w:t>
            </w:r>
          </w:p>
        </w:tc>
        <w:tc>
          <w:tcPr>
            <w:tcW w:w="2500" w:type="dxa"/>
            <w:shd w:val="clear" w:color="auto" w:fill="FFFFFF"/>
            <w:tcMar>
              <w:top w:w="80" w:type="dxa"/>
              <w:left w:w="100" w:type="dxa"/>
              <w:bottom w:w="80" w:type="dxa"/>
              <w:right w:w="100" w:type="dxa"/>
            </w:tcMar>
            <w:vAlign w:val="center"/>
          </w:tcPr>
          <w:p w14:paraId="69AA2674" w14:textId="77777777" w:rsidR="003D748E" w:rsidRDefault="00DF2056">
            <w:r>
              <w:rPr>
                <w:color w:val="000000"/>
                <w:sz w:val="19"/>
                <w:szCs w:val="19"/>
              </w:rPr>
              <w:t>Ley 151/2022 (lesiones, coacción, omisión de socorro)</w:t>
            </w:r>
          </w:p>
        </w:tc>
        <w:tc>
          <w:tcPr>
            <w:tcW w:w="2600" w:type="dxa"/>
            <w:shd w:val="clear" w:color="auto" w:fill="FFFFFF"/>
            <w:tcMar>
              <w:top w:w="80" w:type="dxa"/>
              <w:left w:w="100" w:type="dxa"/>
              <w:bottom w:w="80" w:type="dxa"/>
              <w:right w:w="100" w:type="dxa"/>
            </w:tcMar>
            <w:vAlign w:val="center"/>
          </w:tcPr>
          <w:p w14:paraId="3FCB85E9" w14:textId="77777777" w:rsidR="003D748E" w:rsidRDefault="00DF2056">
            <w:r>
              <w:rPr>
                <w:color w:val="000000"/>
                <w:sz w:val="19"/>
                <w:szCs w:val="19"/>
              </w:rPr>
              <w:t>Sanción de manifestaciones físicas graves</w:t>
            </w:r>
          </w:p>
        </w:tc>
        <w:tc>
          <w:tcPr>
            <w:tcW w:w="2700" w:type="dxa"/>
            <w:shd w:val="clear" w:color="auto" w:fill="FFFFFF"/>
            <w:tcMar>
              <w:top w:w="80" w:type="dxa"/>
              <w:left w:w="100" w:type="dxa"/>
              <w:bottom w:w="80" w:type="dxa"/>
              <w:right w:w="100" w:type="dxa"/>
            </w:tcMar>
            <w:vAlign w:val="center"/>
          </w:tcPr>
          <w:p w14:paraId="3080E41E" w14:textId="77777777" w:rsidR="003D748E" w:rsidRDefault="00DF2056">
            <w:r>
              <w:rPr>
                <w:color w:val="000000"/>
                <w:sz w:val="19"/>
                <w:szCs w:val="19"/>
              </w:rPr>
              <w:t>Atipicidad de manifestaciones psicológicas y de trato deshumanizado</w:t>
            </w:r>
          </w:p>
        </w:tc>
      </w:tr>
      <w:tr w:rsidR="003D748E" w14:paraId="7361C2BB" w14:textId="77777777">
        <w:tc>
          <w:tcPr>
            <w:tcW w:w="1600" w:type="dxa"/>
            <w:shd w:val="clear" w:color="auto" w:fill="F5F5F5"/>
            <w:tcMar>
              <w:top w:w="80" w:type="dxa"/>
              <w:left w:w="100" w:type="dxa"/>
              <w:bottom w:w="80" w:type="dxa"/>
              <w:right w:w="100" w:type="dxa"/>
            </w:tcMar>
            <w:vAlign w:val="center"/>
          </w:tcPr>
          <w:p w14:paraId="3D925AF0" w14:textId="77777777" w:rsidR="003D748E" w:rsidRDefault="00DF2056">
            <w:r>
              <w:rPr>
                <w:color w:val="000000"/>
                <w:sz w:val="19"/>
                <w:szCs w:val="19"/>
              </w:rPr>
              <w:t>Civil</w:t>
            </w:r>
          </w:p>
        </w:tc>
        <w:tc>
          <w:tcPr>
            <w:tcW w:w="2500" w:type="dxa"/>
            <w:shd w:val="clear" w:color="auto" w:fill="F5F5F5"/>
            <w:tcMar>
              <w:top w:w="80" w:type="dxa"/>
              <w:left w:w="100" w:type="dxa"/>
              <w:bottom w:w="80" w:type="dxa"/>
              <w:right w:w="100" w:type="dxa"/>
            </w:tcMar>
            <w:vAlign w:val="center"/>
          </w:tcPr>
          <w:p w14:paraId="71942A23" w14:textId="77777777" w:rsidR="003D748E" w:rsidRDefault="00DF2056">
            <w:r>
              <w:rPr>
                <w:color w:val="000000"/>
                <w:sz w:val="19"/>
                <w:szCs w:val="19"/>
              </w:rPr>
              <w:t>Responsabilidad civil general</w:t>
            </w:r>
          </w:p>
        </w:tc>
        <w:tc>
          <w:tcPr>
            <w:tcW w:w="2600" w:type="dxa"/>
            <w:shd w:val="clear" w:color="auto" w:fill="F5F5F5"/>
            <w:tcMar>
              <w:top w:w="80" w:type="dxa"/>
              <w:left w:w="100" w:type="dxa"/>
              <w:bottom w:w="80" w:type="dxa"/>
              <w:right w:w="100" w:type="dxa"/>
            </w:tcMar>
            <w:vAlign w:val="center"/>
          </w:tcPr>
          <w:p w14:paraId="2B21CEBC" w14:textId="77777777" w:rsidR="003D748E" w:rsidRDefault="00DF2056">
            <w:r>
              <w:rPr>
                <w:color w:val="000000"/>
                <w:sz w:val="19"/>
                <w:szCs w:val="19"/>
              </w:rPr>
              <w:t>Reparación patrimonial del daño</w:t>
            </w:r>
          </w:p>
        </w:tc>
        <w:tc>
          <w:tcPr>
            <w:tcW w:w="2700" w:type="dxa"/>
            <w:shd w:val="clear" w:color="auto" w:fill="F5F5F5"/>
            <w:tcMar>
              <w:top w:w="80" w:type="dxa"/>
              <w:left w:w="100" w:type="dxa"/>
              <w:bottom w:w="80" w:type="dxa"/>
              <w:right w:w="100" w:type="dxa"/>
            </w:tcMar>
            <w:vAlign w:val="center"/>
          </w:tcPr>
          <w:p w14:paraId="71B2E605" w14:textId="77777777" w:rsidR="003D748E" w:rsidRDefault="00DF2056">
            <w:r>
              <w:rPr>
                <w:color w:val="000000"/>
                <w:sz w:val="19"/>
                <w:szCs w:val="19"/>
              </w:rPr>
              <w:t>Ausencia de categoría autónoma de daño por violencia obstétrica (se desarrolla en Tema IV)</w:t>
            </w:r>
          </w:p>
        </w:tc>
      </w:tr>
    </w:tbl>
    <w:p w14:paraId="30F0C9CD" w14:textId="77777777" w:rsidR="003D748E" w:rsidRDefault="003D748E">
      <w:pPr>
        <w:pStyle w:val="Ttulo2"/>
        <w:spacing w:before="300" w:after="150"/>
        <w:rPr>
          <w:b/>
          <w:bCs/>
          <w:color w:val="1F3864"/>
          <w:sz w:val="25"/>
          <w:szCs w:val="25"/>
        </w:rPr>
      </w:pPr>
    </w:p>
    <w:p w14:paraId="364A2C7D" w14:textId="77777777" w:rsidR="003D748E" w:rsidRDefault="003D748E">
      <w:pPr>
        <w:pStyle w:val="Ttulo2"/>
        <w:spacing w:before="300" w:after="150"/>
        <w:rPr>
          <w:b/>
          <w:bCs/>
          <w:color w:val="1F3864"/>
          <w:sz w:val="25"/>
          <w:szCs w:val="25"/>
        </w:rPr>
      </w:pPr>
    </w:p>
    <w:p w14:paraId="394BC5D3" w14:textId="77777777" w:rsidR="003D748E" w:rsidRDefault="00DF2056">
      <w:pPr>
        <w:pStyle w:val="Ttulo2"/>
        <w:spacing w:before="300" w:after="150"/>
      </w:pPr>
      <w:r>
        <w:rPr>
          <w:b/>
          <w:bCs/>
          <w:color w:val="1F3864"/>
          <w:sz w:val="25"/>
          <w:szCs w:val="25"/>
        </w:rPr>
        <w:lastRenderedPageBreak/>
        <w:t>4. Actividades de aprendizaje</w:t>
      </w:r>
    </w:p>
    <w:p w14:paraId="0D9BB14A" w14:textId="77777777" w:rsidR="003D748E" w:rsidRDefault="00DF2056">
      <w:pPr>
        <w:pStyle w:val="Ttulo3"/>
        <w:spacing w:before="200" w:after="100"/>
      </w:pPr>
      <w:r>
        <w:rPr>
          <w:b/>
          <w:bCs/>
          <w:i/>
          <w:iCs/>
          <w:color w:val="8B6F1F"/>
          <w:sz w:val="22"/>
          <w:szCs w:val="22"/>
        </w:rPr>
        <w:t>Comprensión</w:t>
      </w:r>
    </w:p>
    <w:p w14:paraId="2006586C" w14:textId="77777777" w:rsidR="003D748E" w:rsidRDefault="00DF2056">
      <w:pPr>
        <w:pStyle w:val="Prrafodelista"/>
        <w:numPr>
          <w:ilvl w:val="0"/>
          <w:numId w:val="2"/>
        </w:numPr>
        <w:spacing w:after="100"/>
      </w:pPr>
      <w:r>
        <w:rPr>
          <w:szCs w:val="21"/>
        </w:rPr>
        <w:t>Elabore un cuadro sinóptico de los artículos constitucionales aplicables, indicando para cada uno el derecho protegido y su conexión argumentativa con la violencia obstétrica.</w:t>
      </w:r>
    </w:p>
    <w:p w14:paraId="6A8ABD7C" w14:textId="77777777" w:rsidR="003D748E" w:rsidRDefault="00DF2056">
      <w:pPr>
        <w:pStyle w:val="Ttulo3"/>
        <w:spacing w:before="200" w:after="100"/>
      </w:pPr>
      <w:r>
        <w:rPr>
          <w:b/>
          <w:bCs/>
          <w:i/>
          <w:iCs/>
          <w:color w:val="8B6F1F"/>
          <w:sz w:val="22"/>
          <w:szCs w:val="22"/>
        </w:rPr>
        <w:t>Aplicación</w:t>
      </w:r>
    </w:p>
    <w:p w14:paraId="659354A7" w14:textId="77777777" w:rsidR="003D748E" w:rsidRDefault="00DF2056">
      <w:pPr>
        <w:pStyle w:val="Prrafodelista"/>
        <w:numPr>
          <w:ilvl w:val="0"/>
          <w:numId w:val="2"/>
        </w:numPr>
        <w:spacing w:after="100"/>
      </w:pPr>
      <w:r>
        <w:rPr>
          <w:szCs w:val="21"/>
        </w:rPr>
        <w:t>A partir de un caso hipotético de episiotomía practicada sin consentimiento informado, identifique todas las vías jurídicas cubanas potencialmente disponibles (constitucional, administrativa, civil, penal) y valore su viabilidad práctica respectiva.</w:t>
      </w:r>
    </w:p>
    <w:p w14:paraId="4B19E0B1" w14:textId="77777777" w:rsidR="003D748E" w:rsidRDefault="00DF2056">
      <w:pPr>
        <w:pStyle w:val="Ttulo3"/>
        <w:spacing w:before="200" w:after="100"/>
      </w:pPr>
      <w:r>
        <w:rPr>
          <w:b/>
          <w:bCs/>
          <w:i/>
          <w:iCs/>
          <w:color w:val="8B6F1F"/>
          <w:sz w:val="22"/>
          <w:szCs w:val="22"/>
        </w:rPr>
        <w:t>Valoración crítica</w:t>
      </w:r>
    </w:p>
    <w:p w14:paraId="68F23192" w14:textId="77777777" w:rsidR="003D748E" w:rsidRDefault="00DF2056">
      <w:pPr>
        <w:pStyle w:val="Prrafodelista"/>
        <w:numPr>
          <w:ilvl w:val="0"/>
          <w:numId w:val="2"/>
        </w:numPr>
        <w:spacing w:after="100"/>
      </w:pPr>
      <w:r>
        <w:rPr>
          <w:szCs w:val="21"/>
        </w:rPr>
        <w:t>Redacte, en no más de dos cuartillas, un dictamen sobre la suficiencia o insuficiencia del ordenamiento jurídico cubano vigente para enfrentar la violencia obstétrica, empleando como criterio de análisis los principios de efectividad y de reparación integral.</w:t>
      </w:r>
    </w:p>
    <w:p w14:paraId="096A1C03" w14:textId="77777777" w:rsidR="003D748E" w:rsidRDefault="00DF2056">
      <w:pPr>
        <w:pStyle w:val="Ttulo2"/>
        <w:spacing w:before="300" w:after="150"/>
      </w:pPr>
      <w:r>
        <w:rPr>
          <w:b/>
          <w:bCs/>
          <w:color w:val="1F3864"/>
          <w:sz w:val="25"/>
          <w:szCs w:val="25"/>
        </w:rPr>
        <w:t>5. Preguntas de autoevaluación</w:t>
      </w:r>
    </w:p>
    <w:p w14:paraId="0A7181F0" w14:textId="77777777" w:rsidR="003D748E" w:rsidRDefault="00DF2056">
      <w:pPr>
        <w:pStyle w:val="Prrafodelista"/>
        <w:numPr>
          <w:ilvl w:val="0"/>
          <w:numId w:val="1"/>
        </w:numPr>
        <w:spacing w:after="100"/>
      </w:pPr>
      <w:r>
        <w:rPr>
          <w:szCs w:val="21"/>
        </w:rPr>
        <w:t>Enumere los artículos constitucionales que fundamentan, aunque sea indirectamente, la protección frente a la violencia obstétrica.</w:t>
      </w:r>
    </w:p>
    <w:p w14:paraId="0F6D502C" w14:textId="77777777" w:rsidR="003D748E" w:rsidRDefault="00DF2056">
      <w:pPr>
        <w:pStyle w:val="Prrafodelista"/>
        <w:numPr>
          <w:ilvl w:val="0"/>
          <w:numId w:val="1"/>
        </w:numPr>
        <w:spacing w:after="100"/>
      </w:pPr>
      <w:r>
        <w:rPr>
          <w:szCs w:val="21"/>
        </w:rPr>
        <w:t>¿Por qué se afirma que el Código de las Familias ofrece solo un fundamento indirecto en esta materia?</w:t>
      </w:r>
    </w:p>
    <w:p w14:paraId="763F4D09" w14:textId="5E7C893E" w:rsidR="003D748E" w:rsidRDefault="00DF2056" w:rsidP="00D06D2D">
      <w:pPr>
        <w:pStyle w:val="Prrafodelista"/>
        <w:numPr>
          <w:ilvl w:val="0"/>
          <w:numId w:val="1"/>
        </w:numPr>
        <w:spacing w:after="100"/>
      </w:pPr>
      <w:r>
        <w:rPr>
          <w:szCs w:val="21"/>
        </w:rPr>
        <w:t>Explique por qué los tipos penales de lesiones o coacción resultan insuficientes para captar la totalidad del fenómeno de la violencia obstétrica.</w:t>
      </w:r>
      <w:bookmarkStart w:id="0" w:name="_GoBack"/>
      <w:bookmarkEnd w:id="0"/>
    </w:p>
    <w:sectPr w:rsidR="003D748E">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208E"/>
    <w:multiLevelType w:val="singleLevel"/>
    <w:tmpl w:val="0053208E"/>
    <w:lvl w:ilvl="0">
      <w:start w:val="1"/>
      <w:numFmt w:val="bullet"/>
      <w:lvlText w:val="•"/>
      <w:lvlJc w:val="left"/>
      <w:pPr>
        <w:ind w:left="460" w:hanging="260"/>
      </w:pPr>
    </w:lvl>
  </w:abstractNum>
  <w:abstractNum w:abstractNumId="1">
    <w:nsid w:val="59ADCABA"/>
    <w:multiLevelType w:val="singleLevel"/>
    <w:tmpl w:val="59ADCABA"/>
    <w:lvl w:ilvl="0">
      <w:start w:val="1"/>
      <w:numFmt w:val="decimal"/>
      <w:lvlText w:val="%1."/>
      <w:lvlJc w:val="left"/>
      <w:pPr>
        <w:ind w:left="460" w:hanging="2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48E"/>
    <w:rsid w:val="003D748E"/>
    <w:rsid w:val="005D5D05"/>
    <w:rsid w:val="007C3556"/>
    <w:rsid w:val="00D06D2D"/>
    <w:rsid w:val="00DF2056"/>
    <w:rsid w:val="07092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4A4C00-4F46-4D96-BFE2-EE864000A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s-US" w:eastAsia="es-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lsdException w:name="caption" w:semiHidden="1" w:unhideWhenUsed="1" w:qFormat="1"/>
    <w:lsdException w:name="footnote reference" w:semiHidden="1" w:uiPriority="99" w:unhideWhenUsed="1"/>
    <w:lsdException w:name="endnote reference" w:semiHidden="1" w:uiPriority="99" w:unhideWhenUsed="1" w:qFormat="1"/>
    <w:lsdException w:name="endnote text" w:semiHidden="1" w:uiPriority="99" w:unhideWhenUsed="1"/>
    <w:lsdException w:name="Title" w:qFormat="1"/>
    <w:lsdException w:name="Default Paragraph Font" w:semiHidden="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1"/>
      <w:szCs w:val="22"/>
    </w:rPr>
  </w:style>
  <w:style w:type="paragraph" w:styleId="Ttulo1">
    <w:name w:val="heading 1"/>
    <w:next w:val="Normal"/>
    <w:qFormat/>
    <w:pPr>
      <w:outlineLvl w:val="0"/>
    </w:pPr>
    <w:rPr>
      <w:color w:val="2E74B5"/>
      <w:sz w:val="32"/>
      <w:szCs w:val="32"/>
    </w:rPr>
  </w:style>
  <w:style w:type="paragraph" w:styleId="Ttulo2">
    <w:name w:val="heading 2"/>
    <w:next w:val="Normal"/>
    <w:qFormat/>
    <w:pPr>
      <w:outlineLvl w:val="1"/>
    </w:pPr>
    <w:rPr>
      <w:color w:val="2E74B5"/>
      <w:sz w:val="26"/>
      <w:szCs w:val="26"/>
    </w:rPr>
  </w:style>
  <w:style w:type="paragraph" w:styleId="Ttulo3">
    <w:name w:val="heading 3"/>
    <w:next w:val="Normal"/>
    <w:qFormat/>
    <w:pPr>
      <w:outlineLvl w:val="2"/>
    </w:pPr>
    <w:rPr>
      <w:color w:val="1F4D78"/>
      <w:sz w:val="24"/>
      <w:szCs w:val="24"/>
    </w:rPr>
  </w:style>
  <w:style w:type="paragraph" w:styleId="Ttulo4">
    <w:name w:val="heading 4"/>
    <w:next w:val="Normal"/>
    <w:qFormat/>
    <w:pPr>
      <w:outlineLvl w:val="3"/>
    </w:pPr>
    <w:rPr>
      <w:i/>
      <w:iCs/>
      <w:color w:val="2E74B5"/>
      <w:sz w:val="21"/>
      <w:szCs w:val="22"/>
    </w:rPr>
  </w:style>
  <w:style w:type="paragraph" w:styleId="Ttulo5">
    <w:name w:val="heading 5"/>
    <w:next w:val="Normal"/>
    <w:qFormat/>
    <w:pPr>
      <w:outlineLvl w:val="4"/>
    </w:pPr>
    <w:rPr>
      <w:color w:val="2E74B5"/>
      <w:sz w:val="21"/>
      <w:szCs w:val="22"/>
    </w:rPr>
  </w:style>
  <w:style w:type="paragraph" w:styleId="Ttulo6">
    <w:name w:val="heading 6"/>
    <w:next w:val="Normal"/>
    <w:qFormat/>
    <w:pPr>
      <w:outlineLvl w:val="5"/>
    </w:pPr>
    <w:rPr>
      <w:color w:val="1F4D78"/>
      <w:sz w:val="21"/>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final">
    <w:name w:val="endnote reference"/>
    <w:uiPriority w:val="99"/>
    <w:semiHidden/>
    <w:unhideWhenUsed/>
    <w:qFormat/>
    <w:rPr>
      <w:vertAlign w:val="superscript"/>
    </w:rPr>
  </w:style>
  <w:style w:type="character" w:styleId="Refdenotaalpie">
    <w:name w:val="footnote reference"/>
    <w:uiPriority w:val="99"/>
    <w:semiHidden/>
    <w:unhideWhenUsed/>
    <w:rPr>
      <w:vertAlign w:val="superscript"/>
    </w:rPr>
  </w:style>
  <w:style w:type="character" w:styleId="Hipervnculo">
    <w:name w:val="Hyperlink"/>
    <w:uiPriority w:val="99"/>
    <w:unhideWhenUsed/>
    <w:rPr>
      <w:color w:val="0563C1"/>
      <w:u w:val="single"/>
    </w:rPr>
  </w:style>
  <w:style w:type="paragraph" w:styleId="Textonotapie">
    <w:name w:val="footnote text"/>
    <w:link w:val="TextonotapieCar"/>
    <w:uiPriority w:val="99"/>
    <w:semiHidden/>
    <w:unhideWhenUsed/>
  </w:style>
  <w:style w:type="paragraph" w:styleId="Textonotaalfinal">
    <w:name w:val="endnote text"/>
    <w:link w:val="TextonotaalfinalCar"/>
    <w:uiPriority w:val="99"/>
    <w:semiHidden/>
    <w:unhideWhenUsed/>
  </w:style>
  <w:style w:type="paragraph" w:styleId="Puesto">
    <w:name w:val="Title"/>
    <w:qFormat/>
    <w:rPr>
      <w:sz w:val="56"/>
      <w:szCs w:val="56"/>
    </w:rPr>
  </w:style>
  <w:style w:type="paragraph" w:styleId="Prrafodelista">
    <w:name w:val="List Paragraph"/>
    <w:qFormat/>
    <w:rPr>
      <w:sz w:val="21"/>
      <w:szCs w:val="22"/>
    </w:rPr>
  </w:style>
  <w:style w:type="character" w:customStyle="1" w:styleId="TextonotapieCar">
    <w:name w:val="Texto nota pie Car"/>
    <w:link w:val="Textonotapie"/>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988</Words>
  <Characters>5440</Characters>
  <Application>Microsoft Office Word</Application>
  <DocSecurity>0</DocSecurity>
  <Lines>45</Lines>
  <Paragraphs>12</Paragraphs>
  <ScaleCrop>false</ScaleCrop>
  <Company/>
  <LinksUpToDate>false</LinksUpToDate>
  <CharactersWithSpaces>6416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casa</cp:lastModifiedBy>
  <cp:revision>6</cp:revision>
  <dcterms:created xsi:type="dcterms:W3CDTF">2026-09-27T17:21:00Z</dcterms:created>
  <dcterms:modified xsi:type="dcterms:W3CDTF">2026-09-29T13:33:00Z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eyJoZGlkIjoiOWM2OTU4YzAxYzI2ZTBkOWNkMjk0MmVhYTk0ODY5MDUiLCJ1c2VySWQiOiIxNjY2NzUwOTI2NzE5In0=</vt:lpwstr>
  </property>
  <property fmtid="{D5CDD505-2E9C-101B-9397-08002B2CF9AE}" pid="3" name="KSOProductBuildVer">
    <vt:lpwstr>3082-12.1.0.25862</vt:lpwstr>
  </property>
  <property fmtid="{D5CDD505-2E9C-101B-9397-08002B2CF9AE}" pid="4" name="ICV">
    <vt:lpwstr>21436B96DE134AC6A795E109885B9767_13</vt:lpwstr>
  </property>
</Properties>
</file>