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E61E1" w14:textId="77777777" w:rsidR="003D748E" w:rsidRDefault="00DF2056">
      <w:pPr>
        <w:pStyle w:val="Ttulo1"/>
        <w:pBdr>
          <w:bottom w:val="single" w:sz="8" w:space="4" w:color="1F3864"/>
        </w:pBdr>
        <w:spacing w:before="400" w:after="200"/>
      </w:pPr>
      <w:r>
        <w:rPr>
          <w:b/>
          <w:bCs/>
          <w:color w:val="1F3864"/>
          <w:sz w:val="30"/>
          <w:szCs w:val="30"/>
        </w:rPr>
        <w:t>TEMA IV. LA VIOLENCIA OBSTÉTRICA COMO CATEGORÍA JURÍDICA: RESPONSABILIDAD Y REPARACIÓN</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800"/>
      </w:tblGrid>
      <w:tr w:rsidR="003D748E" w14:paraId="771E356B" w14:textId="77777777">
        <w:trPr>
          <w:tblHeader/>
        </w:trPr>
        <w:tc>
          <w:tcPr>
            <w:tcW w:w="3000" w:type="dxa"/>
            <w:shd w:val="clear" w:color="auto" w:fill="1F3864"/>
            <w:tcMar>
              <w:top w:w="80" w:type="dxa"/>
              <w:left w:w="100" w:type="dxa"/>
              <w:bottom w:w="80" w:type="dxa"/>
              <w:right w:w="100" w:type="dxa"/>
            </w:tcMar>
            <w:vAlign w:val="center"/>
          </w:tcPr>
          <w:p w14:paraId="1A524C4C" w14:textId="77777777" w:rsidR="003D748E" w:rsidRDefault="00DF2056">
            <w:pPr>
              <w:jc w:val="center"/>
            </w:pPr>
            <w:r>
              <w:rPr>
                <w:b/>
                <w:bCs/>
                <w:color w:val="FFFFFF"/>
                <w:sz w:val="19"/>
                <w:szCs w:val="19"/>
              </w:rPr>
              <w:t>Ficha del tema</w:t>
            </w:r>
          </w:p>
        </w:tc>
        <w:tc>
          <w:tcPr>
            <w:tcW w:w="6800" w:type="dxa"/>
            <w:shd w:val="clear" w:color="auto" w:fill="1F3864"/>
            <w:tcMar>
              <w:top w:w="80" w:type="dxa"/>
              <w:left w:w="100" w:type="dxa"/>
              <w:bottom w:w="80" w:type="dxa"/>
              <w:right w:w="100" w:type="dxa"/>
            </w:tcMar>
            <w:vAlign w:val="center"/>
          </w:tcPr>
          <w:p w14:paraId="4429AC9A" w14:textId="77777777" w:rsidR="003D748E" w:rsidRDefault="003D748E">
            <w:pPr>
              <w:jc w:val="center"/>
            </w:pPr>
          </w:p>
        </w:tc>
      </w:tr>
      <w:tr w:rsidR="003D748E" w14:paraId="54286C21" w14:textId="77777777">
        <w:tc>
          <w:tcPr>
            <w:tcW w:w="3000" w:type="dxa"/>
            <w:shd w:val="clear" w:color="auto" w:fill="F5F5F5"/>
            <w:tcMar>
              <w:top w:w="80" w:type="dxa"/>
              <w:left w:w="100" w:type="dxa"/>
              <w:bottom w:w="80" w:type="dxa"/>
              <w:right w:w="100" w:type="dxa"/>
            </w:tcMar>
            <w:vAlign w:val="center"/>
          </w:tcPr>
          <w:p w14:paraId="310EEBBC" w14:textId="77777777" w:rsidR="003D748E" w:rsidRDefault="00DF2056">
            <w:r>
              <w:rPr>
                <w:color w:val="000000"/>
                <w:sz w:val="19"/>
                <w:szCs w:val="19"/>
              </w:rPr>
              <w:t>Horas clase</w:t>
            </w:r>
          </w:p>
        </w:tc>
        <w:tc>
          <w:tcPr>
            <w:tcW w:w="6800" w:type="dxa"/>
            <w:shd w:val="clear" w:color="auto" w:fill="F5F5F5"/>
            <w:tcMar>
              <w:top w:w="80" w:type="dxa"/>
              <w:left w:w="100" w:type="dxa"/>
              <w:bottom w:w="80" w:type="dxa"/>
              <w:right w:w="100" w:type="dxa"/>
            </w:tcMar>
            <w:vAlign w:val="center"/>
          </w:tcPr>
          <w:p w14:paraId="08CDC18A" w14:textId="77777777" w:rsidR="003D748E" w:rsidRDefault="00DF2056">
            <w:r>
              <w:rPr>
                <w:color w:val="000000"/>
                <w:sz w:val="19"/>
                <w:szCs w:val="19"/>
              </w:rPr>
              <w:t>10</w:t>
            </w:r>
          </w:p>
        </w:tc>
      </w:tr>
      <w:tr w:rsidR="003D748E" w14:paraId="6F03B8E8" w14:textId="77777777">
        <w:tc>
          <w:tcPr>
            <w:tcW w:w="3000" w:type="dxa"/>
            <w:shd w:val="clear" w:color="auto" w:fill="FFFFFF"/>
            <w:tcMar>
              <w:top w:w="80" w:type="dxa"/>
              <w:left w:w="100" w:type="dxa"/>
              <w:bottom w:w="80" w:type="dxa"/>
              <w:right w:w="100" w:type="dxa"/>
            </w:tcMar>
            <w:vAlign w:val="center"/>
          </w:tcPr>
          <w:p w14:paraId="7EFAF446" w14:textId="77777777" w:rsidR="003D748E" w:rsidRDefault="00DF2056">
            <w:r>
              <w:rPr>
                <w:color w:val="000000"/>
                <w:sz w:val="19"/>
                <w:szCs w:val="19"/>
              </w:rPr>
              <w:t>Objetivo general del tema</w:t>
            </w:r>
          </w:p>
        </w:tc>
        <w:tc>
          <w:tcPr>
            <w:tcW w:w="6800" w:type="dxa"/>
            <w:shd w:val="clear" w:color="auto" w:fill="FFFFFF"/>
            <w:tcMar>
              <w:top w:w="80" w:type="dxa"/>
              <w:left w:w="100" w:type="dxa"/>
              <w:bottom w:w="80" w:type="dxa"/>
              <w:right w:w="100" w:type="dxa"/>
            </w:tcMar>
            <w:vAlign w:val="center"/>
          </w:tcPr>
          <w:p w14:paraId="2F625A54" w14:textId="77777777" w:rsidR="003D748E" w:rsidRDefault="00DF2056">
            <w:r>
              <w:rPr>
                <w:color w:val="000000"/>
                <w:sz w:val="19"/>
                <w:szCs w:val="19"/>
              </w:rPr>
              <w:t>Argumentar los presupuestos jurídicos de la responsabilidad —civil, penal, administrativa— derivada de actos de violencia obstétrica y los mecanismos de reparación disponibles en el ordenamiento cubano.</w:t>
            </w:r>
          </w:p>
        </w:tc>
      </w:tr>
    </w:tbl>
    <w:p w14:paraId="37CF883D" w14:textId="77777777" w:rsidR="003D748E" w:rsidRDefault="003D748E">
      <w:pPr>
        <w:spacing w:after="120"/>
      </w:pPr>
    </w:p>
    <w:p w14:paraId="781F6D75" w14:textId="77777777" w:rsidR="003D748E" w:rsidRDefault="00DF2056">
      <w:pPr>
        <w:pStyle w:val="Ttulo3"/>
        <w:spacing w:before="200" w:after="100"/>
      </w:pPr>
      <w:r>
        <w:rPr>
          <w:b/>
          <w:bCs/>
          <w:i/>
          <w:iCs/>
          <w:color w:val="8B6F1F"/>
          <w:sz w:val="22"/>
          <w:szCs w:val="22"/>
        </w:rPr>
        <w:t>Objetivos específicos del tema</w:t>
      </w:r>
    </w:p>
    <w:p w14:paraId="7CC22518" w14:textId="77777777" w:rsidR="003D748E" w:rsidRDefault="00DF2056">
      <w:pPr>
        <w:pStyle w:val="Prrafodelista"/>
        <w:numPr>
          <w:ilvl w:val="0"/>
          <w:numId w:val="1"/>
        </w:numPr>
        <w:spacing w:after="100"/>
      </w:pPr>
      <w:r>
        <w:rPr>
          <w:szCs w:val="21"/>
        </w:rPr>
        <w:t>Aplicar las categorías de la responsabilidad civil extracontractual y contractual al supuesto de la violencia obstétrica.</w:t>
      </w:r>
    </w:p>
    <w:p w14:paraId="6B660042" w14:textId="77777777" w:rsidR="003D748E" w:rsidRDefault="00DF2056">
      <w:pPr>
        <w:pStyle w:val="Prrafodelista"/>
        <w:numPr>
          <w:ilvl w:val="0"/>
          <w:numId w:val="1"/>
        </w:numPr>
        <w:spacing w:after="100"/>
      </w:pPr>
      <w:r>
        <w:rPr>
          <w:szCs w:val="21"/>
        </w:rPr>
        <w:t>Analizar los presupuestos de la responsabilidad penal del personal sanitario.</w:t>
      </w:r>
    </w:p>
    <w:p w14:paraId="5FAD3F22" w14:textId="77777777" w:rsidR="003D748E" w:rsidRDefault="00DF2056">
      <w:pPr>
        <w:pStyle w:val="Prrafodelista"/>
        <w:numPr>
          <w:ilvl w:val="0"/>
          <w:numId w:val="1"/>
        </w:numPr>
        <w:spacing w:after="100"/>
      </w:pPr>
      <w:r>
        <w:rPr>
          <w:szCs w:val="21"/>
        </w:rPr>
        <w:t>Examinar las vías de reparación integral aplicables al contexto cubano.</w:t>
      </w:r>
    </w:p>
    <w:p w14:paraId="0E085F27" w14:textId="77777777" w:rsidR="003D748E" w:rsidRDefault="00DF2056">
      <w:pPr>
        <w:pStyle w:val="Ttulo2"/>
        <w:spacing w:before="300" w:after="150"/>
      </w:pPr>
      <w:r>
        <w:rPr>
          <w:b/>
          <w:bCs/>
          <w:color w:val="1F3864"/>
          <w:sz w:val="25"/>
          <w:szCs w:val="25"/>
        </w:rPr>
        <w:t>1. Síntesis de contenidos por subtema</w:t>
      </w:r>
    </w:p>
    <w:p w14:paraId="3A3ABFE9" w14:textId="77777777" w:rsidR="003D748E" w:rsidRDefault="00DF2056">
      <w:pPr>
        <w:pStyle w:val="Ttulo3"/>
        <w:spacing w:before="200" w:after="100"/>
      </w:pPr>
      <w:r>
        <w:rPr>
          <w:b/>
          <w:bCs/>
          <w:i/>
          <w:iCs/>
          <w:color w:val="8B6F1F"/>
          <w:sz w:val="22"/>
          <w:szCs w:val="22"/>
        </w:rPr>
        <w:t>4.1. Responsabilidad civil</w:t>
      </w:r>
    </w:p>
    <w:p w14:paraId="55DD2AEC" w14:textId="77777777" w:rsidR="003D748E" w:rsidRDefault="00DF2056">
      <w:pPr>
        <w:spacing w:after="160" w:line="276" w:lineRule="auto"/>
        <w:jc w:val="both"/>
      </w:pPr>
      <w:r>
        <w:rPr>
          <w:szCs w:val="21"/>
        </w:rPr>
        <w:t>El análisis dogmático exige distinguir el daño moral (afectación de la esfera espiritual y emocional) del daño al proyecto de vida (frustración de expectativas vitales legítimas vinculadas a la experiencia reproductiva), categorías ambas aplicables al supuesto de la violencia obstétrica. La determinación del nexo causal entre la conducta del personal sanitario y el daño alegado, así como la calificación de culpa o negligencia, constituyen los presupuestos técnicos centrales de imputación.</w:t>
      </w:r>
    </w:p>
    <w:p w14:paraId="309120AC" w14:textId="77777777" w:rsidR="003D748E" w:rsidRDefault="00DF2056">
      <w:pPr>
        <w:pStyle w:val="Ttulo3"/>
        <w:spacing w:before="200" w:after="100"/>
      </w:pPr>
      <w:r>
        <w:rPr>
          <w:b/>
          <w:bCs/>
          <w:i/>
          <w:iCs/>
          <w:color w:val="8B6F1F"/>
          <w:sz w:val="22"/>
          <w:szCs w:val="22"/>
        </w:rPr>
        <w:t>4.2. El consentimiento informado como categoría jurídica central</w:t>
      </w:r>
    </w:p>
    <w:p w14:paraId="710A40A6" w14:textId="77777777" w:rsidR="003D748E" w:rsidRDefault="00DF2056">
      <w:pPr>
        <w:spacing w:after="160" w:line="276" w:lineRule="auto"/>
        <w:jc w:val="both"/>
      </w:pPr>
      <w:r>
        <w:rPr>
          <w:szCs w:val="21"/>
        </w:rPr>
        <w:t xml:space="preserve">Su vulneración genera responsabilidad civil autónoma, con independencia de que la intervención médica haya sido técnicamente correcta conforme a la </w:t>
      </w:r>
      <w:proofErr w:type="spellStart"/>
      <w:r>
        <w:rPr>
          <w:szCs w:val="21"/>
        </w:rPr>
        <w:t>lex</w:t>
      </w:r>
      <w:proofErr w:type="spellEnd"/>
      <w:r>
        <w:rPr>
          <w:szCs w:val="21"/>
        </w:rPr>
        <w:t xml:space="preserve"> </w:t>
      </w:r>
      <w:proofErr w:type="spellStart"/>
      <w:r>
        <w:rPr>
          <w:szCs w:val="21"/>
        </w:rPr>
        <w:t>artis</w:t>
      </w:r>
      <w:proofErr w:type="spellEnd"/>
      <w:r>
        <w:rPr>
          <w:szCs w:val="21"/>
        </w:rPr>
        <w:t>. Este es el punto de mayor rendimiento dogmático para la construcción de pretensiones jurídicas en el contexto cubano actual, por apoyarse en una norma expresa (Ley 41 y su Reglamento) de aplicación directa.</w:t>
      </w:r>
    </w:p>
    <w:p w14:paraId="7CC0F942" w14:textId="77777777" w:rsidR="003D748E" w:rsidRDefault="00DF2056">
      <w:pPr>
        <w:pStyle w:val="Ttulo3"/>
        <w:spacing w:before="200" w:after="100"/>
      </w:pPr>
      <w:r>
        <w:rPr>
          <w:b/>
          <w:bCs/>
          <w:i/>
          <w:iCs/>
          <w:color w:val="8B6F1F"/>
          <w:sz w:val="22"/>
          <w:szCs w:val="22"/>
        </w:rPr>
        <w:t>4.3. Responsabilidad penal</w:t>
      </w:r>
    </w:p>
    <w:p w14:paraId="4ED95256" w14:textId="77777777" w:rsidR="003D748E" w:rsidRDefault="00DF2056">
      <w:pPr>
        <w:spacing w:after="160" w:line="276" w:lineRule="auto"/>
        <w:jc w:val="both"/>
      </w:pPr>
      <w:r>
        <w:rPr>
          <w:szCs w:val="21"/>
        </w:rPr>
        <w:t>Requiere el análisis de la imputación objetiva (relación de riesgo entre la conducta y el resultado) y subjetiva (dolo o culpa), así como de la posición de garante que ostenta el personal sanitario respecto de la salud de la paciente. Especial atención merece la distinción entre dolo eventual y culpa consciente en los supuestos límite de violencia obstétrica con resultado lesivo grave.</w:t>
      </w:r>
    </w:p>
    <w:p w14:paraId="2F2C6902" w14:textId="77777777" w:rsidR="003D748E" w:rsidRDefault="00DF2056">
      <w:pPr>
        <w:pStyle w:val="Ttulo3"/>
        <w:spacing w:before="200" w:after="100"/>
      </w:pPr>
      <w:r>
        <w:rPr>
          <w:b/>
          <w:bCs/>
          <w:i/>
          <w:iCs/>
          <w:color w:val="8B6F1F"/>
          <w:sz w:val="22"/>
          <w:szCs w:val="22"/>
        </w:rPr>
        <w:t>4.4. Responsabilidad institucional del Estado</w:t>
      </w:r>
    </w:p>
    <w:p w14:paraId="13B0C2F9" w14:textId="77777777" w:rsidR="003D748E" w:rsidRDefault="00DF2056">
      <w:pPr>
        <w:spacing w:after="160" w:line="276" w:lineRule="auto"/>
        <w:jc w:val="both"/>
      </w:pPr>
      <w:r>
        <w:rPr>
          <w:szCs w:val="21"/>
        </w:rPr>
        <w:t>El Estado cubano, como garante constitucional del derecho a la salud (art. 72 CRC) y titular del sistema único y gratuito de salud pública, puede resultar sujeto de responsabilidad patrimonial por fallas estructurales del servicio (déficit de recursos, ausencia de protocolos de atención respetuosa) que favorezcan la producción de actos de violencia obstétrica.</w:t>
      </w:r>
    </w:p>
    <w:p w14:paraId="4A64D1C6" w14:textId="77777777" w:rsidR="003D748E" w:rsidRDefault="003D748E">
      <w:pPr>
        <w:pStyle w:val="Ttulo3"/>
        <w:spacing w:before="200" w:after="100"/>
        <w:rPr>
          <w:b/>
          <w:bCs/>
          <w:i/>
          <w:iCs/>
          <w:color w:val="8B6F1F"/>
          <w:sz w:val="22"/>
          <w:szCs w:val="22"/>
        </w:rPr>
      </w:pPr>
    </w:p>
    <w:p w14:paraId="1589EDDF" w14:textId="77777777" w:rsidR="003D748E" w:rsidRDefault="003D748E">
      <w:pPr>
        <w:pStyle w:val="Ttulo3"/>
        <w:spacing w:before="200" w:after="100"/>
        <w:rPr>
          <w:b/>
          <w:bCs/>
          <w:i/>
          <w:iCs/>
          <w:color w:val="8B6F1F"/>
          <w:sz w:val="22"/>
          <w:szCs w:val="22"/>
        </w:rPr>
      </w:pPr>
    </w:p>
    <w:p w14:paraId="036257BB" w14:textId="77777777" w:rsidR="003D748E" w:rsidRDefault="00DF2056">
      <w:pPr>
        <w:pStyle w:val="Ttulo3"/>
        <w:spacing w:before="200" w:after="100"/>
      </w:pPr>
      <w:r>
        <w:rPr>
          <w:b/>
          <w:bCs/>
          <w:i/>
          <w:iCs/>
          <w:color w:val="8B6F1F"/>
          <w:sz w:val="22"/>
          <w:szCs w:val="22"/>
        </w:rPr>
        <w:t>4.5. Reparación integral</w:t>
      </w:r>
    </w:p>
    <w:p w14:paraId="10E926FD" w14:textId="77777777" w:rsidR="003D748E" w:rsidRDefault="00DF2056">
      <w:pPr>
        <w:spacing w:after="160" w:line="276" w:lineRule="auto"/>
        <w:jc w:val="both"/>
      </w:pPr>
      <w:r>
        <w:rPr>
          <w:szCs w:val="21"/>
        </w:rPr>
        <w:t xml:space="preserve">El estándar interamericano de reparación integral (restitución, indemnización, rehabilitación, satisfacción y garantías de no repetición) ofrece un marco conceptual de gran valor heurístico para evaluar la suficiencia de los mecanismos </w:t>
      </w:r>
      <w:proofErr w:type="spellStart"/>
      <w:r>
        <w:rPr>
          <w:szCs w:val="21"/>
        </w:rPr>
        <w:t>reparatorios</w:t>
      </w:r>
      <w:proofErr w:type="spellEnd"/>
      <w:r>
        <w:rPr>
          <w:szCs w:val="21"/>
        </w:rPr>
        <w:t xml:space="preserve"> actualmente disponibles en Cuba, aun cuando dicho estándar no resulte directamente vinculante.</w:t>
      </w:r>
    </w:p>
    <w:p w14:paraId="691090B2" w14:textId="77777777" w:rsidR="003D748E" w:rsidRDefault="00DF2056">
      <w:pPr>
        <w:pStyle w:val="Ttulo2"/>
        <w:spacing w:before="300" w:after="150"/>
      </w:pPr>
      <w:r>
        <w:rPr>
          <w:b/>
          <w:bCs/>
          <w:color w:val="1F3864"/>
          <w:sz w:val="25"/>
          <w:szCs w:val="25"/>
        </w:rPr>
        <w:t>2. Vocabulario jurídico básico</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200"/>
      </w:tblGrid>
      <w:tr w:rsidR="003D748E" w14:paraId="39F20CFB" w14:textId="77777777">
        <w:trPr>
          <w:tblHeader/>
        </w:trPr>
        <w:tc>
          <w:tcPr>
            <w:tcW w:w="2600" w:type="dxa"/>
            <w:shd w:val="clear" w:color="auto" w:fill="1F3864"/>
            <w:tcMar>
              <w:top w:w="80" w:type="dxa"/>
              <w:left w:w="100" w:type="dxa"/>
              <w:bottom w:w="80" w:type="dxa"/>
              <w:right w:w="100" w:type="dxa"/>
            </w:tcMar>
            <w:vAlign w:val="center"/>
          </w:tcPr>
          <w:p w14:paraId="1AF7590D" w14:textId="77777777" w:rsidR="003D748E" w:rsidRDefault="00DF2056">
            <w:pPr>
              <w:jc w:val="center"/>
            </w:pPr>
            <w:r>
              <w:rPr>
                <w:b/>
                <w:bCs/>
                <w:color w:val="FFFFFF"/>
                <w:sz w:val="19"/>
                <w:szCs w:val="19"/>
              </w:rPr>
              <w:t>Término</w:t>
            </w:r>
          </w:p>
        </w:tc>
        <w:tc>
          <w:tcPr>
            <w:tcW w:w="7200" w:type="dxa"/>
            <w:shd w:val="clear" w:color="auto" w:fill="1F3864"/>
            <w:tcMar>
              <w:top w:w="80" w:type="dxa"/>
              <w:left w:w="100" w:type="dxa"/>
              <w:bottom w:w="80" w:type="dxa"/>
              <w:right w:w="100" w:type="dxa"/>
            </w:tcMar>
            <w:vAlign w:val="center"/>
          </w:tcPr>
          <w:p w14:paraId="0164B73A" w14:textId="77777777" w:rsidR="003D748E" w:rsidRDefault="00DF2056">
            <w:pPr>
              <w:jc w:val="center"/>
            </w:pPr>
            <w:r>
              <w:rPr>
                <w:b/>
                <w:bCs/>
                <w:color w:val="FFFFFF"/>
                <w:sz w:val="19"/>
                <w:szCs w:val="19"/>
              </w:rPr>
              <w:t>Definición operativa</w:t>
            </w:r>
          </w:p>
        </w:tc>
      </w:tr>
      <w:tr w:rsidR="003D748E" w14:paraId="470441B1" w14:textId="77777777">
        <w:tc>
          <w:tcPr>
            <w:tcW w:w="2600" w:type="dxa"/>
            <w:shd w:val="clear" w:color="auto" w:fill="F5F5F5"/>
            <w:tcMar>
              <w:top w:w="80" w:type="dxa"/>
              <w:left w:w="100" w:type="dxa"/>
              <w:bottom w:w="80" w:type="dxa"/>
              <w:right w:w="100" w:type="dxa"/>
            </w:tcMar>
            <w:vAlign w:val="center"/>
          </w:tcPr>
          <w:p w14:paraId="43E1A07E" w14:textId="77777777" w:rsidR="003D748E" w:rsidRDefault="00DF2056">
            <w:r>
              <w:rPr>
                <w:color w:val="000000"/>
                <w:sz w:val="19"/>
                <w:szCs w:val="19"/>
              </w:rPr>
              <w:t>Daño moral</w:t>
            </w:r>
          </w:p>
        </w:tc>
        <w:tc>
          <w:tcPr>
            <w:tcW w:w="7200" w:type="dxa"/>
            <w:shd w:val="clear" w:color="auto" w:fill="F5F5F5"/>
            <w:tcMar>
              <w:top w:w="80" w:type="dxa"/>
              <w:left w:w="100" w:type="dxa"/>
              <w:bottom w:w="80" w:type="dxa"/>
              <w:right w:w="100" w:type="dxa"/>
            </w:tcMar>
            <w:vAlign w:val="center"/>
          </w:tcPr>
          <w:p w14:paraId="136F90A6" w14:textId="77777777" w:rsidR="003D748E" w:rsidRDefault="00DF2056">
            <w:r>
              <w:rPr>
                <w:color w:val="000000"/>
                <w:sz w:val="19"/>
                <w:szCs w:val="19"/>
              </w:rPr>
              <w:t xml:space="preserve">Afectación de bienes </w:t>
            </w:r>
            <w:proofErr w:type="spellStart"/>
            <w:r>
              <w:rPr>
                <w:color w:val="000000"/>
                <w:sz w:val="19"/>
                <w:szCs w:val="19"/>
              </w:rPr>
              <w:t>extrapatrimoniales</w:t>
            </w:r>
            <w:proofErr w:type="spellEnd"/>
            <w:r>
              <w:rPr>
                <w:color w:val="000000"/>
                <w:sz w:val="19"/>
                <w:szCs w:val="19"/>
              </w:rPr>
              <w:t xml:space="preserve"> de la persona —sufrimiento, angustia, menoscabo de la esfera afectiva— derivada de un hecho antijurídico, resarcible mediante indemnización pecuniaria compensatoria.</w:t>
            </w:r>
          </w:p>
        </w:tc>
      </w:tr>
      <w:tr w:rsidR="003D748E" w14:paraId="63B5F584" w14:textId="77777777">
        <w:tc>
          <w:tcPr>
            <w:tcW w:w="2600" w:type="dxa"/>
            <w:shd w:val="clear" w:color="auto" w:fill="FFFFFF"/>
            <w:tcMar>
              <w:top w:w="80" w:type="dxa"/>
              <w:left w:w="100" w:type="dxa"/>
              <w:bottom w:w="80" w:type="dxa"/>
              <w:right w:w="100" w:type="dxa"/>
            </w:tcMar>
            <w:vAlign w:val="center"/>
          </w:tcPr>
          <w:p w14:paraId="13DF0913" w14:textId="77777777" w:rsidR="003D748E" w:rsidRDefault="00DF2056">
            <w:r>
              <w:rPr>
                <w:color w:val="000000"/>
                <w:sz w:val="19"/>
                <w:szCs w:val="19"/>
              </w:rPr>
              <w:t>Daño al proyecto de vida</w:t>
            </w:r>
          </w:p>
        </w:tc>
        <w:tc>
          <w:tcPr>
            <w:tcW w:w="7200" w:type="dxa"/>
            <w:shd w:val="clear" w:color="auto" w:fill="FFFFFF"/>
            <w:tcMar>
              <w:top w:w="80" w:type="dxa"/>
              <w:left w:w="100" w:type="dxa"/>
              <w:bottom w:w="80" w:type="dxa"/>
              <w:right w:w="100" w:type="dxa"/>
            </w:tcMar>
            <w:vAlign w:val="center"/>
          </w:tcPr>
          <w:p w14:paraId="1517C4DC" w14:textId="77777777" w:rsidR="003D748E" w:rsidRDefault="00DF2056">
            <w:r>
              <w:rPr>
                <w:color w:val="000000"/>
                <w:sz w:val="19"/>
                <w:szCs w:val="19"/>
              </w:rPr>
              <w:t>Categoría de daño que atiende a la frustración grave e irreversible de expectativas vitales legítimas de la persona, distinta del daño moral en tanto proyecta sus efectos hacia el futuro existencial del sujeto.</w:t>
            </w:r>
          </w:p>
        </w:tc>
      </w:tr>
      <w:tr w:rsidR="003D748E" w14:paraId="4C06F614" w14:textId="77777777">
        <w:tc>
          <w:tcPr>
            <w:tcW w:w="2600" w:type="dxa"/>
            <w:shd w:val="clear" w:color="auto" w:fill="F5F5F5"/>
            <w:tcMar>
              <w:top w:w="80" w:type="dxa"/>
              <w:left w:w="100" w:type="dxa"/>
              <w:bottom w:w="80" w:type="dxa"/>
              <w:right w:w="100" w:type="dxa"/>
            </w:tcMar>
            <w:vAlign w:val="center"/>
          </w:tcPr>
          <w:p w14:paraId="28BE66D9" w14:textId="77777777" w:rsidR="003D748E" w:rsidRDefault="00DF2056">
            <w:r>
              <w:rPr>
                <w:color w:val="000000"/>
                <w:sz w:val="19"/>
                <w:szCs w:val="19"/>
              </w:rPr>
              <w:t>Imputación objetiva</w:t>
            </w:r>
          </w:p>
        </w:tc>
        <w:tc>
          <w:tcPr>
            <w:tcW w:w="7200" w:type="dxa"/>
            <w:shd w:val="clear" w:color="auto" w:fill="F5F5F5"/>
            <w:tcMar>
              <w:top w:w="80" w:type="dxa"/>
              <w:left w:w="100" w:type="dxa"/>
              <w:bottom w:w="80" w:type="dxa"/>
              <w:right w:w="100" w:type="dxa"/>
            </w:tcMar>
            <w:vAlign w:val="center"/>
          </w:tcPr>
          <w:p w14:paraId="15A35997" w14:textId="77777777" w:rsidR="003D748E" w:rsidRDefault="00DF2056">
            <w:r>
              <w:rPr>
                <w:color w:val="000000"/>
                <w:sz w:val="19"/>
                <w:szCs w:val="19"/>
              </w:rPr>
              <w:t>Criterio dogmático-penal que exige verificar si la conducta del agente creó un riesgo jurídicamente desaprobado que se realizó en el resultado, como presupuesto previo a la valoración de la culpabilidad.</w:t>
            </w:r>
          </w:p>
        </w:tc>
      </w:tr>
      <w:tr w:rsidR="003D748E" w14:paraId="6703D55B" w14:textId="77777777">
        <w:tc>
          <w:tcPr>
            <w:tcW w:w="2600" w:type="dxa"/>
            <w:shd w:val="clear" w:color="auto" w:fill="FFFFFF"/>
            <w:tcMar>
              <w:top w:w="80" w:type="dxa"/>
              <w:left w:w="100" w:type="dxa"/>
              <w:bottom w:w="80" w:type="dxa"/>
              <w:right w:w="100" w:type="dxa"/>
            </w:tcMar>
            <w:vAlign w:val="center"/>
          </w:tcPr>
          <w:p w14:paraId="1CC09143" w14:textId="77777777" w:rsidR="003D748E" w:rsidRDefault="00DF2056">
            <w:r>
              <w:rPr>
                <w:color w:val="000000"/>
                <w:sz w:val="19"/>
                <w:szCs w:val="19"/>
              </w:rPr>
              <w:t>Posición de garante</w:t>
            </w:r>
          </w:p>
        </w:tc>
        <w:tc>
          <w:tcPr>
            <w:tcW w:w="7200" w:type="dxa"/>
            <w:shd w:val="clear" w:color="auto" w:fill="FFFFFF"/>
            <w:tcMar>
              <w:top w:w="80" w:type="dxa"/>
              <w:left w:w="100" w:type="dxa"/>
              <w:bottom w:w="80" w:type="dxa"/>
              <w:right w:w="100" w:type="dxa"/>
            </w:tcMar>
            <w:vAlign w:val="center"/>
          </w:tcPr>
          <w:p w14:paraId="1A98D776" w14:textId="77777777" w:rsidR="003D748E" w:rsidRDefault="00DF2056">
            <w:r>
              <w:rPr>
                <w:color w:val="000000"/>
                <w:sz w:val="19"/>
                <w:szCs w:val="19"/>
              </w:rPr>
              <w:t>Situación jurídica en virtud de la cual un sujeto asume el deber especial de evitar la producción de un resultado lesivo, cuyo incumplimiento por omisión puede equipararse a la causación activa del resultado.</w:t>
            </w:r>
          </w:p>
        </w:tc>
      </w:tr>
      <w:tr w:rsidR="003D748E" w14:paraId="076EE6B5" w14:textId="77777777">
        <w:tc>
          <w:tcPr>
            <w:tcW w:w="2600" w:type="dxa"/>
            <w:shd w:val="clear" w:color="auto" w:fill="F5F5F5"/>
            <w:tcMar>
              <w:top w:w="80" w:type="dxa"/>
              <w:left w:w="100" w:type="dxa"/>
              <w:bottom w:w="80" w:type="dxa"/>
              <w:right w:w="100" w:type="dxa"/>
            </w:tcMar>
            <w:vAlign w:val="center"/>
          </w:tcPr>
          <w:p w14:paraId="6A76CA6E" w14:textId="77777777" w:rsidR="003D748E" w:rsidRDefault="00DF2056">
            <w:r>
              <w:rPr>
                <w:color w:val="000000"/>
                <w:sz w:val="19"/>
                <w:szCs w:val="19"/>
              </w:rPr>
              <w:t>Reparación integral</w:t>
            </w:r>
          </w:p>
        </w:tc>
        <w:tc>
          <w:tcPr>
            <w:tcW w:w="7200" w:type="dxa"/>
            <w:shd w:val="clear" w:color="auto" w:fill="F5F5F5"/>
            <w:tcMar>
              <w:top w:w="80" w:type="dxa"/>
              <w:left w:w="100" w:type="dxa"/>
              <w:bottom w:w="80" w:type="dxa"/>
              <w:right w:w="100" w:type="dxa"/>
            </w:tcMar>
            <w:vAlign w:val="center"/>
          </w:tcPr>
          <w:p w14:paraId="0A2BEA66" w14:textId="77777777" w:rsidR="003D748E" w:rsidRDefault="00DF2056">
            <w:r>
              <w:rPr>
                <w:color w:val="000000"/>
                <w:sz w:val="19"/>
                <w:szCs w:val="19"/>
              </w:rPr>
              <w:t>Estándar de derechos humanos que exige, ante toda violación, la combinación de medidas de restitución, indemnización, rehabilitación, satisfacción y garantías de no repetición, orientadas a restablecer, en la medida de lo posible, la situación anterior a la violación.</w:t>
            </w:r>
          </w:p>
        </w:tc>
      </w:tr>
      <w:tr w:rsidR="003D748E" w14:paraId="4AA2FB8B" w14:textId="77777777">
        <w:tc>
          <w:tcPr>
            <w:tcW w:w="2600" w:type="dxa"/>
            <w:shd w:val="clear" w:color="auto" w:fill="FFFFFF"/>
            <w:tcMar>
              <w:top w:w="80" w:type="dxa"/>
              <w:left w:w="100" w:type="dxa"/>
              <w:bottom w:w="80" w:type="dxa"/>
              <w:right w:w="100" w:type="dxa"/>
            </w:tcMar>
            <w:vAlign w:val="center"/>
          </w:tcPr>
          <w:p w14:paraId="2D4DCFF7" w14:textId="77777777" w:rsidR="003D748E" w:rsidRDefault="00DF2056">
            <w:r>
              <w:rPr>
                <w:color w:val="000000"/>
                <w:sz w:val="19"/>
                <w:szCs w:val="19"/>
              </w:rPr>
              <w:t>Responsabilidad patrimonial del Estado</w:t>
            </w:r>
          </w:p>
        </w:tc>
        <w:tc>
          <w:tcPr>
            <w:tcW w:w="7200" w:type="dxa"/>
            <w:shd w:val="clear" w:color="auto" w:fill="FFFFFF"/>
            <w:tcMar>
              <w:top w:w="80" w:type="dxa"/>
              <w:left w:w="100" w:type="dxa"/>
              <w:bottom w:w="80" w:type="dxa"/>
              <w:right w:w="100" w:type="dxa"/>
            </w:tcMar>
            <w:vAlign w:val="center"/>
          </w:tcPr>
          <w:p w14:paraId="02E820A3" w14:textId="77777777" w:rsidR="003D748E" w:rsidRDefault="00DF2056">
            <w:r>
              <w:rPr>
                <w:color w:val="000000"/>
                <w:sz w:val="19"/>
                <w:szCs w:val="19"/>
              </w:rPr>
              <w:t>Obligación del Estado de reparar los daños causados a los particulares como consecuencia del funcionamiento —normal o anormal— de los servicios públicos, incluido el servicio de salud.</w:t>
            </w:r>
          </w:p>
        </w:tc>
      </w:tr>
    </w:tbl>
    <w:p w14:paraId="0935F37C" w14:textId="77777777" w:rsidR="003D748E" w:rsidRDefault="00DF2056">
      <w:pPr>
        <w:pStyle w:val="Ttulo2"/>
        <w:spacing w:before="300" w:after="150"/>
      </w:pPr>
      <w:r>
        <w:rPr>
          <w:b/>
          <w:bCs/>
          <w:color w:val="1F3864"/>
          <w:sz w:val="25"/>
          <w:szCs w:val="25"/>
        </w:rPr>
        <w:t>3. Tabla comparativa: tipos de responsabilidad jurídica aplicable</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700"/>
        <w:gridCol w:w="2300"/>
        <w:gridCol w:w="2000"/>
      </w:tblGrid>
      <w:tr w:rsidR="003D748E" w14:paraId="7EA1DC04" w14:textId="77777777">
        <w:trPr>
          <w:tblHeader/>
        </w:trPr>
        <w:tc>
          <w:tcPr>
            <w:tcW w:w="2400" w:type="dxa"/>
            <w:shd w:val="clear" w:color="auto" w:fill="1F3864"/>
            <w:tcMar>
              <w:top w:w="80" w:type="dxa"/>
              <w:left w:w="100" w:type="dxa"/>
              <w:bottom w:w="80" w:type="dxa"/>
              <w:right w:w="100" w:type="dxa"/>
            </w:tcMar>
            <w:vAlign w:val="center"/>
          </w:tcPr>
          <w:p w14:paraId="7B6C6218" w14:textId="77777777" w:rsidR="003D748E" w:rsidRDefault="00DF2056">
            <w:pPr>
              <w:jc w:val="center"/>
            </w:pPr>
            <w:r>
              <w:rPr>
                <w:b/>
                <w:bCs/>
                <w:color w:val="FFFFFF"/>
                <w:sz w:val="19"/>
                <w:szCs w:val="19"/>
              </w:rPr>
              <w:t>Tipo de responsabilidad</w:t>
            </w:r>
          </w:p>
        </w:tc>
        <w:tc>
          <w:tcPr>
            <w:tcW w:w="2700" w:type="dxa"/>
            <w:shd w:val="clear" w:color="auto" w:fill="1F3864"/>
            <w:tcMar>
              <w:top w:w="80" w:type="dxa"/>
              <w:left w:w="100" w:type="dxa"/>
              <w:bottom w:w="80" w:type="dxa"/>
              <w:right w:w="100" w:type="dxa"/>
            </w:tcMar>
            <w:vAlign w:val="center"/>
          </w:tcPr>
          <w:p w14:paraId="275510AA" w14:textId="77777777" w:rsidR="003D748E" w:rsidRDefault="00DF2056">
            <w:pPr>
              <w:jc w:val="center"/>
            </w:pPr>
            <w:r>
              <w:rPr>
                <w:b/>
                <w:bCs/>
                <w:color w:val="FFFFFF"/>
                <w:sz w:val="19"/>
                <w:szCs w:val="19"/>
              </w:rPr>
              <w:t>Presupuesto central</w:t>
            </w:r>
          </w:p>
        </w:tc>
        <w:tc>
          <w:tcPr>
            <w:tcW w:w="2300" w:type="dxa"/>
            <w:shd w:val="clear" w:color="auto" w:fill="1F3864"/>
            <w:tcMar>
              <w:top w:w="80" w:type="dxa"/>
              <w:left w:w="100" w:type="dxa"/>
              <w:bottom w:w="80" w:type="dxa"/>
              <w:right w:w="100" w:type="dxa"/>
            </w:tcMar>
            <w:vAlign w:val="center"/>
          </w:tcPr>
          <w:p w14:paraId="4085AFC3" w14:textId="77777777" w:rsidR="003D748E" w:rsidRDefault="00DF2056">
            <w:pPr>
              <w:jc w:val="center"/>
            </w:pPr>
            <w:r>
              <w:rPr>
                <w:b/>
                <w:bCs/>
                <w:color w:val="FFFFFF"/>
                <w:sz w:val="19"/>
                <w:szCs w:val="19"/>
              </w:rPr>
              <w:t>Consecuencia jurídica</w:t>
            </w:r>
          </w:p>
        </w:tc>
        <w:tc>
          <w:tcPr>
            <w:tcW w:w="2000" w:type="dxa"/>
            <w:shd w:val="clear" w:color="auto" w:fill="1F3864"/>
            <w:tcMar>
              <w:top w:w="80" w:type="dxa"/>
              <w:left w:w="100" w:type="dxa"/>
              <w:bottom w:w="80" w:type="dxa"/>
              <w:right w:w="100" w:type="dxa"/>
            </w:tcMar>
            <w:vAlign w:val="center"/>
          </w:tcPr>
          <w:p w14:paraId="28B2BF2D" w14:textId="77777777" w:rsidR="003D748E" w:rsidRDefault="00DF2056">
            <w:pPr>
              <w:jc w:val="center"/>
            </w:pPr>
            <w:r>
              <w:rPr>
                <w:b/>
                <w:bCs/>
                <w:color w:val="FFFFFF"/>
                <w:sz w:val="19"/>
                <w:szCs w:val="19"/>
              </w:rPr>
              <w:t>Vía procesal en Cuba</w:t>
            </w:r>
          </w:p>
        </w:tc>
      </w:tr>
      <w:tr w:rsidR="003D748E" w14:paraId="1754BF3F" w14:textId="77777777">
        <w:tc>
          <w:tcPr>
            <w:tcW w:w="2400" w:type="dxa"/>
            <w:shd w:val="clear" w:color="auto" w:fill="F5F5F5"/>
            <w:tcMar>
              <w:top w:w="80" w:type="dxa"/>
              <w:left w:w="100" w:type="dxa"/>
              <w:bottom w:w="80" w:type="dxa"/>
              <w:right w:w="100" w:type="dxa"/>
            </w:tcMar>
            <w:vAlign w:val="center"/>
          </w:tcPr>
          <w:p w14:paraId="669F4A40" w14:textId="77777777" w:rsidR="003D748E" w:rsidRDefault="00DF2056">
            <w:r>
              <w:rPr>
                <w:color w:val="000000"/>
                <w:sz w:val="19"/>
                <w:szCs w:val="19"/>
              </w:rPr>
              <w:t>Civil</w:t>
            </w:r>
          </w:p>
        </w:tc>
        <w:tc>
          <w:tcPr>
            <w:tcW w:w="2700" w:type="dxa"/>
            <w:shd w:val="clear" w:color="auto" w:fill="F5F5F5"/>
            <w:tcMar>
              <w:top w:w="80" w:type="dxa"/>
              <w:left w:w="100" w:type="dxa"/>
              <w:bottom w:w="80" w:type="dxa"/>
              <w:right w:w="100" w:type="dxa"/>
            </w:tcMar>
            <w:vAlign w:val="center"/>
          </w:tcPr>
          <w:p w14:paraId="409F62C1" w14:textId="77777777" w:rsidR="003D748E" w:rsidRDefault="00DF2056">
            <w:r>
              <w:rPr>
                <w:color w:val="000000"/>
                <w:sz w:val="19"/>
                <w:szCs w:val="19"/>
              </w:rPr>
              <w:t>Daño + nexo causal + culpa (o vulneración del consentimiento informado)</w:t>
            </w:r>
          </w:p>
        </w:tc>
        <w:tc>
          <w:tcPr>
            <w:tcW w:w="2300" w:type="dxa"/>
            <w:shd w:val="clear" w:color="auto" w:fill="F5F5F5"/>
            <w:tcMar>
              <w:top w:w="80" w:type="dxa"/>
              <w:left w:w="100" w:type="dxa"/>
              <w:bottom w:w="80" w:type="dxa"/>
              <w:right w:w="100" w:type="dxa"/>
            </w:tcMar>
            <w:vAlign w:val="center"/>
          </w:tcPr>
          <w:p w14:paraId="229B7C1D" w14:textId="77777777" w:rsidR="003D748E" w:rsidRDefault="00DF2056">
            <w:r>
              <w:rPr>
                <w:color w:val="000000"/>
                <w:sz w:val="19"/>
                <w:szCs w:val="19"/>
              </w:rPr>
              <w:t>Indemnización pecuniaria / reparación del daño moral</w:t>
            </w:r>
          </w:p>
        </w:tc>
        <w:tc>
          <w:tcPr>
            <w:tcW w:w="2000" w:type="dxa"/>
            <w:shd w:val="clear" w:color="auto" w:fill="F5F5F5"/>
            <w:tcMar>
              <w:top w:w="80" w:type="dxa"/>
              <w:left w:w="100" w:type="dxa"/>
              <w:bottom w:w="80" w:type="dxa"/>
              <w:right w:w="100" w:type="dxa"/>
            </w:tcMar>
            <w:vAlign w:val="center"/>
          </w:tcPr>
          <w:p w14:paraId="24ABFE9B" w14:textId="77777777" w:rsidR="003D748E" w:rsidRDefault="00DF2056">
            <w:r>
              <w:rPr>
                <w:color w:val="000000"/>
                <w:sz w:val="19"/>
                <w:szCs w:val="19"/>
              </w:rPr>
              <w:t>Proceso civil ordinario</w:t>
            </w:r>
          </w:p>
        </w:tc>
      </w:tr>
      <w:tr w:rsidR="003D748E" w14:paraId="4BA815AD" w14:textId="77777777">
        <w:tc>
          <w:tcPr>
            <w:tcW w:w="2400" w:type="dxa"/>
            <w:shd w:val="clear" w:color="auto" w:fill="FFFFFF"/>
            <w:tcMar>
              <w:top w:w="80" w:type="dxa"/>
              <w:left w:w="100" w:type="dxa"/>
              <w:bottom w:w="80" w:type="dxa"/>
              <w:right w:w="100" w:type="dxa"/>
            </w:tcMar>
            <w:vAlign w:val="center"/>
          </w:tcPr>
          <w:p w14:paraId="4D73609F" w14:textId="77777777" w:rsidR="003D748E" w:rsidRDefault="00DF2056">
            <w:r>
              <w:rPr>
                <w:color w:val="000000"/>
                <w:sz w:val="19"/>
                <w:szCs w:val="19"/>
              </w:rPr>
              <w:t>Penal</w:t>
            </w:r>
          </w:p>
        </w:tc>
        <w:tc>
          <w:tcPr>
            <w:tcW w:w="2700" w:type="dxa"/>
            <w:shd w:val="clear" w:color="auto" w:fill="FFFFFF"/>
            <w:tcMar>
              <w:top w:w="80" w:type="dxa"/>
              <w:left w:w="100" w:type="dxa"/>
              <w:bottom w:w="80" w:type="dxa"/>
              <w:right w:w="100" w:type="dxa"/>
            </w:tcMar>
            <w:vAlign w:val="center"/>
          </w:tcPr>
          <w:p w14:paraId="09444126" w14:textId="77777777" w:rsidR="003D748E" w:rsidRDefault="00DF2056">
            <w:r>
              <w:rPr>
                <w:color w:val="000000"/>
                <w:sz w:val="19"/>
                <w:szCs w:val="19"/>
              </w:rPr>
              <w:t>Tipicidad + antijuridicidad + culpabilidad</w:t>
            </w:r>
          </w:p>
        </w:tc>
        <w:tc>
          <w:tcPr>
            <w:tcW w:w="2300" w:type="dxa"/>
            <w:shd w:val="clear" w:color="auto" w:fill="FFFFFF"/>
            <w:tcMar>
              <w:top w:w="80" w:type="dxa"/>
              <w:left w:w="100" w:type="dxa"/>
              <w:bottom w:w="80" w:type="dxa"/>
              <w:right w:w="100" w:type="dxa"/>
            </w:tcMar>
            <w:vAlign w:val="center"/>
          </w:tcPr>
          <w:p w14:paraId="4EE47DF4" w14:textId="77777777" w:rsidR="003D748E" w:rsidRDefault="00DF2056">
            <w:r>
              <w:rPr>
                <w:color w:val="000000"/>
                <w:sz w:val="19"/>
                <w:szCs w:val="19"/>
              </w:rPr>
              <w:t>Sanción penal (privativa de libertad u otra)</w:t>
            </w:r>
          </w:p>
        </w:tc>
        <w:tc>
          <w:tcPr>
            <w:tcW w:w="2000" w:type="dxa"/>
            <w:shd w:val="clear" w:color="auto" w:fill="FFFFFF"/>
            <w:tcMar>
              <w:top w:w="80" w:type="dxa"/>
              <w:left w:w="100" w:type="dxa"/>
              <w:bottom w:w="80" w:type="dxa"/>
              <w:right w:w="100" w:type="dxa"/>
            </w:tcMar>
            <w:vAlign w:val="center"/>
          </w:tcPr>
          <w:p w14:paraId="1497BF3C" w14:textId="77777777" w:rsidR="003D748E" w:rsidRDefault="00DF2056">
            <w:r>
              <w:rPr>
                <w:color w:val="000000"/>
                <w:sz w:val="19"/>
                <w:szCs w:val="19"/>
              </w:rPr>
              <w:t>Proceso penal, previa denuncia</w:t>
            </w:r>
          </w:p>
        </w:tc>
      </w:tr>
      <w:tr w:rsidR="003D748E" w14:paraId="247EA083" w14:textId="77777777">
        <w:tc>
          <w:tcPr>
            <w:tcW w:w="2400" w:type="dxa"/>
            <w:shd w:val="clear" w:color="auto" w:fill="F5F5F5"/>
            <w:tcMar>
              <w:top w:w="80" w:type="dxa"/>
              <w:left w:w="100" w:type="dxa"/>
              <w:bottom w:w="80" w:type="dxa"/>
              <w:right w:w="100" w:type="dxa"/>
            </w:tcMar>
            <w:vAlign w:val="center"/>
          </w:tcPr>
          <w:p w14:paraId="531148FE" w14:textId="77777777" w:rsidR="003D748E" w:rsidRDefault="00DF2056">
            <w:r>
              <w:rPr>
                <w:color w:val="000000"/>
                <w:sz w:val="19"/>
                <w:szCs w:val="19"/>
              </w:rPr>
              <w:t>Administrativa/disciplinaria</w:t>
            </w:r>
          </w:p>
        </w:tc>
        <w:tc>
          <w:tcPr>
            <w:tcW w:w="2700" w:type="dxa"/>
            <w:shd w:val="clear" w:color="auto" w:fill="F5F5F5"/>
            <w:tcMar>
              <w:top w:w="80" w:type="dxa"/>
              <w:left w:w="100" w:type="dxa"/>
              <w:bottom w:w="80" w:type="dxa"/>
              <w:right w:w="100" w:type="dxa"/>
            </w:tcMar>
            <w:vAlign w:val="center"/>
          </w:tcPr>
          <w:p w14:paraId="757466C6" w14:textId="77777777" w:rsidR="003D748E" w:rsidRDefault="00DF2056">
            <w:r>
              <w:rPr>
                <w:color w:val="000000"/>
                <w:sz w:val="19"/>
                <w:szCs w:val="19"/>
              </w:rPr>
              <w:t>Infracción de deberes funcionales o normativa sanitaria</w:t>
            </w:r>
          </w:p>
        </w:tc>
        <w:tc>
          <w:tcPr>
            <w:tcW w:w="2300" w:type="dxa"/>
            <w:shd w:val="clear" w:color="auto" w:fill="F5F5F5"/>
            <w:tcMar>
              <w:top w:w="80" w:type="dxa"/>
              <w:left w:w="100" w:type="dxa"/>
              <w:bottom w:w="80" w:type="dxa"/>
              <w:right w:w="100" w:type="dxa"/>
            </w:tcMar>
            <w:vAlign w:val="center"/>
          </w:tcPr>
          <w:p w14:paraId="0D18C920" w14:textId="77777777" w:rsidR="003D748E" w:rsidRDefault="00DF2056">
            <w:r>
              <w:rPr>
                <w:color w:val="000000"/>
                <w:sz w:val="19"/>
                <w:szCs w:val="19"/>
              </w:rPr>
              <w:t>Medidas disciplinarias internas</w:t>
            </w:r>
          </w:p>
        </w:tc>
        <w:tc>
          <w:tcPr>
            <w:tcW w:w="2000" w:type="dxa"/>
            <w:shd w:val="clear" w:color="auto" w:fill="F5F5F5"/>
            <w:tcMar>
              <w:top w:w="80" w:type="dxa"/>
              <w:left w:w="100" w:type="dxa"/>
              <w:bottom w:w="80" w:type="dxa"/>
              <w:right w:w="100" w:type="dxa"/>
            </w:tcMar>
            <w:vAlign w:val="center"/>
          </w:tcPr>
          <w:p w14:paraId="2D79B035" w14:textId="77777777" w:rsidR="003D748E" w:rsidRDefault="00DF2056">
            <w:r>
              <w:rPr>
                <w:color w:val="000000"/>
                <w:sz w:val="19"/>
                <w:szCs w:val="19"/>
              </w:rPr>
              <w:t>Queja ante dirección de salud / expediente disciplinario</w:t>
            </w:r>
          </w:p>
        </w:tc>
      </w:tr>
      <w:tr w:rsidR="003D748E" w14:paraId="26A2EA2C" w14:textId="77777777">
        <w:tc>
          <w:tcPr>
            <w:tcW w:w="2400" w:type="dxa"/>
            <w:shd w:val="clear" w:color="auto" w:fill="FFFFFF"/>
            <w:tcMar>
              <w:top w:w="80" w:type="dxa"/>
              <w:left w:w="100" w:type="dxa"/>
              <w:bottom w:w="80" w:type="dxa"/>
              <w:right w:w="100" w:type="dxa"/>
            </w:tcMar>
            <w:vAlign w:val="center"/>
          </w:tcPr>
          <w:p w14:paraId="6F4C272D" w14:textId="77777777" w:rsidR="003D748E" w:rsidRDefault="00DF2056">
            <w:r>
              <w:rPr>
                <w:color w:val="000000"/>
                <w:sz w:val="19"/>
                <w:szCs w:val="19"/>
              </w:rPr>
              <w:t>Patrimonial del Estado</w:t>
            </w:r>
          </w:p>
        </w:tc>
        <w:tc>
          <w:tcPr>
            <w:tcW w:w="2700" w:type="dxa"/>
            <w:shd w:val="clear" w:color="auto" w:fill="FFFFFF"/>
            <w:tcMar>
              <w:top w:w="80" w:type="dxa"/>
              <w:left w:w="100" w:type="dxa"/>
              <w:bottom w:w="80" w:type="dxa"/>
              <w:right w:w="100" w:type="dxa"/>
            </w:tcMar>
            <w:vAlign w:val="center"/>
          </w:tcPr>
          <w:p w14:paraId="4005E44E" w14:textId="77777777" w:rsidR="003D748E" w:rsidRDefault="00DF2056">
            <w:r>
              <w:rPr>
                <w:color w:val="000000"/>
                <w:sz w:val="19"/>
                <w:szCs w:val="19"/>
              </w:rPr>
              <w:t>Falla del servicio público de salud</w:t>
            </w:r>
          </w:p>
        </w:tc>
        <w:tc>
          <w:tcPr>
            <w:tcW w:w="2300" w:type="dxa"/>
            <w:shd w:val="clear" w:color="auto" w:fill="FFFFFF"/>
            <w:tcMar>
              <w:top w:w="80" w:type="dxa"/>
              <w:left w:w="100" w:type="dxa"/>
              <w:bottom w:w="80" w:type="dxa"/>
              <w:right w:w="100" w:type="dxa"/>
            </w:tcMar>
            <w:vAlign w:val="center"/>
          </w:tcPr>
          <w:p w14:paraId="7185D76F" w14:textId="77777777" w:rsidR="003D748E" w:rsidRDefault="00DF2056">
            <w:r>
              <w:rPr>
                <w:color w:val="000000"/>
                <w:sz w:val="19"/>
                <w:szCs w:val="19"/>
              </w:rPr>
              <w:t>Indemnización a cargo del Estado</w:t>
            </w:r>
          </w:p>
        </w:tc>
        <w:tc>
          <w:tcPr>
            <w:tcW w:w="2000" w:type="dxa"/>
            <w:shd w:val="clear" w:color="auto" w:fill="FFFFFF"/>
            <w:tcMar>
              <w:top w:w="80" w:type="dxa"/>
              <w:left w:w="100" w:type="dxa"/>
              <w:bottom w:w="80" w:type="dxa"/>
              <w:right w:w="100" w:type="dxa"/>
            </w:tcMar>
            <w:vAlign w:val="center"/>
          </w:tcPr>
          <w:p w14:paraId="5DD6984A" w14:textId="77777777" w:rsidR="003D748E" w:rsidRDefault="00DF2056">
            <w:r>
              <w:rPr>
                <w:color w:val="000000"/>
                <w:sz w:val="19"/>
                <w:szCs w:val="19"/>
              </w:rPr>
              <w:t>Vía administrativa y, eventualmente, judicial</w:t>
            </w:r>
          </w:p>
        </w:tc>
      </w:tr>
    </w:tbl>
    <w:p w14:paraId="365FDCCA" w14:textId="77777777" w:rsidR="003D748E" w:rsidRDefault="003D748E">
      <w:pPr>
        <w:pStyle w:val="Ttulo2"/>
        <w:spacing w:before="300" w:after="150"/>
        <w:rPr>
          <w:b/>
          <w:bCs/>
          <w:color w:val="1F3864"/>
          <w:sz w:val="25"/>
          <w:szCs w:val="25"/>
        </w:rPr>
      </w:pPr>
    </w:p>
    <w:p w14:paraId="1164046F" w14:textId="77777777" w:rsidR="003D748E" w:rsidRDefault="003D748E">
      <w:pPr>
        <w:pStyle w:val="Ttulo2"/>
        <w:spacing w:before="300" w:after="150"/>
        <w:rPr>
          <w:b/>
          <w:bCs/>
          <w:color w:val="1F3864"/>
          <w:sz w:val="25"/>
          <w:szCs w:val="25"/>
        </w:rPr>
      </w:pPr>
    </w:p>
    <w:p w14:paraId="520763B5" w14:textId="77777777" w:rsidR="003D748E" w:rsidRDefault="00DF2056">
      <w:pPr>
        <w:pStyle w:val="Ttulo2"/>
        <w:spacing w:before="300" w:after="150"/>
      </w:pPr>
      <w:r>
        <w:rPr>
          <w:b/>
          <w:bCs/>
          <w:color w:val="1F3864"/>
          <w:sz w:val="25"/>
          <w:szCs w:val="25"/>
        </w:rPr>
        <w:t>4. Actividades de aprendizaje</w:t>
      </w:r>
    </w:p>
    <w:p w14:paraId="7482DEA7" w14:textId="77777777" w:rsidR="003D748E" w:rsidRDefault="00DF2056">
      <w:pPr>
        <w:pStyle w:val="Ttulo3"/>
        <w:spacing w:before="200" w:after="100"/>
      </w:pPr>
      <w:r>
        <w:rPr>
          <w:b/>
          <w:bCs/>
          <w:i/>
          <w:iCs/>
          <w:color w:val="8B6F1F"/>
          <w:sz w:val="22"/>
          <w:szCs w:val="22"/>
        </w:rPr>
        <w:t>Comprensión</w:t>
      </w:r>
    </w:p>
    <w:p w14:paraId="3B21895B" w14:textId="77777777" w:rsidR="003D748E" w:rsidRDefault="00DF2056">
      <w:pPr>
        <w:pStyle w:val="Prrafodelista"/>
        <w:numPr>
          <w:ilvl w:val="0"/>
          <w:numId w:val="2"/>
        </w:numPr>
        <w:spacing w:after="100"/>
      </w:pPr>
      <w:r>
        <w:rPr>
          <w:szCs w:val="21"/>
        </w:rPr>
        <w:t>Distinga, mediante un cuadro comparativo propio, los presupuestos de la responsabilidad civil y penal aplicables a un mismo supuesto de hecho de violencia obstétrica.</w:t>
      </w:r>
    </w:p>
    <w:p w14:paraId="3BC2C48E" w14:textId="77777777" w:rsidR="003D748E" w:rsidRDefault="00DF2056">
      <w:pPr>
        <w:pStyle w:val="Ttulo3"/>
        <w:spacing w:before="200" w:after="100"/>
      </w:pPr>
      <w:r>
        <w:rPr>
          <w:b/>
          <w:bCs/>
          <w:i/>
          <w:iCs/>
          <w:color w:val="8B6F1F"/>
          <w:sz w:val="22"/>
          <w:szCs w:val="22"/>
        </w:rPr>
        <w:t>Aplicación</w:t>
      </w:r>
    </w:p>
    <w:p w14:paraId="09808EB9" w14:textId="77777777" w:rsidR="003D748E" w:rsidRDefault="00DF2056">
      <w:pPr>
        <w:pStyle w:val="Prrafodelista"/>
        <w:numPr>
          <w:ilvl w:val="0"/>
          <w:numId w:val="2"/>
        </w:numPr>
        <w:spacing w:after="100"/>
      </w:pPr>
      <w:r>
        <w:rPr>
          <w:szCs w:val="21"/>
        </w:rPr>
        <w:t>Redacte los fundamentos de derecho de una demanda civil hipotética por daño moral derivado de la vulneración del consentimiento informado en un parto, citando la normativa cubana pertinente.</w:t>
      </w:r>
    </w:p>
    <w:p w14:paraId="27496AB3" w14:textId="77777777" w:rsidR="003D748E" w:rsidRDefault="00DF2056">
      <w:pPr>
        <w:pStyle w:val="Ttulo3"/>
        <w:spacing w:before="200" w:after="100"/>
      </w:pPr>
      <w:r>
        <w:rPr>
          <w:b/>
          <w:bCs/>
          <w:i/>
          <w:iCs/>
          <w:color w:val="8B6F1F"/>
          <w:sz w:val="22"/>
          <w:szCs w:val="22"/>
        </w:rPr>
        <w:t>Valoración crítica</w:t>
      </w:r>
    </w:p>
    <w:p w14:paraId="5F93537C" w14:textId="77777777" w:rsidR="003D748E" w:rsidRDefault="00DF2056">
      <w:pPr>
        <w:pStyle w:val="Prrafodelista"/>
        <w:numPr>
          <w:ilvl w:val="0"/>
          <w:numId w:val="2"/>
        </w:numPr>
        <w:spacing w:after="100"/>
      </w:pPr>
      <w:r>
        <w:rPr>
          <w:szCs w:val="21"/>
        </w:rPr>
        <w:t>Argumente, en seminario, si resulta dogmáticamente sostenible construir en Cuba una responsabilidad patrimonial del Estado por violencia obstétrica a partir del artículo 72 constitucional, considerando las particularidades del sistema único y gratuito de salud.</w:t>
      </w:r>
    </w:p>
    <w:p w14:paraId="4F5B3BDA" w14:textId="77777777" w:rsidR="003D748E" w:rsidRDefault="00DF2056">
      <w:pPr>
        <w:pStyle w:val="Ttulo2"/>
        <w:spacing w:before="300" w:after="150"/>
      </w:pPr>
      <w:r>
        <w:rPr>
          <w:b/>
          <w:bCs/>
          <w:color w:val="1F3864"/>
          <w:sz w:val="25"/>
          <w:szCs w:val="25"/>
        </w:rPr>
        <w:t>5. Preguntas de autoevaluación</w:t>
      </w:r>
    </w:p>
    <w:p w14:paraId="7C86D183" w14:textId="77777777" w:rsidR="003D748E" w:rsidRDefault="00DF2056">
      <w:pPr>
        <w:pStyle w:val="Prrafodelista"/>
        <w:numPr>
          <w:ilvl w:val="0"/>
          <w:numId w:val="1"/>
        </w:numPr>
        <w:spacing w:after="100"/>
      </w:pPr>
      <w:r>
        <w:rPr>
          <w:szCs w:val="21"/>
        </w:rPr>
        <w:t>Diferencie daño moral y daño al proyecto de vida.</w:t>
      </w:r>
    </w:p>
    <w:p w14:paraId="26C1C787" w14:textId="77777777" w:rsidR="003D748E" w:rsidRDefault="00DF2056">
      <w:pPr>
        <w:pStyle w:val="Prrafodelista"/>
        <w:numPr>
          <w:ilvl w:val="0"/>
          <w:numId w:val="1"/>
        </w:numPr>
        <w:spacing w:after="100"/>
      </w:pPr>
      <w:r>
        <w:rPr>
          <w:szCs w:val="21"/>
        </w:rPr>
        <w:t>¿Qué elementos integran la imputación objetiva en el ámbito de la responsabilidad penal del personal sanitario?</w:t>
      </w:r>
    </w:p>
    <w:p w14:paraId="34FEF127" w14:textId="77777777" w:rsidR="003D748E" w:rsidRDefault="00DF2056">
      <w:pPr>
        <w:pStyle w:val="Prrafodelista"/>
        <w:numPr>
          <w:ilvl w:val="0"/>
          <w:numId w:val="1"/>
        </w:numPr>
        <w:spacing w:after="100"/>
      </w:pPr>
      <w:r>
        <w:rPr>
          <w:szCs w:val="21"/>
        </w:rPr>
        <w:t>Enumere los cinco componentes del estándar de reparación integral.</w:t>
      </w:r>
    </w:p>
    <w:p w14:paraId="763F4D09" w14:textId="254BA3BE" w:rsidR="003D748E" w:rsidRDefault="003D748E" w:rsidP="00FC565C">
      <w:bookmarkStart w:id="0" w:name="_GoBack"/>
      <w:bookmarkEnd w:id="0"/>
    </w:p>
    <w:sectPr w:rsidR="003D748E">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3208E"/>
    <w:multiLevelType w:val="singleLevel"/>
    <w:tmpl w:val="0053208E"/>
    <w:lvl w:ilvl="0">
      <w:start w:val="1"/>
      <w:numFmt w:val="bullet"/>
      <w:lvlText w:val="•"/>
      <w:lvlJc w:val="left"/>
      <w:pPr>
        <w:ind w:left="460" w:hanging="260"/>
      </w:pPr>
    </w:lvl>
  </w:abstractNum>
  <w:abstractNum w:abstractNumId="1">
    <w:nsid w:val="59ADCABA"/>
    <w:multiLevelType w:val="singleLevel"/>
    <w:tmpl w:val="59ADCABA"/>
    <w:lvl w:ilvl="0">
      <w:start w:val="1"/>
      <w:numFmt w:val="decimal"/>
      <w:lvlText w:val="%1."/>
      <w:lvlJc w:val="left"/>
      <w:pPr>
        <w:ind w:left="460" w:hanging="26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48E"/>
    <w:rsid w:val="003D748E"/>
    <w:rsid w:val="007C3556"/>
    <w:rsid w:val="00DF2056"/>
    <w:rsid w:val="00FC565C"/>
    <w:rsid w:val="070922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4A4C00-4F46-4D96-BFE2-EE864000A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s-US" w:eastAsia="es-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lsdException w:name="caption" w:semiHidden="1" w:unhideWhenUsed="1" w:qFormat="1"/>
    <w:lsdException w:name="footnote reference" w:semiHidden="1" w:uiPriority="99" w:unhideWhenUsed="1"/>
    <w:lsdException w:name="endnote reference" w:semiHidden="1" w:uiPriority="99" w:unhideWhenUsed="1" w:qFormat="1"/>
    <w:lsdException w:name="endnote text" w:semiHidden="1" w:uiPriority="99" w:unhideWhenUsed="1"/>
    <w:lsdException w:name="Title" w:qFormat="1"/>
    <w:lsdException w:name="Default Paragraph Font" w:semiHidden="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1"/>
      <w:szCs w:val="22"/>
    </w:rPr>
  </w:style>
  <w:style w:type="paragraph" w:styleId="Ttulo1">
    <w:name w:val="heading 1"/>
    <w:next w:val="Normal"/>
    <w:qFormat/>
    <w:pPr>
      <w:outlineLvl w:val="0"/>
    </w:pPr>
    <w:rPr>
      <w:color w:val="2E74B5"/>
      <w:sz w:val="32"/>
      <w:szCs w:val="32"/>
    </w:rPr>
  </w:style>
  <w:style w:type="paragraph" w:styleId="Ttulo2">
    <w:name w:val="heading 2"/>
    <w:next w:val="Normal"/>
    <w:qFormat/>
    <w:pPr>
      <w:outlineLvl w:val="1"/>
    </w:pPr>
    <w:rPr>
      <w:color w:val="2E74B5"/>
      <w:sz w:val="26"/>
      <w:szCs w:val="26"/>
    </w:rPr>
  </w:style>
  <w:style w:type="paragraph" w:styleId="Ttulo3">
    <w:name w:val="heading 3"/>
    <w:next w:val="Normal"/>
    <w:qFormat/>
    <w:pPr>
      <w:outlineLvl w:val="2"/>
    </w:pPr>
    <w:rPr>
      <w:color w:val="1F4D78"/>
      <w:sz w:val="24"/>
      <w:szCs w:val="24"/>
    </w:rPr>
  </w:style>
  <w:style w:type="paragraph" w:styleId="Ttulo4">
    <w:name w:val="heading 4"/>
    <w:next w:val="Normal"/>
    <w:qFormat/>
    <w:pPr>
      <w:outlineLvl w:val="3"/>
    </w:pPr>
    <w:rPr>
      <w:i/>
      <w:iCs/>
      <w:color w:val="2E74B5"/>
      <w:sz w:val="21"/>
      <w:szCs w:val="22"/>
    </w:rPr>
  </w:style>
  <w:style w:type="paragraph" w:styleId="Ttulo5">
    <w:name w:val="heading 5"/>
    <w:next w:val="Normal"/>
    <w:qFormat/>
    <w:pPr>
      <w:outlineLvl w:val="4"/>
    </w:pPr>
    <w:rPr>
      <w:color w:val="2E74B5"/>
      <w:sz w:val="21"/>
      <w:szCs w:val="22"/>
    </w:rPr>
  </w:style>
  <w:style w:type="paragraph" w:styleId="Ttulo6">
    <w:name w:val="heading 6"/>
    <w:next w:val="Normal"/>
    <w:qFormat/>
    <w:pPr>
      <w:outlineLvl w:val="5"/>
    </w:pPr>
    <w:rPr>
      <w:color w:val="1F4D78"/>
      <w:sz w:val="21"/>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final">
    <w:name w:val="endnote reference"/>
    <w:uiPriority w:val="99"/>
    <w:semiHidden/>
    <w:unhideWhenUsed/>
    <w:qFormat/>
    <w:rPr>
      <w:vertAlign w:val="superscript"/>
    </w:rPr>
  </w:style>
  <w:style w:type="character" w:styleId="Refdenotaalpie">
    <w:name w:val="footnote reference"/>
    <w:uiPriority w:val="99"/>
    <w:semiHidden/>
    <w:unhideWhenUsed/>
    <w:rPr>
      <w:vertAlign w:val="superscript"/>
    </w:rPr>
  </w:style>
  <w:style w:type="character" w:styleId="Hipervnculo">
    <w:name w:val="Hyperlink"/>
    <w:uiPriority w:val="99"/>
    <w:unhideWhenUsed/>
    <w:rPr>
      <w:color w:val="0563C1"/>
      <w:u w:val="single"/>
    </w:rPr>
  </w:style>
  <w:style w:type="paragraph" w:styleId="Textonotapie">
    <w:name w:val="footnote text"/>
    <w:link w:val="TextonotapieCar"/>
    <w:uiPriority w:val="99"/>
    <w:semiHidden/>
    <w:unhideWhenUsed/>
  </w:style>
  <w:style w:type="paragraph" w:styleId="Textonotaalfinal">
    <w:name w:val="endnote text"/>
    <w:link w:val="TextonotaalfinalCar"/>
    <w:uiPriority w:val="99"/>
    <w:semiHidden/>
    <w:unhideWhenUsed/>
  </w:style>
  <w:style w:type="paragraph" w:styleId="Puesto">
    <w:name w:val="Title"/>
    <w:qFormat/>
    <w:rPr>
      <w:sz w:val="56"/>
      <w:szCs w:val="56"/>
    </w:rPr>
  </w:style>
  <w:style w:type="paragraph" w:styleId="Prrafodelista">
    <w:name w:val="List Paragraph"/>
    <w:qFormat/>
    <w:rPr>
      <w:sz w:val="21"/>
      <w:szCs w:val="22"/>
    </w:rPr>
  </w:style>
  <w:style w:type="character" w:customStyle="1" w:styleId="TextonotapieCar">
    <w:name w:val="Texto nota pie Car"/>
    <w:link w:val="Textonotapie"/>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927</Words>
  <Characters>5104</Characters>
  <Application>Microsoft Office Word</Application>
  <DocSecurity>0</DocSecurity>
  <Lines>42</Lines>
  <Paragraphs>12</Paragraphs>
  <ScaleCrop>false</ScaleCrop>
  <Company/>
  <LinksUpToDate>false</LinksUpToDate>
  <CharactersWithSpaces>6019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casa</cp:lastModifiedBy>
  <cp:revision>4</cp:revision>
  <dcterms:created xsi:type="dcterms:W3CDTF">2026-09-27T17:21:00Z</dcterms:created>
  <dcterms:modified xsi:type="dcterms:W3CDTF">2026-09-29T13:34:00Z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eyJoZGlkIjoiOWM2OTU4YzAxYzI2ZTBkOWNkMjk0MmVhYTk0ODY5MDUiLCJ1c2VySWQiOiIxNjY2NzUwOTI2NzE5In0=</vt:lpwstr>
  </property>
  <property fmtid="{D5CDD505-2E9C-101B-9397-08002B2CF9AE}" pid="3" name="KSOProductBuildVer">
    <vt:lpwstr>3082-12.1.0.25862</vt:lpwstr>
  </property>
  <property fmtid="{D5CDD505-2E9C-101B-9397-08002B2CF9AE}" pid="4" name="ICV">
    <vt:lpwstr>21436B96DE134AC6A795E109885B9767_13</vt:lpwstr>
  </property>
</Properties>
</file>