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F7B52" w14:textId="77777777" w:rsidR="003D748E" w:rsidRDefault="00DF2056">
      <w:pPr>
        <w:pStyle w:val="Ttulo1"/>
        <w:pBdr>
          <w:bottom w:val="single" w:sz="8" w:space="4" w:color="1F3864"/>
        </w:pBdr>
        <w:spacing w:before="400" w:after="200"/>
      </w:pPr>
      <w:r>
        <w:rPr>
          <w:b/>
          <w:bCs/>
          <w:color w:val="1F3864"/>
          <w:sz w:val="30"/>
          <w:szCs w:val="30"/>
        </w:rPr>
        <w:t>TEMA V. DERECHO COMPARADO, JURISPRUDENCIA Y MECANISMOS DE EXIGIBILIDAD</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69DFD4F6" w14:textId="77777777">
        <w:trPr>
          <w:tblHeader/>
        </w:trPr>
        <w:tc>
          <w:tcPr>
            <w:tcW w:w="3000" w:type="dxa"/>
            <w:shd w:val="clear" w:color="auto" w:fill="1F3864"/>
            <w:tcMar>
              <w:top w:w="80" w:type="dxa"/>
              <w:left w:w="100" w:type="dxa"/>
              <w:bottom w:w="80" w:type="dxa"/>
              <w:right w:w="100" w:type="dxa"/>
            </w:tcMar>
            <w:vAlign w:val="center"/>
          </w:tcPr>
          <w:p w14:paraId="063A76F3"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215492EC" w14:textId="77777777" w:rsidR="003D748E" w:rsidRDefault="003D748E">
            <w:pPr>
              <w:jc w:val="center"/>
            </w:pPr>
          </w:p>
        </w:tc>
      </w:tr>
      <w:tr w:rsidR="003D748E" w14:paraId="6CA6E704" w14:textId="77777777">
        <w:tc>
          <w:tcPr>
            <w:tcW w:w="3000" w:type="dxa"/>
            <w:shd w:val="clear" w:color="auto" w:fill="F5F5F5"/>
            <w:tcMar>
              <w:top w:w="80" w:type="dxa"/>
              <w:left w:w="100" w:type="dxa"/>
              <w:bottom w:w="80" w:type="dxa"/>
              <w:right w:w="100" w:type="dxa"/>
            </w:tcMar>
            <w:vAlign w:val="center"/>
          </w:tcPr>
          <w:p w14:paraId="20B6252C"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3552A740" w14:textId="77777777" w:rsidR="003D748E" w:rsidRDefault="00DF2056">
            <w:r>
              <w:rPr>
                <w:color w:val="000000"/>
                <w:sz w:val="19"/>
                <w:szCs w:val="19"/>
              </w:rPr>
              <w:t>8</w:t>
            </w:r>
          </w:p>
        </w:tc>
      </w:tr>
      <w:tr w:rsidR="003D748E" w14:paraId="0D32477B" w14:textId="77777777">
        <w:tc>
          <w:tcPr>
            <w:tcW w:w="3000" w:type="dxa"/>
            <w:shd w:val="clear" w:color="auto" w:fill="FFFFFF"/>
            <w:tcMar>
              <w:top w:w="80" w:type="dxa"/>
              <w:left w:w="100" w:type="dxa"/>
              <w:bottom w:w="80" w:type="dxa"/>
              <w:right w:w="100" w:type="dxa"/>
            </w:tcMar>
            <w:vAlign w:val="center"/>
          </w:tcPr>
          <w:p w14:paraId="6031B85F"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261B4162" w14:textId="77777777" w:rsidR="003D748E" w:rsidRDefault="00DF2056">
            <w:r>
              <w:rPr>
                <w:color w:val="000000"/>
                <w:sz w:val="19"/>
                <w:szCs w:val="19"/>
              </w:rPr>
              <w:t>Valorar críticamente experiencias de derecho comparado latinoamericano en materia de tipificación y exigibilidad de la violencia obstétrica, como referente para el análisis del ordenamiento cubano.</w:t>
            </w:r>
          </w:p>
        </w:tc>
      </w:tr>
    </w:tbl>
    <w:p w14:paraId="13615405" w14:textId="77777777" w:rsidR="003D748E" w:rsidRDefault="003D748E">
      <w:pPr>
        <w:spacing w:after="120"/>
      </w:pPr>
    </w:p>
    <w:p w14:paraId="16068C34" w14:textId="77777777" w:rsidR="003D748E" w:rsidRDefault="00DF2056">
      <w:pPr>
        <w:pStyle w:val="Ttulo3"/>
        <w:spacing w:before="200" w:after="100"/>
      </w:pPr>
      <w:r>
        <w:rPr>
          <w:b/>
          <w:bCs/>
          <w:i/>
          <w:iCs/>
          <w:color w:val="8B6F1F"/>
          <w:sz w:val="22"/>
          <w:szCs w:val="22"/>
        </w:rPr>
        <w:t>Objetivos específicos del tema</w:t>
      </w:r>
    </w:p>
    <w:p w14:paraId="20EA3120" w14:textId="77777777" w:rsidR="003D748E" w:rsidRDefault="00DF2056">
      <w:pPr>
        <w:pStyle w:val="Prrafodelista"/>
        <w:numPr>
          <w:ilvl w:val="0"/>
          <w:numId w:val="1"/>
        </w:numPr>
        <w:spacing w:after="100"/>
      </w:pPr>
      <w:r>
        <w:rPr>
          <w:szCs w:val="21"/>
        </w:rPr>
        <w:t>Analizar comparativamente las leyes de Venezuela, Argentina y México sobre violencia obstétrica.</w:t>
      </w:r>
    </w:p>
    <w:p w14:paraId="29FE141E" w14:textId="77777777" w:rsidR="003D748E" w:rsidRDefault="00DF2056">
      <w:pPr>
        <w:pStyle w:val="Prrafodelista"/>
        <w:numPr>
          <w:ilvl w:val="0"/>
          <w:numId w:val="1"/>
        </w:numPr>
        <w:spacing w:after="100"/>
      </w:pPr>
      <w:r>
        <w:rPr>
          <w:szCs w:val="21"/>
        </w:rPr>
        <w:t>Examinar jurisprudencia relevante de tribunales latinoamericanos y del Sistema Interamericano.</w:t>
      </w:r>
    </w:p>
    <w:p w14:paraId="79237701" w14:textId="77777777" w:rsidR="003D748E" w:rsidRDefault="00DF2056">
      <w:pPr>
        <w:pStyle w:val="Prrafodelista"/>
        <w:numPr>
          <w:ilvl w:val="0"/>
          <w:numId w:val="1"/>
        </w:numPr>
        <w:spacing w:after="100"/>
      </w:pPr>
      <w:r>
        <w:rPr>
          <w:szCs w:val="21"/>
        </w:rPr>
        <w:t>Evaluar mecanismos de exigibilidad administrativa y judicial disponibles en Cuba.</w:t>
      </w:r>
    </w:p>
    <w:p w14:paraId="3C1B7170" w14:textId="77777777" w:rsidR="003D748E" w:rsidRDefault="00DF2056">
      <w:pPr>
        <w:pStyle w:val="Ttulo2"/>
        <w:spacing w:before="300" w:after="150"/>
      </w:pPr>
      <w:r>
        <w:rPr>
          <w:b/>
          <w:bCs/>
          <w:color w:val="1F3864"/>
          <w:sz w:val="25"/>
          <w:szCs w:val="25"/>
        </w:rPr>
        <w:t>1. Síntesis de contenidos por subtema</w:t>
      </w:r>
    </w:p>
    <w:p w14:paraId="2F4DD470" w14:textId="77777777" w:rsidR="003D748E" w:rsidRDefault="00DF2056">
      <w:pPr>
        <w:pStyle w:val="Ttulo3"/>
        <w:spacing w:before="200" w:after="100"/>
      </w:pPr>
      <w:r>
        <w:rPr>
          <w:b/>
          <w:bCs/>
          <w:i/>
          <w:iCs/>
          <w:color w:val="8B6F1F"/>
          <w:sz w:val="22"/>
          <w:szCs w:val="22"/>
        </w:rPr>
        <w:t>5.1. Venezuela</w:t>
      </w:r>
    </w:p>
    <w:p w14:paraId="408DD68E" w14:textId="77777777" w:rsidR="003D748E" w:rsidRDefault="00DF2056">
      <w:pPr>
        <w:spacing w:after="160" w:line="276" w:lineRule="auto"/>
        <w:jc w:val="both"/>
      </w:pPr>
      <w:r>
        <w:rPr>
          <w:szCs w:val="21"/>
        </w:rPr>
        <w:t>La Ley Orgánica sobre el Derecho de las Mujeres a una Vida Libre de Violencia (2007) tipifica de manera autónoma la violencia obstétrica en su artículo 15.13, constituyendo el primer antecedente normativo de la región y el modelo de referencia obligada para cualquier análisis comparado.</w:t>
      </w:r>
    </w:p>
    <w:p w14:paraId="54EFD6B1" w14:textId="77777777" w:rsidR="003D748E" w:rsidRDefault="00DF2056">
      <w:pPr>
        <w:pStyle w:val="Ttulo3"/>
        <w:spacing w:before="200" w:after="100"/>
      </w:pPr>
      <w:r>
        <w:rPr>
          <w:b/>
          <w:bCs/>
          <w:i/>
          <w:iCs/>
          <w:color w:val="8B6F1F"/>
          <w:sz w:val="22"/>
          <w:szCs w:val="22"/>
        </w:rPr>
        <w:t>5.2. Argentina</w:t>
      </w:r>
    </w:p>
    <w:p w14:paraId="38E12A87" w14:textId="77777777" w:rsidR="003D748E" w:rsidRDefault="00DF2056">
      <w:pPr>
        <w:spacing w:after="160" w:line="276" w:lineRule="auto"/>
        <w:jc w:val="both"/>
      </w:pPr>
      <w:r>
        <w:rPr>
          <w:szCs w:val="21"/>
        </w:rPr>
        <w:t>La Ley 25.929 de Parto Humanizado (2004) reconoce derechos específicos de la persona gestante durante el proceso de parto, en articulación con la Ley 26.485 de Protección Integral a las Mujeres (2009), que incorpora la violencia obstétrica como modalidad específica de violencia de género (art. 6, inciso e). El modelo argentino ilustra la vía de protección administrativa y civil reforzada, sin tipificación penal autónoma.</w:t>
      </w:r>
    </w:p>
    <w:p w14:paraId="73DD0FCE" w14:textId="77777777" w:rsidR="003D748E" w:rsidRDefault="00DF2056">
      <w:pPr>
        <w:pStyle w:val="Ttulo3"/>
        <w:spacing w:before="200" w:after="100"/>
      </w:pPr>
      <w:r>
        <w:rPr>
          <w:b/>
          <w:bCs/>
          <w:i/>
          <w:iCs/>
          <w:color w:val="8B6F1F"/>
          <w:sz w:val="22"/>
          <w:szCs w:val="22"/>
        </w:rPr>
        <w:t>5.3. México</w:t>
      </w:r>
    </w:p>
    <w:p w14:paraId="035FCC57" w14:textId="77777777" w:rsidR="003D748E" w:rsidRDefault="00DF2056">
      <w:pPr>
        <w:spacing w:after="160" w:line="276" w:lineRule="auto"/>
        <w:jc w:val="both"/>
      </w:pPr>
      <w:r>
        <w:rPr>
          <w:szCs w:val="21"/>
        </w:rPr>
        <w:t>La jurisprudencia de la Suprema Corte de Justicia de la Nación ha desarrollado estándares relevantes sobre consentimiento informado y violencia obstétrica, complementados por la Norma Oficial Mexicana NOM-007, de naturaleza técnico-administrativa, que regula la atención de la mujer durante el embarazo, parto y puerperio.</w:t>
      </w:r>
    </w:p>
    <w:p w14:paraId="43EB6170" w14:textId="77777777" w:rsidR="003D748E" w:rsidRDefault="00DF2056">
      <w:pPr>
        <w:pStyle w:val="Ttulo3"/>
        <w:spacing w:before="200" w:after="100"/>
      </w:pPr>
      <w:r>
        <w:rPr>
          <w:b/>
          <w:bCs/>
          <w:i/>
          <w:iCs/>
          <w:color w:val="8B6F1F"/>
          <w:sz w:val="22"/>
          <w:szCs w:val="22"/>
        </w:rPr>
        <w:t>5.4. Análisis crítico comparado</w:t>
      </w:r>
    </w:p>
    <w:p w14:paraId="0472170F" w14:textId="77777777" w:rsidR="003D748E" w:rsidRDefault="00DF2056">
      <w:pPr>
        <w:spacing w:after="160" w:line="276" w:lineRule="auto"/>
        <w:jc w:val="both"/>
      </w:pPr>
      <w:r>
        <w:rPr>
          <w:szCs w:val="21"/>
        </w:rPr>
        <w:t>El ejercicio dogmático central de este subtema consiste en evaluar, con criterios de pertinencia y viabilidad institucional, cuál de los dos grandes modelos —tipificación penal autónoma (Venezuela) o protección administrativa/civil reforzada (Argentina, México</w:t>
      </w:r>
      <w:proofErr w:type="gramStart"/>
      <w:r>
        <w:rPr>
          <w:szCs w:val="21"/>
        </w:rPr>
        <w:t>)—</w:t>
      </w:r>
      <w:proofErr w:type="gramEnd"/>
      <w:r>
        <w:rPr>
          <w:szCs w:val="21"/>
        </w:rPr>
        <w:t xml:space="preserve"> resulta más adecuado para el contexto jurídico-institucional cubano, considerando el principio de intervención mínima del Derecho Penal y las capacidades reales del sistema de salud pública cubano.</w:t>
      </w:r>
    </w:p>
    <w:p w14:paraId="262C0C62" w14:textId="77777777" w:rsidR="003D748E" w:rsidRDefault="00DF2056">
      <w:pPr>
        <w:pStyle w:val="Ttulo3"/>
        <w:spacing w:before="200" w:after="100"/>
      </w:pPr>
      <w:r>
        <w:rPr>
          <w:b/>
          <w:bCs/>
          <w:i/>
          <w:iCs/>
          <w:color w:val="8B6F1F"/>
          <w:sz w:val="22"/>
          <w:szCs w:val="22"/>
        </w:rPr>
        <w:t>5.5. Mecanismos de exigibilidad en Cuba</w:t>
      </w:r>
    </w:p>
    <w:p w14:paraId="396D992B" w14:textId="77777777" w:rsidR="003D748E" w:rsidRDefault="00DF2056">
      <w:pPr>
        <w:spacing w:after="160" w:line="276" w:lineRule="auto"/>
        <w:jc w:val="both"/>
      </w:pPr>
      <w:r>
        <w:rPr>
          <w:szCs w:val="21"/>
        </w:rPr>
        <w:t xml:space="preserve">Se examinan las vías administrativa (queja ante direcciones de salud), civil (proceso ordinario), y la eventual intervención de la Fiscalía General de la República en supuestos de relevancia penal. Se destaca el rol de redes académicas y espacios institucionales cubanos —como la Red Cubana de Estudios sobre Cuidados y CENESEX— en la </w:t>
      </w:r>
      <w:r>
        <w:rPr>
          <w:szCs w:val="21"/>
        </w:rPr>
        <w:lastRenderedPageBreak/>
        <w:t xml:space="preserve">documentación, </w:t>
      </w:r>
      <w:proofErr w:type="spellStart"/>
      <w:r>
        <w:rPr>
          <w:szCs w:val="21"/>
        </w:rPr>
        <w:t>visibilización</w:t>
      </w:r>
      <w:proofErr w:type="spellEnd"/>
      <w:r>
        <w:rPr>
          <w:szCs w:val="21"/>
        </w:rPr>
        <w:t xml:space="preserve"> y producción de conocimiento sobre el fenómeno, en tanto insumo para la eventual reforma normativa.</w:t>
      </w:r>
    </w:p>
    <w:p w14:paraId="08471A0C"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1873A28C" w14:textId="77777777">
        <w:trPr>
          <w:tblHeader/>
        </w:trPr>
        <w:tc>
          <w:tcPr>
            <w:tcW w:w="2600" w:type="dxa"/>
            <w:shd w:val="clear" w:color="auto" w:fill="1F3864"/>
            <w:tcMar>
              <w:top w:w="80" w:type="dxa"/>
              <w:left w:w="100" w:type="dxa"/>
              <w:bottom w:w="80" w:type="dxa"/>
              <w:right w:w="100" w:type="dxa"/>
            </w:tcMar>
            <w:vAlign w:val="center"/>
          </w:tcPr>
          <w:p w14:paraId="070F0D90"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30CBAD37" w14:textId="77777777" w:rsidR="003D748E" w:rsidRDefault="00DF2056">
            <w:pPr>
              <w:jc w:val="center"/>
            </w:pPr>
            <w:r>
              <w:rPr>
                <w:b/>
                <w:bCs/>
                <w:color w:val="FFFFFF"/>
                <w:sz w:val="19"/>
                <w:szCs w:val="19"/>
              </w:rPr>
              <w:t>Definición operativa</w:t>
            </w:r>
          </w:p>
        </w:tc>
      </w:tr>
      <w:tr w:rsidR="003D748E" w14:paraId="291DA3FE" w14:textId="77777777">
        <w:tc>
          <w:tcPr>
            <w:tcW w:w="2600" w:type="dxa"/>
            <w:shd w:val="clear" w:color="auto" w:fill="F5F5F5"/>
            <w:tcMar>
              <w:top w:w="80" w:type="dxa"/>
              <w:left w:w="100" w:type="dxa"/>
              <w:bottom w:w="80" w:type="dxa"/>
              <w:right w:w="100" w:type="dxa"/>
            </w:tcMar>
            <w:vAlign w:val="center"/>
          </w:tcPr>
          <w:p w14:paraId="6B54FB83" w14:textId="77777777" w:rsidR="003D748E" w:rsidRDefault="00DF2056">
            <w:r>
              <w:rPr>
                <w:color w:val="000000"/>
                <w:sz w:val="19"/>
                <w:szCs w:val="19"/>
              </w:rPr>
              <w:t>Tipificación penal autónoma</w:t>
            </w:r>
          </w:p>
        </w:tc>
        <w:tc>
          <w:tcPr>
            <w:tcW w:w="7200" w:type="dxa"/>
            <w:shd w:val="clear" w:color="auto" w:fill="F5F5F5"/>
            <w:tcMar>
              <w:top w:w="80" w:type="dxa"/>
              <w:left w:w="100" w:type="dxa"/>
              <w:bottom w:w="80" w:type="dxa"/>
              <w:right w:w="100" w:type="dxa"/>
            </w:tcMar>
            <w:vAlign w:val="center"/>
          </w:tcPr>
          <w:p w14:paraId="0411D6D8" w14:textId="77777777" w:rsidR="003D748E" w:rsidRDefault="00DF2056">
            <w:r>
              <w:rPr>
                <w:color w:val="000000"/>
                <w:sz w:val="19"/>
                <w:szCs w:val="19"/>
              </w:rPr>
              <w:t>Técnica legislativa consistente en crear un tipo penal específico para una conducta, dotándola de sustantividad propia frente a los tipos penales generales preexistentes.</w:t>
            </w:r>
          </w:p>
        </w:tc>
      </w:tr>
      <w:tr w:rsidR="003D748E" w14:paraId="2D140CBF" w14:textId="77777777">
        <w:tc>
          <w:tcPr>
            <w:tcW w:w="2600" w:type="dxa"/>
            <w:shd w:val="clear" w:color="auto" w:fill="FFFFFF"/>
            <w:tcMar>
              <w:top w:w="80" w:type="dxa"/>
              <w:left w:w="100" w:type="dxa"/>
              <w:bottom w:w="80" w:type="dxa"/>
              <w:right w:w="100" w:type="dxa"/>
            </w:tcMar>
            <w:vAlign w:val="center"/>
          </w:tcPr>
          <w:p w14:paraId="32A6C3D1" w14:textId="77777777" w:rsidR="003D748E" w:rsidRDefault="00DF2056">
            <w:r>
              <w:rPr>
                <w:color w:val="000000"/>
                <w:sz w:val="19"/>
                <w:szCs w:val="19"/>
              </w:rPr>
              <w:t>Principio de intervención mínima</w:t>
            </w:r>
          </w:p>
        </w:tc>
        <w:tc>
          <w:tcPr>
            <w:tcW w:w="7200" w:type="dxa"/>
            <w:shd w:val="clear" w:color="auto" w:fill="FFFFFF"/>
            <w:tcMar>
              <w:top w:w="80" w:type="dxa"/>
              <w:left w:w="100" w:type="dxa"/>
              <w:bottom w:w="80" w:type="dxa"/>
              <w:right w:w="100" w:type="dxa"/>
            </w:tcMar>
            <w:vAlign w:val="center"/>
          </w:tcPr>
          <w:p w14:paraId="17000038" w14:textId="77777777" w:rsidR="003D748E" w:rsidRDefault="00DF2056">
            <w:r>
              <w:rPr>
                <w:color w:val="000000"/>
                <w:sz w:val="19"/>
                <w:szCs w:val="19"/>
              </w:rPr>
              <w:t>Principio de política criminal según el cual el Derecho Penal debe reservarse como último recurso (ultima ratio) frente a otras formas de control jurídico menos gravosas.</w:t>
            </w:r>
          </w:p>
        </w:tc>
      </w:tr>
      <w:tr w:rsidR="003D748E" w14:paraId="05C975E7" w14:textId="77777777">
        <w:tc>
          <w:tcPr>
            <w:tcW w:w="2600" w:type="dxa"/>
            <w:shd w:val="clear" w:color="auto" w:fill="F5F5F5"/>
            <w:tcMar>
              <w:top w:w="80" w:type="dxa"/>
              <w:left w:w="100" w:type="dxa"/>
              <w:bottom w:w="80" w:type="dxa"/>
              <w:right w:w="100" w:type="dxa"/>
            </w:tcMar>
            <w:vAlign w:val="center"/>
          </w:tcPr>
          <w:p w14:paraId="28980382" w14:textId="77777777" w:rsidR="003D748E" w:rsidRDefault="00DF2056">
            <w:r>
              <w:rPr>
                <w:color w:val="000000"/>
                <w:sz w:val="19"/>
                <w:szCs w:val="19"/>
              </w:rPr>
              <w:t>Norma técnica-administrativa</w:t>
            </w:r>
          </w:p>
        </w:tc>
        <w:tc>
          <w:tcPr>
            <w:tcW w:w="7200" w:type="dxa"/>
            <w:shd w:val="clear" w:color="auto" w:fill="F5F5F5"/>
            <w:tcMar>
              <w:top w:w="80" w:type="dxa"/>
              <w:left w:w="100" w:type="dxa"/>
              <w:bottom w:w="80" w:type="dxa"/>
              <w:right w:w="100" w:type="dxa"/>
            </w:tcMar>
            <w:vAlign w:val="center"/>
          </w:tcPr>
          <w:p w14:paraId="2EBB43A7" w14:textId="77777777" w:rsidR="003D748E" w:rsidRDefault="00DF2056">
            <w:r>
              <w:rPr>
                <w:color w:val="000000"/>
                <w:sz w:val="19"/>
                <w:szCs w:val="19"/>
              </w:rPr>
              <w:t xml:space="preserve">Instrumento normativo de rango </w:t>
            </w:r>
            <w:proofErr w:type="spellStart"/>
            <w:r>
              <w:rPr>
                <w:color w:val="000000"/>
                <w:sz w:val="19"/>
                <w:szCs w:val="19"/>
              </w:rPr>
              <w:t>infralegal</w:t>
            </w:r>
            <w:proofErr w:type="spellEnd"/>
            <w:r>
              <w:rPr>
                <w:color w:val="000000"/>
                <w:sz w:val="19"/>
                <w:szCs w:val="19"/>
              </w:rPr>
              <w:t>, de naturaleza eminentemente técnica, que regula protocolos y procedimientos específicos de un sector (v. gr., la atención obstétrica), sin naturaleza penal ni civil directa.</w:t>
            </w:r>
          </w:p>
        </w:tc>
      </w:tr>
      <w:tr w:rsidR="003D748E" w14:paraId="58CDCE2F" w14:textId="77777777">
        <w:tc>
          <w:tcPr>
            <w:tcW w:w="2600" w:type="dxa"/>
            <w:shd w:val="clear" w:color="auto" w:fill="FFFFFF"/>
            <w:tcMar>
              <w:top w:w="80" w:type="dxa"/>
              <w:left w:w="100" w:type="dxa"/>
              <w:bottom w:w="80" w:type="dxa"/>
              <w:right w:w="100" w:type="dxa"/>
            </w:tcMar>
            <w:vAlign w:val="center"/>
          </w:tcPr>
          <w:p w14:paraId="71B58BDA" w14:textId="77777777" w:rsidR="003D748E" w:rsidRDefault="00DF2056">
            <w:r>
              <w:rPr>
                <w:color w:val="000000"/>
                <w:sz w:val="19"/>
                <w:szCs w:val="19"/>
              </w:rPr>
              <w:t>Derecho comparado</w:t>
            </w:r>
          </w:p>
        </w:tc>
        <w:tc>
          <w:tcPr>
            <w:tcW w:w="7200" w:type="dxa"/>
            <w:shd w:val="clear" w:color="auto" w:fill="FFFFFF"/>
            <w:tcMar>
              <w:top w:w="80" w:type="dxa"/>
              <w:left w:w="100" w:type="dxa"/>
              <w:bottom w:w="80" w:type="dxa"/>
              <w:right w:w="100" w:type="dxa"/>
            </w:tcMar>
            <w:vAlign w:val="center"/>
          </w:tcPr>
          <w:p w14:paraId="40572F8B" w14:textId="77777777" w:rsidR="003D748E" w:rsidRDefault="00DF2056">
            <w:r>
              <w:rPr>
                <w:color w:val="000000"/>
                <w:sz w:val="19"/>
                <w:szCs w:val="19"/>
              </w:rPr>
              <w:t>Método de estudio jurídico que analiza sistemáticamente las semejanzas y diferencias entre distintos ordenamientos jurídicos, con fines descriptivos, interpretativos o de propuesta normativa (</w:t>
            </w:r>
            <w:proofErr w:type="spellStart"/>
            <w:r>
              <w:rPr>
                <w:color w:val="000000"/>
                <w:sz w:val="19"/>
                <w:szCs w:val="19"/>
              </w:rPr>
              <w:t>lege</w:t>
            </w:r>
            <w:proofErr w:type="spellEnd"/>
            <w:r>
              <w:rPr>
                <w:color w:val="000000"/>
                <w:sz w:val="19"/>
                <w:szCs w:val="19"/>
              </w:rPr>
              <w:t xml:space="preserve"> </w:t>
            </w:r>
            <w:proofErr w:type="spellStart"/>
            <w:r>
              <w:rPr>
                <w:color w:val="000000"/>
                <w:sz w:val="19"/>
                <w:szCs w:val="19"/>
              </w:rPr>
              <w:t>ferenda</w:t>
            </w:r>
            <w:proofErr w:type="spellEnd"/>
            <w:r>
              <w:rPr>
                <w:color w:val="000000"/>
                <w:sz w:val="19"/>
                <w:szCs w:val="19"/>
              </w:rPr>
              <w:t>).</w:t>
            </w:r>
          </w:p>
        </w:tc>
      </w:tr>
    </w:tbl>
    <w:p w14:paraId="2F9E0CF8" w14:textId="77777777" w:rsidR="003D748E" w:rsidRDefault="00DF2056">
      <w:pPr>
        <w:pStyle w:val="Ttulo2"/>
        <w:spacing w:before="300" w:after="150"/>
      </w:pPr>
      <w:r>
        <w:rPr>
          <w:b/>
          <w:bCs/>
          <w:color w:val="1F3864"/>
          <w:sz w:val="25"/>
          <w:szCs w:val="25"/>
        </w:rPr>
        <w:t>3. Tabla comparativa: modelos normativos latinoamericanos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100"/>
        <w:gridCol w:w="2100"/>
        <w:gridCol w:w="1900"/>
        <w:gridCol w:w="1900"/>
      </w:tblGrid>
      <w:tr w:rsidR="003D748E" w14:paraId="45765B1F" w14:textId="77777777">
        <w:trPr>
          <w:tblHeader/>
        </w:trPr>
        <w:tc>
          <w:tcPr>
            <w:tcW w:w="1400" w:type="dxa"/>
            <w:shd w:val="clear" w:color="auto" w:fill="1F3864"/>
            <w:tcMar>
              <w:top w:w="80" w:type="dxa"/>
              <w:left w:w="100" w:type="dxa"/>
              <w:bottom w:w="80" w:type="dxa"/>
              <w:right w:w="100" w:type="dxa"/>
            </w:tcMar>
            <w:vAlign w:val="center"/>
          </w:tcPr>
          <w:p w14:paraId="0FB924FD" w14:textId="77777777" w:rsidR="003D748E" w:rsidRDefault="00DF2056">
            <w:pPr>
              <w:jc w:val="center"/>
            </w:pPr>
            <w:r>
              <w:rPr>
                <w:b/>
                <w:bCs/>
                <w:color w:val="FFFFFF"/>
                <w:sz w:val="19"/>
                <w:szCs w:val="19"/>
              </w:rPr>
              <w:t>País</w:t>
            </w:r>
          </w:p>
        </w:tc>
        <w:tc>
          <w:tcPr>
            <w:tcW w:w="2100" w:type="dxa"/>
            <w:shd w:val="clear" w:color="auto" w:fill="1F3864"/>
            <w:tcMar>
              <w:top w:w="80" w:type="dxa"/>
              <w:left w:w="100" w:type="dxa"/>
              <w:bottom w:w="80" w:type="dxa"/>
              <w:right w:w="100" w:type="dxa"/>
            </w:tcMar>
            <w:vAlign w:val="center"/>
          </w:tcPr>
          <w:p w14:paraId="601191D0" w14:textId="77777777" w:rsidR="003D748E" w:rsidRDefault="00DF2056">
            <w:pPr>
              <w:jc w:val="center"/>
            </w:pPr>
            <w:r>
              <w:rPr>
                <w:b/>
                <w:bCs/>
                <w:color w:val="FFFFFF"/>
                <w:sz w:val="19"/>
                <w:szCs w:val="19"/>
              </w:rPr>
              <w:t>Instrumento</w:t>
            </w:r>
          </w:p>
        </w:tc>
        <w:tc>
          <w:tcPr>
            <w:tcW w:w="2100" w:type="dxa"/>
            <w:shd w:val="clear" w:color="auto" w:fill="1F3864"/>
            <w:tcMar>
              <w:top w:w="80" w:type="dxa"/>
              <w:left w:w="100" w:type="dxa"/>
              <w:bottom w:w="80" w:type="dxa"/>
              <w:right w:w="100" w:type="dxa"/>
            </w:tcMar>
            <w:vAlign w:val="center"/>
          </w:tcPr>
          <w:p w14:paraId="78004BC9" w14:textId="77777777" w:rsidR="003D748E" w:rsidRDefault="00DF2056">
            <w:pPr>
              <w:jc w:val="center"/>
            </w:pPr>
            <w:r>
              <w:rPr>
                <w:b/>
                <w:bCs/>
                <w:color w:val="FFFFFF"/>
                <w:sz w:val="19"/>
                <w:szCs w:val="19"/>
              </w:rPr>
              <w:t>Modelo adoptado</w:t>
            </w:r>
          </w:p>
        </w:tc>
        <w:tc>
          <w:tcPr>
            <w:tcW w:w="1900" w:type="dxa"/>
            <w:shd w:val="clear" w:color="auto" w:fill="1F3864"/>
            <w:tcMar>
              <w:top w:w="80" w:type="dxa"/>
              <w:left w:w="100" w:type="dxa"/>
              <w:bottom w:w="80" w:type="dxa"/>
              <w:right w:w="100" w:type="dxa"/>
            </w:tcMar>
            <w:vAlign w:val="center"/>
          </w:tcPr>
          <w:p w14:paraId="38DFA461" w14:textId="77777777" w:rsidR="003D748E" w:rsidRDefault="00DF2056">
            <w:pPr>
              <w:jc w:val="center"/>
            </w:pPr>
            <w:r>
              <w:rPr>
                <w:b/>
                <w:bCs/>
                <w:color w:val="FFFFFF"/>
                <w:sz w:val="19"/>
                <w:szCs w:val="19"/>
              </w:rPr>
              <w:t>Fortaleza</w:t>
            </w:r>
          </w:p>
        </w:tc>
        <w:tc>
          <w:tcPr>
            <w:tcW w:w="1900" w:type="dxa"/>
            <w:shd w:val="clear" w:color="auto" w:fill="1F3864"/>
            <w:tcMar>
              <w:top w:w="80" w:type="dxa"/>
              <w:left w:w="100" w:type="dxa"/>
              <w:bottom w:w="80" w:type="dxa"/>
              <w:right w:w="100" w:type="dxa"/>
            </w:tcMar>
            <w:vAlign w:val="center"/>
          </w:tcPr>
          <w:p w14:paraId="1B316AF4" w14:textId="77777777" w:rsidR="003D748E" w:rsidRDefault="00DF2056">
            <w:pPr>
              <w:jc w:val="center"/>
            </w:pPr>
            <w:r>
              <w:rPr>
                <w:b/>
                <w:bCs/>
                <w:color w:val="FFFFFF"/>
                <w:sz w:val="19"/>
                <w:szCs w:val="19"/>
              </w:rPr>
              <w:t>Debilidad</w:t>
            </w:r>
          </w:p>
        </w:tc>
      </w:tr>
      <w:tr w:rsidR="003D748E" w14:paraId="40A255F1" w14:textId="77777777">
        <w:tc>
          <w:tcPr>
            <w:tcW w:w="1400" w:type="dxa"/>
            <w:shd w:val="clear" w:color="auto" w:fill="F5F5F5"/>
            <w:tcMar>
              <w:top w:w="80" w:type="dxa"/>
              <w:left w:w="100" w:type="dxa"/>
              <w:bottom w:w="80" w:type="dxa"/>
              <w:right w:w="100" w:type="dxa"/>
            </w:tcMar>
            <w:vAlign w:val="center"/>
          </w:tcPr>
          <w:p w14:paraId="28831537" w14:textId="77777777" w:rsidR="003D748E" w:rsidRDefault="00DF2056">
            <w:r>
              <w:rPr>
                <w:color w:val="000000"/>
                <w:sz w:val="19"/>
                <w:szCs w:val="19"/>
              </w:rPr>
              <w:t>Venezuela</w:t>
            </w:r>
          </w:p>
        </w:tc>
        <w:tc>
          <w:tcPr>
            <w:tcW w:w="2100" w:type="dxa"/>
            <w:shd w:val="clear" w:color="auto" w:fill="F5F5F5"/>
            <w:tcMar>
              <w:top w:w="80" w:type="dxa"/>
              <w:left w:w="100" w:type="dxa"/>
              <w:bottom w:w="80" w:type="dxa"/>
              <w:right w:w="100" w:type="dxa"/>
            </w:tcMar>
            <w:vAlign w:val="center"/>
          </w:tcPr>
          <w:p w14:paraId="6E5E0079" w14:textId="77777777" w:rsidR="003D748E" w:rsidRDefault="00DF2056">
            <w:r>
              <w:rPr>
                <w:color w:val="000000"/>
                <w:sz w:val="19"/>
                <w:szCs w:val="19"/>
              </w:rPr>
              <w:t>Ley Orgánica 2007, art. 15.13</w:t>
            </w:r>
          </w:p>
        </w:tc>
        <w:tc>
          <w:tcPr>
            <w:tcW w:w="2100" w:type="dxa"/>
            <w:shd w:val="clear" w:color="auto" w:fill="F5F5F5"/>
            <w:tcMar>
              <w:top w:w="80" w:type="dxa"/>
              <w:left w:w="100" w:type="dxa"/>
              <w:bottom w:w="80" w:type="dxa"/>
              <w:right w:w="100" w:type="dxa"/>
            </w:tcMar>
            <w:vAlign w:val="center"/>
          </w:tcPr>
          <w:p w14:paraId="6B756A0A" w14:textId="77777777" w:rsidR="003D748E" w:rsidRDefault="00DF2056">
            <w:r>
              <w:rPr>
                <w:color w:val="000000"/>
                <w:sz w:val="19"/>
                <w:szCs w:val="19"/>
              </w:rPr>
              <w:t>Tipificación penal autónoma</w:t>
            </w:r>
          </w:p>
        </w:tc>
        <w:tc>
          <w:tcPr>
            <w:tcW w:w="1900" w:type="dxa"/>
            <w:shd w:val="clear" w:color="auto" w:fill="F5F5F5"/>
            <w:tcMar>
              <w:top w:w="80" w:type="dxa"/>
              <w:left w:w="100" w:type="dxa"/>
              <w:bottom w:w="80" w:type="dxa"/>
              <w:right w:w="100" w:type="dxa"/>
            </w:tcMar>
            <w:vAlign w:val="center"/>
          </w:tcPr>
          <w:p w14:paraId="7EBBA8D0" w14:textId="77777777" w:rsidR="003D748E" w:rsidRDefault="00DF2056">
            <w:r>
              <w:rPr>
                <w:color w:val="000000"/>
                <w:sz w:val="19"/>
                <w:szCs w:val="19"/>
              </w:rPr>
              <w:t>Máxima visibilidad y efecto simbólico-preventivo</w:t>
            </w:r>
          </w:p>
        </w:tc>
        <w:tc>
          <w:tcPr>
            <w:tcW w:w="1900" w:type="dxa"/>
            <w:shd w:val="clear" w:color="auto" w:fill="F5F5F5"/>
            <w:tcMar>
              <w:top w:w="80" w:type="dxa"/>
              <w:left w:w="100" w:type="dxa"/>
              <w:bottom w:w="80" w:type="dxa"/>
              <w:right w:w="100" w:type="dxa"/>
            </w:tcMar>
            <w:vAlign w:val="center"/>
          </w:tcPr>
          <w:p w14:paraId="370FCE11" w14:textId="77777777" w:rsidR="003D748E" w:rsidRDefault="00DF2056">
            <w:r>
              <w:rPr>
                <w:color w:val="000000"/>
                <w:sz w:val="19"/>
                <w:szCs w:val="19"/>
              </w:rPr>
              <w:t>Dificultades probatorias; riesgo de infrautilización</w:t>
            </w:r>
          </w:p>
        </w:tc>
      </w:tr>
      <w:tr w:rsidR="003D748E" w14:paraId="007EDD8B" w14:textId="77777777">
        <w:tc>
          <w:tcPr>
            <w:tcW w:w="1400" w:type="dxa"/>
            <w:shd w:val="clear" w:color="auto" w:fill="FFFFFF"/>
            <w:tcMar>
              <w:top w:w="80" w:type="dxa"/>
              <w:left w:w="100" w:type="dxa"/>
              <w:bottom w:w="80" w:type="dxa"/>
              <w:right w:w="100" w:type="dxa"/>
            </w:tcMar>
            <w:vAlign w:val="center"/>
          </w:tcPr>
          <w:p w14:paraId="63812A45" w14:textId="77777777" w:rsidR="003D748E" w:rsidRDefault="00DF2056">
            <w:r>
              <w:rPr>
                <w:color w:val="000000"/>
                <w:sz w:val="19"/>
                <w:szCs w:val="19"/>
              </w:rPr>
              <w:t>Argentina</w:t>
            </w:r>
          </w:p>
        </w:tc>
        <w:tc>
          <w:tcPr>
            <w:tcW w:w="2100" w:type="dxa"/>
            <w:shd w:val="clear" w:color="auto" w:fill="FFFFFF"/>
            <w:tcMar>
              <w:top w:w="80" w:type="dxa"/>
              <w:left w:w="100" w:type="dxa"/>
              <w:bottom w:w="80" w:type="dxa"/>
              <w:right w:w="100" w:type="dxa"/>
            </w:tcMar>
            <w:vAlign w:val="center"/>
          </w:tcPr>
          <w:p w14:paraId="6A5B7289" w14:textId="77777777" w:rsidR="003D748E" w:rsidRDefault="00DF2056">
            <w:r>
              <w:rPr>
                <w:color w:val="000000"/>
                <w:sz w:val="19"/>
                <w:szCs w:val="19"/>
              </w:rPr>
              <w:t>Ley 25.929 + Ley 26.485</w:t>
            </w:r>
          </w:p>
        </w:tc>
        <w:tc>
          <w:tcPr>
            <w:tcW w:w="2100" w:type="dxa"/>
            <w:shd w:val="clear" w:color="auto" w:fill="FFFFFF"/>
            <w:tcMar>
              <w:top w:w="80" w:type="dxa"/>
              <w:left w:w="100" w:type="dxa"/>
              <w:bottom w:w="80" w:type="dxa"/>
              <w:right w:w="100" w:type="dxa"/>
            </w:tcMar>
            <w:vAlign w:val="center"/>
          </w:tcPr>
          <w:p w14:paraId="144BC8EF" w14:textId="77777777" w:rsidR="003D748E" w:rsidRDefault="00DF2056">
            <w:r>
              <w:rPr>
                <w:color w:val="000000"/>
                <w:sz w:val="19"/>
                <w:szCs w:val="19"/>
              </w:rPr>
              <w:t>Protección administrativa/civil reforzada</w:t>
            </w:r>
          </w:p>
        </w:tc>
        <w:tc>
          <w:tcPr>
            <w:tcW w:w="1900" w:type="dxa"/>
            <w:shd w:val="clear" w:color="auto" w:fill="FFFFFF"/>
            <w:tcMar>
              <w:top w:w="80" w:type="dxa"/>
              <w:left w:w="100" w:type="dxa"/>
              <w:bottom w:w="80" w:type="dxa"/>
              <w:right w:w="100" w:type="dxa"/>
            </w:tcMar>
            <w:vAlign w:val="center"/>
          </w:tcPr>
          <w:p w14:paraId="0EFB3E04" w14:textId="77777777" w:rsidR="003D748E" w:rsidRDefault="00DF2056">
            <w:r>
              <w:rPr>
                <w:color w:val="000000"/>
                <w:sz w:val="19"/>
                <w:szCs w:val="19"/>
              </w:rPr>
              <w:t>Mayor operatividad práctica; enfoque preventivo</w:t>
            </w:r>
          </w:p>
        </w:tc>
        <w:tc>
          <w:tcPr>
            <w:tcW w:w="1900" w:type="dxa"/>
            <w:shd w:val="clear" w:color="auto" w:fill="FFFFFF"/>
            <w:tcMar>
              <w:top w:w="80" w:type="dxa"/>
              <w:left w:w="100" w:type="dxa"/>
              <w:bottom w:w="80" w:type="dxa"/>
              <w:right w:w="100" w:type="dxa"/>
            </w:tcMar>
            <w:vAlign w:val="center"/>
          </w:tcPr>
          <w:p w14:paraId="18102C43" w14:textId="77777777" w:rsidR="003D748E" w:rsidRDefault="00DF2056">
            <w:r>
              <w:rPr>
                <w:color w:val="000000"/>
                <w:sz w:val="19"/>
                <w:szCs w:val="19"/>
              </w:rPr>
              <w:t>Menor efecto disuasorio sancionador</w:t>
            </w:r>
          </w:p>
        </w:tc>
      </w:tr>
      <w:tr w:rsidR="003D748E" w14:paraId="50C7FDDA" w14:textId="77777777">
        <w:tc>
          <w:tcPr>
            <w:tcW w:w="1400" w:type="dxa"/>
            <w:shd w:val="clear" w:color="auto" w:fill="F5F5F5"/>
            <w:tcMar>
              <w:top w:w="80" w:type="dxa"/>
              <w:left w:w="100" w:type="dxa"/>
              <w:bottom w:w="80" w:type="dxa"/>
              <w:right w:w="100" w:type="dxa"/>
            </w:tcMar>
            <w:vAlign w:val="center"/>
          </w:tcPr>
          <w:p w14:paraId="1262C96A" w14:textId="77777777" w:rsidR="003D748E" w:rsidRDefault="00DF2056">
            <w:r>
              <w:rPr>
                <w:color w:val="000000"/>
                <w:sz w:val="19"/>
                <w:szCs w:val="19"/>
              </w:rPr>
              <w:t>México</w:t>
            </w:r>
          </w:p>
        </w:tc>
        <w:tc>
          <w:tcPr>
            <w:tcW w:w="2100" w:type="dxa"/>
            <w:shd w:val="clear" w:color="auto" w:fill="F5F5F5"/>
            <w:tcMar>
              <w:top w:w="80" w:type="dxa"/>
              <w:left w:w="100" w:type="dxa"/>
              <w:bottom w:w="80" w:type="dxa"/>
              <w:right w:w="100" w:type="dxa"/>
            </w:tcMar>
            <w:vAlign w:val="center"/>
          </w:tcPr>
          <w:p w14:paraId="3EE15D8E" w14:textId="77777777" w:rsidR="003D748E" w:rsidRDefault="00DF2056">
            <w:r>
              <w:rPr>
                <w:color w:val="000000"/>
                <w:sz w:val="19"/>
                <w:szCs w:val="19"/>
              </w:rPr>
              <w:t>Jurisprudencia SCJN + NOM-007</w:t>
            </w:r>
          </w:p>
        </w:tc>
        <w:tc>
          <w:tcPr>
            <w:tcW w:w="2100" w:type="dxa"/>
            <w:shd w:val="clear" w:color="auto" w:fill="F5F5F5"/>
            <w:tcMar>
              <w:top w:w="80" w:type="dxa"/>
              <w:left w:w="100" w:type="dxa"/>
              <w:bottom w:w="80" w:type="dxa"/>
              <w:right w:w="100" w:type="dxa"/>
            </w:tcMar>
            <w:vAlign w:val="center"/>
          </w:tcPr>
          <w:p w14:paraId="0BC3894E" w14:textId="77777777" w:rsidR="003D748E" w:rsidRDefault="00DF2056">
            <w:r>
              <w:rPr>
                <w:color w:val="000000"/>
                <w:sz w:val="19"/>
                <w:szCs w:val="19"/>
              </w:rPr>
              <w:t>Estándar jurisprudencial + norma técnica</w:t>
            </w:r>
          </w:p>
        </w:tc>
        <w:tc>
          <w:tcPr>
            <w:tcW w:w="1900" w:type="dxa"/>
            <w:shd w:val="clear" w:color="auto" w:fill="F5F5F5"/>
            <w:tcMar>
              <w:top w:w="80" w:type="dxa"/>
              <w:left w:w="100" w:type="dxa"/>
              <w:bottom w:w="80" w:type="dxa"/>
              <w:right w:w="100" w:type="dxa"/>
            </w:tcMar>
            <w:vAlign w:val="center"/>
          </w:tcPr>
          <w:p w14:paraId="0D28D7C0" w14:textId="77777777" w:rsidR="003D748E" w:rsidRDefault="00DF2056">
            <w:r>
              <w:rPr>
                <w:color w:val="000000"/>
                <w:sz w:val="19"/>
                <w:szCs w:val="19"/>
              </w:rPr>
              <w:t>Flexibilidad interpretativa; base empírica sólida</w:t>
            </w:r>
          </w:p>
        </w:tc>
        <w:tc>
          <w:tcPr>
            <w:tcW w:w="1900" w:type="dxa"/>
            <w:shd w:val="clear" w:color="auto" w:fill="F5F5F5"/>
            <w:tcMar>
              <w:top w:w="80" w:type="dxa"/>
              <w:left w:w="100" w:type="dxa"/>
              <w:bottom w:w="80" w:type="dxa"/>
              <w:right w:w="100" w:type="dxa"/>
            </w:tcMar>
            <w:vAlign w:val="center"/>
          </w:tcPr>
          <w:p w14:paraId="5875E48C" w14:textId="77777777" w:rsidR="003D748E" w:rsidRDefault="00DF2056">
            <w:r>
              <w:rPr>
                <w:color w:val="000000"/>
                <w:sz w:val="19"/>
                <w:szCs w:val="19"/>
              </w:rPr>
              <w:t>Dependencia de la evolución jurisprudencial caso a caso</w:t>
            </w:r>
          </w:p>
        </w:tc>
      </w:tr>
    </w:tbl>
    <w:p w14:paraId="5E82759F" w14:textId="77777777" w:rsidR="003D748E" w:rsidRDefault="00DF2056">
      <w:pPr>
        <w:pStyle w:val="Ttulo2"/>
        <w:spacing w:before="300" w:after="150"/>
      </w:pPr>
      <w:r>
        <w:rPr>
          <w:b/>
          <w:bCs/>
          <w:color w:val="1F3864"/>
          <w:sz w:val="25"/>
          <w:szCs w:val="25"/>
        </w:rPr>
        <w:t>4. Actividades de aprendizaje</w:t>
      </w:r>
    </w:p>
    <w:p w14:paraId="22703259" w14:textId="77777777" w:rsidR="003D748E" w:rsidRDefault="00DF2056">
      <w:pPr>
        <w:pStyle w:val="Ttulo3"/>
        <w:spacing w:before="200" w:after="100"/>
      </w:pPr>
      <w:r>
        <w:rPr>
          <w:b/>
          <w:bCs/>
          <w:i/>
          <w:iCs/>
          <w:color w:val="8B6F1F"/>
          <w:sz w:val="22"/>
          <w:szCs w:val="22"/>
        </w:rPr>
        <w:t>Comprensión</w:t>
      </w:r>
    </w:p>
    <w:p w14:paraId="083B91AB" w14:textId="77777777" w:rsidR="003D748E" w:rsidRDefault="00DF2056">
      <w:pPr>
        <w:pStyle w:val="Prrafodelista"/>
        <w:numPr>
          <w:ilvl w:val="0"/>
          <w:numId w:val="2"/>
        </w:numPr>
        <w:spacing w:after="100"/>
      </w:pPr>
      <w:r>
        <w:rPr>
          <w:szCs w:val="21"/>
        </w:rPr>
        <w:t>Elabore una línea de tiempo de los principales hitos normativos y jurisprudenciales estudiados en este tema (2004-2021).</w:t>
      </w:r>
    </w:p>
    <w:p w14:paraId="1CFB565F" w14:textId="77777777" w:rsidR="003D748E" w:rsidRDefault="00DF2056">
      <w:pPr>
        <w:pStyle w:val="Ttulo3"/>
        <w:spacing w:before="200" w:after="100"/>
      </w:pPr>
      <w:r>
        <w:rPr>
          <w:b/>
          <w:bCs/>
          <w:i/>
          <w:iCs/>
          <w:color w:val="8B6F1F"/>
          <w:sz w:val="22"/>
          <w:szCs w:val="22"/>
        </w:rPr>
        <w:t>Aplicación</w:t>
      </w:r>
    </w:p>
    <w:p w14:paraId="6C5A0AFE" w14:textId="77777777" w:rsidR="003D748E" w:rsidRDefault="00DF2056">
      <w:pPr>
        <w:pStyle w:val="Prrafodelista"/>
        <w:numPr>
          <w:ilvl w:val="0"/>
          <w:numId w:val="2"/>
        </w:numPr>
        <w:spacing w:after="100"/>
      </w:pPr>
      <w:r>
        <w:rPr>
          <w:szCs w:val="21"/>
        </w:rPr>
        <w:t>Redacte una queja administrativa hipotética ante una dirección municipal de salud cubana por un supuesto de violencia obstétrica, empleando la normativa nacional vigente estudiada en el Tema III.</w:t>
      </w:r>
    </w:p>
    <w:p w14:paraId="44DC7F51" w14:textId="77777777" w:rsidR="003D748E" w:rsidRDefault="00DF2056">
      <w:pPr>
        <w:pStyle w:val="Ttulo3"/>
        <w:spacing w:before="200" w:after="100"/>
      </w:pPr>
      <w:r>
        <w:rPr>
          <w:b/>
          <w:bCs/>
          <w:i/>
          <w:iCs/>
          <w:color w:val="8B6F1F"/>
          <w:sz w:val="22"/>
          <w:szCs w:val="22"/>
        </w:rPr>
        <w:t>Valoración crítica y trabajo de investigación</w:t>
      </w:r>
    </w:p>
    <w:p w14:paraId="31D00574" w14:textId="77777777" w:rsidR="003D748E" w:rsidRDefault="00DF2056">
      <w:pPr>
        <w:pStyle w:val="Prrafodelista"/>
        <w:numPr>
          <w:ilvl w:val="0"/>
          <w:numId w:val="2"/>
        </w:numPr>
        <w:spacing w:after="100"/>
      </w:pPr>
      <w:r>
        <w:rPr>
          <w:szCs w:val="21"/>
        </w:rPr>
        <w:t>Elabore un ensayo argumentativo (tres a cinco cuartillas) que responda de manera fundamentada a la pregunta: ¿qué modelo normativo —o qué combinación de elementos de los modelos estudiados— resultaría más adecuado para el eventual perfeccionamiento del ordenamiento jurídico cubano en esta materia? Este ensayo constituye insumo directo para el trabajo de curso del Tema VI.</w:t>
      </w:r>
    </w:p>
    <w:p w14:paraId="27363638" w14:textId="77777777" w:rsidR="003D748E" w:rsidRDefault="00DF2056">
      <w:pPr>
        <w:pStyle w:val="Ttulo2"/>
        <w:spacing w:before="300" w:after="150"/>
      </w:pPr>
      <w:r>
        <w:rPr>
          <w:b/>
          <w:bCs/>
          <w:color w:val="1F3864"/>
          <w:sz w:val="25"/>
          <w:szCs w:val="25"/>
        </w:rPr>
        <w:lastRenderedPageBreak/>
        <w:t>5. Preguntas de autoevaluación</w:t>
      </w:r>
    </w:p>
    <w:p w14:paraId="40B5DD21" w14:textId="77777777" w:rsidR="003D748E" w:rsidRDefault="00DF2056">
      <w:pPr>
        <w:pStyle w:val="Prrafodelista"/>
        <w:numPr>
          <w:ilvl w:val="0"/>
          <w:numId w:val="1"/>
        </w:numPr>
        <w:spacing w:after="100"/>
      </w:pPr>
      <w:r>
        <w:rPr>
          <w:szCs w:val="21"/>
        </w:rPr>
        <w:t>¿Qué artículo de la Ley Orgánica venezolana de 2007 tipifica la violencia obstétrica?</w:t>
      </w:r>
    </w:p>
    <w:p w14:paraId="29F04241" w14:textId="77777777" w:rsidR="003D748E" w:rsidRDefault="00DF2056">
      <w:pPr>
        <w:pStyle w:val="Prrafodelista"/>
        <w:numPr>
          <w:ilvl w:val="0"/>
          <w:numId w:val="1"/>
        </w:numPr>
        <w:spacing w:after="100"/>
      </w:pPr>
      <w:r>
        <w:rPr>
          <w:szCs w:val="21"/>
        </w:rPr>
        <w:t>Explique la diferencia entre el modelo venezolano y el modelo argentino de protección.</w:t>
      </w:r>
    </w:p>
    <w:p w14:paraId="31D9F785" w14:textId="77777777" w:rsidR="003D748E" w:rsidRDefault="00DF2056">
      <w:pPr>
        <w:pStyle w:val="Prrafodelista"/>
        <w:numPr>
          <w:ilvl w:val="0"/>
          <w:numId w:val="1"/>
        </w:numPr>
        <w:spacing w:after="100"/>
      </w:pPr>
      <w:r>
        <w:rPr>
          <w:szCs w:val="21"/>
        </w:rPr>
        <w:t>¿Qué naturaleza jurídica tiene la NOM-007 mexicana?</w:t>
      </w:r>
    </w:p>
    <w:p w14:paraId="763F4D09" w14:textId="6A311E8A" w:rsidR="003D748E" w:rsidRDefault="00DF2056" w:rsidP="00E8343F">
      <w:r>
        <w:br w:type="page"/>
      </w:r>
      <w:bookmarkStart w:id="0" w:name="_GoBack"/>
      <w:bookmarkEnd w:id="0"/>
    </w:p>
    <w:sectPr w:rsidR="003D748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bullet"/>
      <w:lvlText w:val="•"/>
      <w:lvlJc w:val="left"/>
      <w:pPr>
        <w:ind w:left="460" w:hanging="260"/>
      </w:pPr>
    </w:lvl>
  </w:abstractNum>
  <w:abstractNum w:abstractNumId="1">
    <w:nsid w:val="59ADCABA"/>
    <w:multiLevelType w:val="singleLevel"/>
    <w:tmpl w:val="59ADCABA"/>
    <w:lvl w:ilvl="0">
      <w:start w:val="1"/>
      <w:numFmt w:val="decimal"/>
      <w:lvlText w:val="%1."/>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3D748E"/>
    <w:rsid w:val="007C3556"/>
    <w:rsid w:val="00DF2056"/>
    <w:rsid w:val="00E8343F"/>
    <w:rsid w:val="0709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4C00-4F46-4D96-BFE2-EE864000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rPr>
      <w:vertAlign w:val="superscript"/>
    </w:rPr>
  </w:style>
  <w:style w:type="character" w:styleId="Hipervnculo">
    <w:name w:val="Hyperlink"/>
    <w:uiPriority w:val="99"/>
    <w:unhideWhenUsed/>
    <w:rPr>
      <w:color w:val="0563C1"/>
      <w:u w:val="single"/>
    </w:rPr>
  </w:style>
  <w:style w:type="paragraph" w:styleId="Textonotapie">
    <w:name w:val="footnote text"/>
    <w:link w:val="TextonotapieCar"/>
    <w:uiPriority w:val="99"/>
    <w:semiHidden/>
    <w:unhideWhenUsed/>
  </w:style>
  <w:style w:type="paragraph" w:styleId="Textonotaalfinal">
    <w:name w:val="endnote text"/>
    <w:link w:val="TextonotaalfinalCar"/>
    <w:uiPriority w:val="99"/>
    <w:semiHidden/>
    <w:unhideWhenUsed/>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825</Words>
  <Characters>4540</Characters>
  <Application>Microsoft Office Word</Application>
  <DocSecurity>0</DocSecurity>
  <Lines>37</Lines>
  <Paragraphs>10</Paragraphs>
  <ScaleCrop>false</ScaleCrop>
  <Company/>
  <LinksUpToDate>false</LinksUpToDate>
  <CharactersWithSpaces>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4</cp:revision>
  <dcterms:created xsi:type="dcterms:W3CDTF">2026-09-27T17:21:00Z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21436B96DE134AC6A795E109885B9767_13</vt:lpwstr>
  </property>
</Properties>
</file>