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3C25" w:rsidRDefault="003C3C25" w:rsidP="003C3C25">
      <w:pPr>
        <w:pStyle w:val="Default"/>
        <w:jc w:val="both"/>
        <w:rPr>
          <w:b/>
          <w:bCs/>
          <w:sz w:val="22"/>
          <w:szCs w:val="22"/>
        </w:rPr>
      </w:pPr>
      <w:r>
        <w:rPr>
          <w:b/>
          <w:bCs/>
          <w:sz w:val="28"/>
          <w:szCs w:val="28"/>
        </w:rPr>
        <w:t>A</w:t>
      </w:r>
      <w:r>
        <w:rPr>
          <w:b/>
          <w:bCs/>
          <w:sz w:val="22"/>
          <w:szCs w:val="22"/>
        </w:rPr>
        <w:t>SIGNATURA</w:t>
      </w:r>
      <w:r>
        <w:rPr>
          <w:b/>
          <w:bCs/>
          <w:sz w:val="28"/>
          <w:szCs w:val="28"/>
        </w:rPr>
        <w:t>: D</w:t>
      </w:r>
      <w:r>
        <w:rPr>
          <w:b/>
          <w:bCs/>
          <w:sz w:val="22"/>
          <w:szCs w:val="22"/>
        </w:rPr>
        <w:t xml:space="preserve">ERECHO </w:t>
      </w:r>
      <w:r>
        <w:rPr>
          <w:b/>
          <w:bCs/>
          <w:sz w:val="28"/>
          <w:szCs w:val="28"/>
        </w:rPr>
        <w:t>P</w:t>
      </w:r>
      <w:r>
        <w:rPr>
          <w:b/>
          <w:bCs/>
          <w:sz w:val="22"/>
          <w:szCs w:val="22"/>
        </w:rPr>
        <w:t xml:space="preserve">ROCESAL </w:t>
      </w:r>
      <w:r>
        <w:rPr>
          <w:b/>
          <w:bCs/>
          <w:sz w:val="28"/>
          <w:szCs w:val="28"/>
        </w:rPr>
        <w:t>C</w:t>
      </w:r>
      <w:r>
        <w:rPr>
          <w:b/>
          <w:bCs/>
          <w:sz w:val="22"/>
          <w:szCs w:val="22"/>
        </w:rPr>
        <w:t>IVIL</w:t>
      </w:r>
    </w:p>
    <w:p w:rsidR="003C3C25" w:rsidRDefault="003C3C25" w:rsidP="003C3C25">
      <w:pPr>
        <w:pStyle w:val="Default"/>
        <w:jc w:val="both"/>
        <w:rPr>
          <w:sz w:val="22"/>
          <w:szCs w:val="22"/>
        </w:rPr>
      </w:pPr>
    </w:p>
    <w:tbl>
      <w:tblPr>
        <w:tblW w:w="0" w:type="auto"/>
        <w:tblBorders>
          <w:top w:val="nil"/>
          <w:left w:val="nil"/>
          <w:bottom w:val="nil"/>
          <w:right w:val="nil"/>
        </w:tblBorders>
        <w:tblLayout w:type="fixed"/>
        <w:tblLook w:val="0000"/>
      </w:tblPr>
      <w:tblGrid>
        <w:gridCol w:w="1215"/>
        <w:gridCol w:w="486"/>
        <w:gridCol w:w="425"/>
        <w:gridCol w:w="304"/>
        <w:gridCol w:w="405"/>
        <w:gridCol w:w="567"/>
        <w:gridCol w:w="243"/>
        <w:gridCol w:w="607"/>
        <w:gridCol w:w="608"/>
        <w:gridCol w:w="243"/>
        <w:gridCol w:w="567"/>
        <w:gridCol w:w="405"/>
        <w:gridCol w:w="303"/>
        <w:gridCol w:w="426"/>
        <w:gridCol w:w="486"/>
        <w:gridCol w:w="1216"/>
      </w:tblGrid>
      <w:tr w:rsidR="003C3C25">
        <w:trPr>
          <w:trHeight w:val="112"/>
        </w:trPr>
        <w:tc>
          <w:tcPr>
            <w:tcW w:w="8506" w:type="dxa"/>
            <w:gridSpan w:val="16"/>
          </w:tcPr>
          <w:p w:rsidR="003C3C25" w:rsidRDefault="003C3C25" w:rsidP="003C3C25">
            <w:pPr>
              <w:pStyle w:val="Default"/>
              <w:jc w:val="both"/>
              <w:rPr>
                <w:b/>
                <w:bCs/>
                <w:sz w:val="23"/>
                <w:szCs w:val="23"/>
              </w:rPr>
            </w:pPr>
            <w:r>
              <w:rPr>
                <w:b/>
                <w:bCs/>
                <w:sz w:val="23"/>
                <w:szCs w:val="23"/>
              </w:rPr>
              <w:t xml:space="preserve">DATOS PRELIMINARES CURSO DIURNO </w:t>
            </w:r>
          </w:p>
          <w:p w:rsidR="003C3C25" w:rsidRDefault="003C3C25" w:rsidP="003C3C25">
            <w:pPr>
              <w:pStyle w:val="Default"/>
              <w:jc w:val="both"/>
              <w:rPr>
                <w:sz w:val="23"/>
                <w:szCs w:val="23"/>
              </w:rPr>
            </w:pPr>
          </w:p>
        </w:tc>
      </w:tr>
      <w:tr w:rsidR="003C3C25" w:rsidTr="003C3C25">
        <w:trPr>
          <w:trHeight w:val="112"/>
        </w:trPr>
        <w:tc>
          <w:tcPr>
            <w:tcW w:w="1215" w:type="dxa"/>
          </w:tcPr>
          <w:p w:rsidR="003C3C25" w:rsidRDefault="003C3C25" w:rsidP="003C3C25">
            <w:pPr>
              <w:pStyle w:val="Default"/>
              <w:jc w:val="both"/>
              <w:rPr>
                <w:sz w:val="23"/>
                <w:szCs w:val="23"/>
              </w:rPr>
            </w:pPr>
            <w:r>
              <w:rPr>
                <w:b/>
                <w:bCs/>
                <w:sz w:val="23"/>
                <w:szCs w:val="23"/>
              </w:rPr>
              <w:t xml:space="preserve">TEMAS </w:t>
            </w:r>
          </w:p>
        </w:tc>
        <w:tc>
          <w:tcPr>
            <w:tcW w:w="1215" w:type="dxa"/>
            <w:gridSpan w:val="3"/>
          </w:tcPr>
          <w:p w:rsidR="003C3C25" w:rsidRDefault="003C3C25" w:rsidP="003C3C25">
            <w:pPr>
              <w:pStyle w:val="Default"/>
              <w:jc w:val="both"/>
              <w:rPr>
                <w:sz w:val="23"/>
                <w:szCs w:val="23"/>
              </w:rPr>
            </w:pPr>
            <w:r>
              <w:rPr>
                <w:b/>
                <w:bCs/>
                <w:sz w:val="23"/>
                <w:szCs w:val="23"/>
              </w:rPr>
              <w:t xml:space="preserve">H. </w:t>
            </w:r>
          </w:p>
        </w:tc>
        <w:tc>
          <w:tcPr>
            <w:tcW w:w="1215" w:type="dxa"/>
            <w:gridSpan w:val="3"/>
          </w:tcPr>
          <w:p w:rsidR="003C3C25" w:rsidRDefault="003C3C25" w:rsidP="003C3C25">
            <w:pPr>
              <w:pStyle w:val="Default"/>
              <w:jc w:val="both"/>
              <w:rPr>
                <w:sz w:val="23"/>
                <w:szCs w:val="23"/>
              </w:rPr>
            </w:pPr>
            <w:r>
              <w:rPr>
                <w:b/>
                <w:bCs/>
                <w:sz w:val="23"/>
                <w:szCs w:val="23"/>
              </w:rPr>
              <w:t xml:space="preserve">CONF. </w:t>
            </w:r>
          </w:p>
        </w:tc>
        <w:tc>
          <w:tcPr>
            <w:tcW w:w="1215" w:type="dxa"/>
            <w:gridSpan w:val="2"/>
          </w:tcPr>
          <w:p w:rsidR="003C3C25" w:rsidRDefault="003C3C25" w:rsidP="003C3C25">
            <w:pPr>
              <w:pStyle w:val="Default"/>
              <w:jc w:val="both"/>
              <w:rPr>
                <w:sz w:val="23"/>
                <w:szCs w:val="23"/>
              </w:rPr>
            </w:pPr>
            <w:r>
              <w:rPr>
                <w:b/>
                <w:bCs/>
                <w:sz w:val="23"/>
                <w:szCs w:val="23"/>
              </w:rPr>
              <w:t xml:space="preserve">C.P. </w:t>
            </w:r>
          </w:p>
        </w:tc>
        <w:tc>
          <w:tcPr>
            <w:tcW w:w="1215" w:type="dxa"/>
            <w:gridSpan w:val="3"/>
          </w:tcPr>
          <w:p w:rsidR="003C3C25" w:rsidRDefault="003C3C25" w:rsidP="003C3C25">
            <w:pPr>
              <w:pStyle w:val="Default"/>
              <w:jc w:val="both"/>
              <w:rPr>
                <w:sz w:val="23"/>
                <w:szCs w:val="23"/>
              </w:rPr>
            </w:pPr>
            <w:r>
              <w:rPr>
                <w:b/>
                <w:bCs/>
                <w:sz w:val="23"/>
                <w:szCs w:val="23"/>
              </w:rPr>
              <w:t xml:space="preserve">SEM. </w:t>
            </w:r>
          </w:p>
        </w:tc>
        <w:tc>
          <w:tcPr>
            <w:tcW w:w="1215" w:type="dxa"/>
            <w:gridSpan w:val="3"/>
          </w:tcPr>
          <w:p w:rsidR="003C3C25" w:rsidRDefault="003C3C25" w:rsidP="003C3C25">
            <w:pPr>
              <w:pStyle w:val="Default"/>
              <w:jc w:val="both"/>
              <w:rPr>
                <w:sz w:val="23"/>
                <w:szCs w:val="23"/>
              </w:rPr>
            </w:pPr>
            <w:r>
              <w:rPr>
                <w:b/>
                <w:bCs/>
                <w:sz w:val="23"/>
                <w:szCs w:val="23"/>
              </w:rPr>
              <w:t xml:space="preserve">LAB. </w:t>
            </w:r>
          </w:p>
        </w:tc>
        <w:tc>
          <w:tcPr>
            <w:tcW w:w="1216" w:type="dxa"/>
          </w:tcPr>
          <w:p w:rsidR="003C3C25" w:rsidRDefault="003C3C25" w:rsidP="003C3C25">
            <w:pPr>
              <w:pStyle w:val="Default"/>
              <w:jc w:val="both"/>
              <w:rPr>
                <w:sz w:val="19"/>
                <w:szCs w:val="19"/>
              </w:rPr>
            </w:pPr>
            <w:r>
              <w:rPr>
                <w:b/>
                <w:bCs/>
                <w:sz w:val="19"/>
                <w:szCs w:val="19"/>
              </w:rPr>
              <w:t xml:space="preserve">EVAL. </w:t>
            </w:r>
          </w:p>
        </w:tc>
      </w:tr>
      <w:tr w:rsidR="003C3C25" w:rsidTr="003C3C25">
        <w:trPr>
          <w:trHeight w:val="103"/>
        </w:trPr>
        <w:tc>
          <w:tcPr>
            <w:tcW w:w="2835" w:type="dxa"/>
            <w:gridSpan w:val="5"/>
          </w:tcPr>
          <w:p w:rsidR="003C3C25" w:rsidRDefault="003C3C25" w:rsidP="003C3C25">
            <w:pPr>
              <w:pStyle w:val="Default"/>
              <w:jc w:val="both"/>
              <w:rPr>
                <w:sz w:val="22"/>
                <w:szCs w:val="22"/>
              </w:rPr>
            </w:pPr>
            <w:r>
              <w:rPr>
                <w:sz w:val="22"/>
                <w:szCs w:val="22"/>
              </w:rPr>
              <w:t xml:space="preserve">1. Introducción al DPC </w:t>
            </w:r>
          </w:p>
        </w:tc>
        <w:tc>
          <w:tcPr>
            <w:tcW w:w="2835" w:type="dxa"/>
            <w:gridSpan w:val="6"/>
          </w:tcPr>
          <w:p w:rsidR="003C3C25" w:rsidRDefault="003C3C25" w:rsidP="003C3C25">
            <w:pPr>
              <w:pStyle w:val="Default"/>
              <w:jc w:val="both"/>
              <w:rPr>
                <w:sz w:val="22"/>
                <w:szCs w:val="22"/>
              </w:rPr>
            </w:pPr>
            <w:r>
              <w:rPr>
                <w:sz w:val="22"/>
                <w:szCs w:val="22"/>
              </w:rPr>
              <w:t xml:space="preserve">2 </w:t>
            </w:r>
          </w:p>
        </w:tc>
        <w:tc>
          <w:tcPr>
            <w:tcW w:w="2836" w:type="dxa"/>
            <w:gridSpan w:val="5"/>
          </w:tcPr>
          <w:p w:rsidR="003C3C25" w:rsidRDefault="003C3C25" w:rsidP="003C3C25">
            <w:pPr>
              <w:pStyle w:val="Default"/>
              <w:jc w:val="both"/>
              <w:rPr>
                <w:sz w:val="22"/>
                <w:szCs w:val="22"/>
              </w:rPr>
            </w:pPr>
            <w:r>
              <w:rPr>
                <w:sz w:val="22"/>
                <w:szCs w:val="22"/>
              </w:rPr>
              <w:t xml:space="preserve">2 </w:t>
            </w:r>
          </w:p>
        </w:tc>
      </w:tr>
      <w:tr w:rsidR="003C3C25" w:rsidTr="003C3C25">
        <w:trPr>
          <w:trHeight w:val="229"/>
        </w:trPr>
        <w:tc>
          <w:tcPr>
            <w:tcW w:w="2126" w:type="dxa"/>
            <w:gridSpan w:val="3"/>
          </w:tcPr>
          <w:p w:rsidR="003C3C25" w:rsidRDefault="003C3C25" w:rsidP="003C3C25">
            <w:pPr>
              <w:pStyle w:val="Default"/>
              <w:jc w:val="both"/>
              <w:rPr>
                <w:sz w:val="22"/>
                <w:szCs w:val="22"/>
              </w:rPr>
            </w:pPr>
            <w:r>
              <w:rPr>
                <w:sz w:val="22"/>
                <w:szCs w:val="22"/>
              </w:rPr>
              <w:t xml:space="preserve">2. El aseguramiento del resultado procesal </w:t>
            </w:r>
          </w:p>
        </w:tc>
        <w:tc>
          <w:tcPr>
            <w:tcW w:w="2126" w:type="dxa"/>
            <w:gridSpan w:val="5"/>
          </w:tcPr>
          <w:p w:rsidR="003C3C25" w:rsidRDefault="003C3C25" w:rsidP="003C3C25">
            <w:pPr>
              <w:pStyle w:val="Default"/>
              <w:jc w:val="both"/>
              <w:rPr>
                <w:sz w:val="22"/>
                <w:szCs w:val="22"/>
              </w:rPr>
            </w:pPr>
            <w:r>
              <w:rPr>
                <w:sz w:val="22"/>
                <w:szCs w:val="22"/>
              </w:rPr>
              <w:t xml:space="preserve">4 </w:t>
            </w:r>
          </w:p>
        </w:tc>
        <w:tc>
          <w:tcPr>
            <w:tcW w:w="2126" w:type="dxa"/>
            <w:gridSpan w:val="5"/>
          </w:tcPr>
          <w:p w:rsidR="003C3C25" w:rsidRDefault="003C3C25" w:rsidP="003C3C25">
            <w:pPr>
              <w:pStyle w:val="Default"/>
              <w:jc w:val="both"/>
              <w:rPr>
                <w:sz w:val="22"/>
                <w:szCs w:val="22"/>
              </w:rPr>
            </w:pPr>
            <w:r>
              <w:rPr>
                <w:sz w:val="22"/>
                <w:szCs w:val="22"/>
              </w:rPr>
              <w:t xml:space="preserve">2 </w:t>
            </w:r>
          </w:p>
        </w:tc>
        <w:tc>
          <w:tcPr>
            <w:tcW w:w="2128" w:type="dxa"/>
            <w:gridSpan w:val="3"/>
          </w:tcPr>
          <w:p w:rsidR="003C3C25" w:rsidRDefault="003C3C25" w:rsidP="003C3C25">
            <w:pPr>
              <w:pStyle w:val="Default"/>
              <w:jc w:val="both"/>
              <w:rPr>
                <w:sz w:val="22"/>
                <w:szCs w:val="22"/>
              </w:rPr>
            </w:pPr>
            <w:r>
              <w:rPr>
                <w:sz w:val="22"/>
                <w:szCs w:val="22"/>
              </w:rPr>
              <w:t xml:space="preserve">2 </w:t>
            </w:r>
          </w:p>
        </w:tc>
      </w:tr>
      <w:tr w:rsidR="003C3C25" w:rsidTr="003C3C25">
        <w:trPr>
          <w:trHeight w:val="103"/>
        </w:trPr>
        <w:tc>
          <w:tcPr>
            <w:tcW w:w="2126" w:type="dxa"/>
            <w:gridSpan w:val="3"/>
          </w:tcPr>
          <w:p w:rsidR="003C3C25" w:rsidRDefault="003C3C25" w:rsidP="003C3C25">
            <w:pPr>
              <w:pStyle w:val="Default"/>
              <w:jc w:val="both"/>
              <w:rPr>
                <w:sz w:val="22"/>
                <w:szCs w:val="22"/>
              </w:rPr>
            </w:pPr>
            <w:r>
              <w:rPr>
                <w:sz w:val="22"/>
                <w:szCs w:val="22"/>
              </w:rPr>
              <w:t xml:space="preserve">3. Inicio y terminación del proceso </w:t>
            </w:r>
          </w:p>
        </w:tc>
        <w:tc>
          <w:tcPr>
            <w:tcW w:w="2126" w:type="dxa"/>
            <w:gridSpan w:val="5"/>
          </w:tcPr>
          <w:p w:rsidR="003C3C25" w:rsidRDefault="003C3C25" w:rsidP="003C3C25">
            <w:pPr>
              <w:pStyle w:val="Default"/>
              <w:jc w:val="both"/>
              <w:rPr>
                <w:sz w:val="22"/>
                <w:szCs w:val="22"/>
              </w:rPr>
            </w:pPr>
            <w:r>
              <w:rPr>
                <w:sz w:val="22"/>
                <w:szCs w:val="22"/>
              </w:rPr>
              <w:t xml:space="preserve">8 </w:t>
            </w:r>
          </w:p>
        </w:tc>
        <w:tc>
          <w:tcPr>
            <w:tcW w:w="2126" w:type="dxa"/>
            <w:gridSpan w:val="5"/>
          </w:tcPr>
          <w:p w:rsidR="003C3C25" w:rsidRDefault="003C3C25" w:rsidP="003C3C25">
            <w:pPr>
              <w:pStyle w:val="Default"/>
              <w:jc w:val="both"/>
              <w:rPr>
                <w:sz w:val="22"/>
                <w:szCs w:val="22"/>
              </w:rPr>
            </w:pPr>
            <w:r>
              <w:rPr>
                <w:sz w:val="22"/>
                <w:szCs w:val="22"/>
              </w:rPr>
              <w:t xml:space="preserve">4 </w:t>
            </w:r>
          </w:p>
        </w:tc>
        <w:tc>
          <w:tcPr>
            <w:tcW w:w="2128" w:type="dxa"/>
            <w:gridSpan w:val="3"/>
          </w:tcPr>
          <w:p w:rsidR="003C3C25" w:rsidRDefault="003C3C25" w:rsidP="003C3C25">
            <w:pPr>
              <w:pStyle w:val="Default"/>
              <w:jc w:val="both"/>
              <w:rPr>
                <w:sz w:val="22"/>
                <w:szCs w:val="22"/>
              </w:rPr>
            </w:pPr>
            <w:r>
              <w:rPr>
                <w:sz w:val="22"/>
                <w:szCs w:val="22"/>
              </w:rPr>
              <w:t xml:space="preserve">4 </w:t>
            </w:r>
          </w:p>
        </w:tc>
      </w:tr>
      <w:tr w:rsidR="003C3C25" w:rsidTr="003C3C25">
        <w:trPr>
          <w:trHeight w:val="103"/>
        </w:trPr>
        <w:tc>
          <w:tcPr>
            <w:tcW w:w="2126" w:type="dxa"/>
            <w:gridSpan w:val="3"/>
          </w:tcPr>
          <w:p w:rsidR="003C3C25" w:rsidRDefault="003C3C25" w:rsidP="003C3C25">
            <w:pPr>
              <w:pStyle w:val="Default"/>
              <w:jc w:val="both"/>
              <w:rPr>
                <w:sz w:val="22"/>
                <w:szCs w:val="22"/>
              </w:rPr>
            </w:pPr>
            <w:r>
              <w:rPr>
                <w:sz w:val="22"/>
                <w:szCs w:val="22"/>
              </w:rPr>
              <w:t xml:space="preserve">4. La prueba </w:t>
            </w:r>
          </w:p>
        </w:tc>
        <w:tc>
          <w:tcPr>
            <w:tcW w:w="2126" w:type="dxa"/>
            <w:gridSpan w:val="5"/>
          </w:tcPr>
          <w:p w:rsidR="003C3C25" w:rsidRDefault="003C3C25" w:rsidP="003C3C25">
            <w:pPr>
              <w:pStyle w:val="Default"/>
              <w:jc w:val="both"/>
              <w:rPr>
                <w:sz w:val="22"/>
                <w:szCs w:val="22"/>
              </w:rPr>
            </w:pPr>
            <w:r>
              <w:rPr>
                <w:sz w:val="22"/>
                <w:szCs w:val="22"/>
              </w:rPr>
              <w:t xml:space="preserve">8 </w:t>
            </w:r>
          </w:p>
        </w:tc>
        <w:tc>
          <w:tcPr>
            <w:tcW w:w="2126" w:type="dxa"/>
            <w:gridSpan w:val="5"/>
          </w:tcPr>
          <w:p w:rsidR="003C3C25" w:rsidRDefault="003C3C25" w:rsidP="003C3C25">
            <w:pPr>
              <w:pStyle w:val="Default"/>
              <w:jc w:val="both"/>
              <w:rPr>
                <w:sz w:val="22"/>
                <w:szCs w:val="22"/>
              </w:rPr>
            </w:pPr>
            <w:r>
              <w:rPr>
                <w:sz w:val="22"/>
                <w:szCs w:val="22"/>
              </w:rPr>
              <w:t xml:space="preserve">4 </w:t>
            </w:r>
          </w:p>
        </w:tc>
        <w:tc>
          <w:tcPr>
            <w:tcW w:w="2128" w:type="dxa"/>
            <w:gridSpan w:val="3"/>
          </w:tcPr>
          <w:p w:rsidR="003C3C25" w:rsidRDefault="003C3C25" w:rsidP="003C3C25">
            <w:pPr>
              <w:pStyle w:val="Default"/>
              <w:jc w:val="both"/>
              <w:rPr>
                <w:sz w:val="22"/>
                <w:szCs w:val="22"/>
              </w:rPr>
            </w:pPr>
            <w:r>
              <w:rPr>
                <w:sz w:val="22"/>
                <w:szCs w:val="22"/>
              </w:rPr>
              <w:t xml:space="preserve">4 </w:t>
            </w:r>
          </w:p>
        </w:tc>
      </w:tr>
      <w:tr w:rsidR="003C3C25" w:rsidTr="003C3C25">
        <w:trPr>
          <w:trHeight w:val="103"/>
        </w:trPr>
        <w:tc>
          <w:tcPr>
            <w:tcW w:w="2126" w:type="dxa"/>
            <w:gridSpan w:val="3"/>
          </w:tcPr>
          <w:p w:rsidR="003C3C25" w:rsidRDefault="003C3C25" w:rsidP="003C3C25">
            <w:pPr>
              <w:pStyle w:val="Default"/>
              <w:jc w:val="both"/>
              <w:rPr>
                <w:sz w:val="22"/>
                <w:szCs w:val="22"/>
              </w:rPr>
            </w:pPr>
            <w:r>
              <w:rPr>
                <w:sz w:val="22"/>
                <w:szCs w:val="22"/>
              </w:rPr>
              <w:t xml:space="preserve">5. Procesos de Conocimiento </w:t>
            </w:r>
          </w:p>
        </w:tc>
        <w:tc>
          <w:tcPr>
            <w:tcW w:w="2126" w:type="dxa"/>
            <w:gridSpan w:val="5"/>
          </w:tcPr>
          <w:p w:rsidR="003C3C25" w:rsidRDefault="003C3C25" w:rsidP="003C3C25">
            <w:pPr>
              <w:pStyle w:val="Default"/>
              <w:jc w:val="both"/>
              <w:rPr>
                <w:sz w:val="22"/>
                <w:szCs w:val="22"/>
              </w:rPr>
            </w:pPr>
            <w:r>
              <w:rPr>
                <w:sz w:val="22"/>
                <w:szCs w:val="22"/>
              </w:rPr>
              <w:t xml:space="preserve">16 </w:t>
            </w:r>
          </w:p>
        </w:tc>
        <w:tc>
          <w:tcPr>
            <w:tcW w:w="2126" w:type="dxa"/>
            <w:gridSpan w:val="5"/>
          </w:tcPr>
          <w:p w:rsidR="003C3C25" w:rsidRDefault="003C3C25" w:rsidP="003C3C25">
            <w:pPr>
              <w:pStyle w:val="Default"/>
              <w:jc w:val="both"/>
              <w:rPr>
                <w:sz w:val="22"/>
                <w:szCs w:val="22"/>
              </w:rPr>
            </w:pPr>
            <w:r>
              <w:rPr>
                <w:sz w:val="22"/>
                <w:szCs w:val="22"/>
              </w:rPr>
              <w:t xml:space="preserve">8 </w:t>
            </w:r>
          </w:p>
        </w:tc>
        <w:tc>
          <w:tcPr>
            <w:tcW w:w="2128" w:type="dxa"/>
            <w:gridSpan w:val="3"/>
          </w:tcPr>
          <w:p w:rsidR="003C3C25" w:rsidRDefault="003C3C25" w:rsidP="003C3C25">
            <w:pPr>
              <w:pStyle w:val="Default"/>
              <w:jc w:val="both"/>
              <w:rPr>
                <w:sz w:val="22"/>
                <w:szCs w:val="22"/>
              </w:rPr>
            </w:pPr>
            <w:r>
              <w:rPr>
                <w:sz w:val="22"/>
                <w:szCs w:val="22"/>
              </w:rPr>
              <w:t xml:space="preserve">8 </w:t>
            </w:r>
          </w:p>
        </w:tc>
      </w:tr>
      <w:tr w:rsidR="003C3C25" w:rsidTr="003C3C25">
        <w:trPr>
          <w:trHeight w:val="103"/>
        </w:trPr>
        <w:tc>
          <w:tcPr>
            <w:tcW w:w="2126" w:type="dxa"/>
            <w:gridSpan w:val="3"/>
          </w:tcPr>
          <w:p w:rsidR="003C3C25" w:rsidRDefault="003C3C25" w:rsidP="003C3C25">
            <w:pPr>
              <w:pStyle w:val="Default"/>
              <w:jc w:val="both"/>
              <w:rPr>
                <w:sz w:val="22"/>
                <w:szCs w:val="22"/>
              </w:rPr>
            </w:pPr>
            <w:r>
              <w:rPr>
                <w:sz w:val="22"/>
                <w:szCs w:val="22"/>
              </w:rPr>
              <w:t xml:space="preserve">6. Proceso de Ejecución </w:t>
            </w:r>
          </w:p>
        </w:tc>
        <w:tc>
          <w:tcPr>
            <w:tcW w:w="2126" w:type="dxa"/>
            <w:gridSpan w:val="5"/>
          </w:tcPr>
          <w:p w:rsidR="003C3C25" w:rsidRDefault="003C3C25" w:rsidP="003C3C25">
            <w:pPr>
              <w:pStyle w:val="Default"/>
              <w:jc w:val="both"/>
              <w:rPr>
                <w:sz w:val="22"/>
                <w:szCs w:val="22"/>
              </w:rPr>
            </w:pPr>
            <w:r>
              <w:rPr>
                <w:sz w:val="22"/>
                <w:szCs w:val="22"/>
              </w:rPr>
              <w:t xml:space="preserve">4 </w:t>
            </w:r>
          </w:p>
        </w:tc>
        <w:tc>
          <w:tcPr>
            <w:tcW w:w="2126" w:type="dxa"/>
            <w:gridSpan w:val="5"/>
          </w:tcPr>
          <w:p w:rsidR="003C3C25" w:rsidRDefault="003C3C25" w:rsidP="003C3C25">
            <w:pPr>
              <w:pStyle w:val="Default"/>
              <w:jc w:val="both"/>
              <w:rPr>
                <w:sz w:val="22"/>
                <w:szCs w:val="22"/>
              </w:rPr>
            </w:pPr>
            <w:r>
              <w:rPr>
                <w:sz w:val="22"/>
                <w:szCs w:val="22"/>
              </w:rPr>
              <w:t xml:space="preserve">2 </w:t>
            </w:r>
          </w:p>
        </w:tc>
        <w:tc>
          <w:tcPr>
            <w:tcW w:w="2128" w:type="dxa"/>
            <w:gridSpan w:val="3"/>
          </w:tcPr>
          <w:p w:rsidR="003C3C25" w:rsidRDefault="003C3C25" w:rsidP="003C3C25">
            <w:pPr>
              <w:pStyle w:val="Default"/>
              <w:jc w:val="both"/>
              <w:rPr>
                <w:sz w:val="22"/>
                <w:szCs w:val="22"/>
              </w:rPr>
            </w:pPr>
            <w:r>
              <w:rPr>
                <w:sz w:val="22"/>
                <w:szCs w:val="22"/>
              </w:rPr>
              <w:t xml:space="preserve">2 </w:t>
            </w:r>
          </w:p>
        </w:tc>
      </w:tr>
      <w:tr w:rsidR="003C3C25" w:rsidTr="003C3C25">
        <w:trPr>
          <w:trHeight w:val="103"/>
        </w:trPr>
        <w:tc>
          <w:tcPr>
            <w:tcW w:w="2126" w:type="dxa"/>
            <w:gridSpan w:val="3"/>
          </w:tcPr>
          <w:p w:rsidR="003C3C25" w:rsidRDefault="003C3C25" w:rsidP="003C3C25">
            <w:pPr>
              <w:pStyle w:val="Default"/>
              <w:jc w:val="both"/>
              <w:rPr>
                <w:sz w:val="22"/>
                <w:szCs w:val="22"/>
              </w:rPr>
            </w:pPr>
            <w:r>
              <w:rPr>
                <w:sz w:val="22"/>
                <w:szCs w:val="22"/>
              </w:rPr>
              <w:t xml:space="preserve">7. Procedimientos sucesorios </w:t>
            </w:r>
          </w:p>
        </w:tc>
        <w:tc>
          <w:tcPr>
            <w:tcW w:w="2126" w:type="dxa"/>
            <w:gridSpan w:val="5"/>
          </w:tcPr>
          <w:p w:rsidR="003C3C25" w:rsidRDefault="003C3C25" w:rsidP="003C3C25">
            <w:pPr>
              <w:pStyle w:val="Default"/>
              <w:jc w:val="both"/>
              <w:rPr>
                <w:sz w:val="22"/>
                <w:szCs w:val="22"/>
              </w:rPr>
            </w:pPr>
            <w:r>
              <w:rPr>
                <w:sz w:val="22"/>
                <w:szCs w:val="22"/>
              </w:rPr>
              <w:t xml:space="preserve">4 </w:t>
            </w:r>
          </w:p>
        </w:tc>
        <w:tc>
          <w:tcPr>
            <w:tcW w:w="2126" w:type="dxa"/>
            <w:gridSpan w:val="5"/>
          </w:tcPr>
          <w:p w:rsidR="003C3C25" w:rsidRDefault="003C3C25" w:rsidP="003C3C25">
            <w:pPr>
              <w:pStyle w:val="Default"/>
              <w:jc w:val="both"/>
              <w:rPr>
                <w:sz w:val="22"/>
                <w:szCs w:val="22"/>
              </w:rPr>
            </w:pPr>
            <w:r>
              <w:rPr>
                <w:sz w:val="22"/>
                <w:szCs w:val="22"/>
              </w:rPr>
              <w:t xml:space="preserve">2 </w:t>
            </w:r>
          </w:p>
        </w:tc>
        <w:tc>
          <w:tcPr>
            <w:tcW w:w="2128" w:type="dxa"/>
            <w:gridSpan w:val="3"/>
          </w:tcPr>
          <w:p w:rsidR="003C3C25" w:rsidRDefault="003C3C25" w:rsidP="003C3C25">
            <w:pPr>
              <w:pStyle w:val="Default"/>
              <w:jc w:val="both"/>
              <w:rPr>
                <w:sz w:val="22"/>
                <w:szCs w:val="22"/>
              </w:rPr>
            </w:pPr>
            <w:r>
              <w:rPr>
                <w:sz w:val="22"/>
                <w:szCs w:val="22"/>
              </w:rPr>
              <w:t xml:space="preserve">2 </w:t>
            </w:r>
          </w:p>
        </w:tc>
      </w:tr>
      <w:tr w:rsidR="003C3C25" w:rsidTr="003C3C25">
        <w:trPr>
          <w:trHeight w:val="103"/>
        </w:trPr>
        <w:tc>
          <w:tcPr>
            <w:tcW w:w="2126" w:type="dxa"/>
            <w:gridSpan w:val="3"/>
          </w:tcPr>
          <w:p w:rsidR="003C3C25" w:rsidRDefault="003C3C25" w:rsidP="003C3C25">
            <w:pPr>
              <w:pStyle w:val="Default"/>
              <w:jc w:val="both"/>
              <w:rPr>
                <w:sz w:val="22"/>
                <w:szCs w:val="22"/>
              </w:rPr>
            </w:pPr>
            <w:r>
              <w:rPr>
                <w:sz w:val="22"/>
                <w:szCs w:val="22"/>
              </w:rPr>
              <w:t xml:space="preserve">8. Jurisdicción voluntaria </w:t>
            </w:r>
          </w:p>
        </w:tc>
        <w:tc>
          <w:tcPr>
            <w:tcW w:w="2126" w:type="dxa"/>
            <w:gridSpan w:val="5"/>
          </w:tcPr>
          <w:p w:rsidR="003C3C25" w:rsidRDefault="003C3C25" w:rsidP="003C3C25">
            <w:pPr>
              <w:pStyle w:val="Default"/>
              <w:jc w:val="both"/>
              <w:rPr>
                <w:sz w:val="22"/>
                <w:szCs w:val="22"/>
              </w:rPr>
            </w:pPr>
            <w:r>
              <w:rPr>
                <w:sz w:val="22"/>
                <w:szCs w:val="22"/>
              </w:rPr>
              <w:t xml:space="preserve">4 </w:t>
            </w:r>
          </w:p>
        </w:tc>
        <w:tc>
          <w:tcPr>
            <w:tcW w:w="2126" w:type="dxa"/>
            <w:gridSpan w:val="5"/>
          </w:tcPr>
          <w:p w:rsidR="003C3C25" w:rsidRDefault="003C3C25" w:rsidP="003C3C25">
            <w:pPr>
              <w:pStyle w:val="Default"/>
              <w:jc w:val="both"/>
              <w:rPr>
                <w:sz w:val="22"/>
                <w:szCs w:val="22"/>
              </w:rPr>
            </w:pPr>
            <w:r>
              <w:rPr>
                <w:sz w:val="22"/>
                <w:szCs w:val="22"/>
              </w:rPr>
              <w:t xml:space="preserve">2 </w:t>
            </w:r>
          </w:p>
        </w:tc>
        <w:tc>
          <w:tcPr>
            <w:tcW w:w="2128" w:type="dxa"/>
            <w:gridSpan w:val="3"/>
          </w:tcPr>
          <w:p w:rsidR="003C3C25" w:rsidRDefault="003C3C25" w:rsidP="003C3C25">
            <w:pPr>
              <w:pStyle w:val="Default"/>
              <w:jc w:val="both"/>
              <w:rPr>
                <w:sz w:val="22"/>
                <w:szCs w:val="22"/>
              </w:rPr>
            </w:pPr>
            <w:r>
              <w:rPr>
                <w:sz w:val="22"/>
                <w:szCs w:val="22"/>
              </w:rPr>
              <w:t xml:space="preserve">2 </w:t>
            </w:r>
          </w:p>
        </w:tc>
      </w:tr>
      <w:tr w:rsidR="003C3C25" w:rsidTr="003C3C25">
        <w:trPr>
          <w:trHeight w:val="103"/>
        </w:trPr>
        <w:tc>
          <w:tcPr>
            <w:tcW w:w="2126" w:type="dxa"/>
            <w:gridSpan w:val="3"/>
          </w:tcPr>
          <w:p w:rsidR="003C3C25" w:rsidRDefault="003C3C25" w:rsidP="003C3C25">
            <w:pPr>
              <w:pStyle w:val="Default"/>
              <w:jc w:val="both"/>
              <w:rPr>
                <w:sz w:val="22"/>
                <w:szCs w:val="22"/>
              </w:rPr>
            </w:pPr>
            <w:r>
              <w:rPr>
                <w:sz w:val="22"/>
                <w:szCs w:val="22"/>
              </w:rPr>
              <w:t xml:space="preserve">9. Medios de impugnación </w:t>
            </w:r>
          </w:p>
        </w:tc>
        <w:tc>
          <w:tcPr>
            <w:tcW w:w="2126" w:type="dxa"/>
            <w:gridSpan w:val="5"/>
          </w:tcPr>
          <w:p w:rsidR="003C3C25" w:rsidRDefault="003C3C25" w:rsidP="003C3C25">
            <w:pPr>
              <w:pStyle w:val="Default"/>
              <w:jc w:val="both"/>
              <w:rPr>
                <w:sz w:val="22"/>
                <w:szCs w:val="22"/>
              </w:rPr>
            </w:pPr>
            <w:r>
              <w:rPr>
                <w:sz w:val="22"/>
                <w:szCs w:val="22"/>
              </w:rPr>
              <w:t xml:space="preserve">8 </w:t>
            </w:r>
          </w:p>
        </w:tc>
        <w:tc>
          <w:tcPr>
            <w:tcW w:w="2126" w:type="dxa"/>
            <w:gridSpan w:val="5"/>
          </w:tcPr>
          <w:p w:rsidR="003C3C25" w:rsidRDefault="003C3C25" w:rsidP="003C3C25">
            <w:pPr>
              <w:pStyle w:val="Default"/>
              <w:jc w:val="both"/>
              <w:rPr>
                <w:sz w:val="22"/>
                <w:szCs w:val="22"/>
              </w:rPr>
            </w:pPr>
            <w:r>
              <w:rPr>
                <w:sz w:val="22"/>
                <w:szCs w:val="22"/>
              </w:rPr>
              <w:t xml:space="preserve">2 </w:t>
            </w:r>
          </w:p>
        </w:tc>
        <w:tc>
          <w:tcPr>
            <w:tcW w:w="2128" w:type="dxa"/>
            <w:gridSpan w:val="3"/>
          </w:tcPr>
          <w:p w:rsidR="003C3C25" w:rsidRDefault="003C3C25" w:rsidP="003C3C25">
            <w:pPr>
              <w:pStyle w:val="Default"/>
              <w:jc w:val="both"/>
              <w:rPr>
                <w:sz w:val="22"/>
                <w:szCs w:val="22"/>
              </w:rPr>
            </w:pPr>
            <w:r>
              <w:rPr>
                <w:sz w:val="22"/>
                <w:szCs w:val="22"/>
              </w:rPr>
              <w:t xml:space="preserve">6 </w:t>
            </w:r>
          </w:p>
        </w:tc>
      </w:tr>
      <w:tr w:rsidR="003C3C25">
        <w:trPr>
          <w:trHeight w:val="103"/>
        </w:trPr>
        <w:tc>
          <w:tcPr>
            <w:tcW w:w="8506" w:type="dxa"/>
            <w:gridSpan w:val="16"/>
          </w:tcPr>
          <w:p w:rsidR="003C3C25" w:rsidRDefault="003C3C25" w:rsidP="003C3C25">
            <w:pPr>
              <w:pStyle w:val="Default"/>
              <w:jc w:val="both"/>
              <w:rPr>
                <w:sz w:val="22"/>
                <w:szCs w:val="22"/>
              </w:rPr>
            </w:pPr>
            <w:r>
              <w:rPr>
                <w:sz w:val="22"/>
                <w:szCs w:val="22"/>
              </w:rPr>
              <w:t xml:space="preserve">2 </w:t>
            </w:r>
          </w:p>
        </w:tc>
      </w:tr>
      <w:tr w:rsidR="003C3C25" w:rsidTr="003C3C25">
        <w:trPr>
          <w:trHeight w:val="113"/>
        </w:trPr>
        <w:tc>
          <w:tcPr>
            <w:tcW w:w="1701" w:type="dxa"/>
            <w:gridSpan w:val="2"/>
          </w:tcPr>
          <w:p w:rsidR="003C3C25" w:rsidRDefault="003C3C25" w:rsidP="003C3C25">
            <w:pPr>
              <w:pStyle w:val="Default"/>
              <w:jc w:val="both"/>
              <w:rPr>
                <w:sz w:val="23"/>
                <w:szCs w:val="23"/>
              </w:rPr>
            </w:pPr>
            <w:r>
              <w:rPr>
                <w:b/>
                <w:bCs/>
                <w:sz w:val="23"/>
                <w:szCs w:val="23"/>
              </w:rPr>
              <w:t xml:space="preserve">TOTALES </w:t>
            </w:r>
          </w:p>
        </w:tc>
        <w:tc>
          <w:tcPr>
            <w:tcW w:w="1701" w:type="dxa"/>
            <w:gridSpan w:val="4"/>
          </w:tcPr>
          <w:p w:rsidR="003C3C25" w:rsidRDefault="003C3C25" w:rsidP="003C3C25">
            <w:pPr>
              <w:pStyle w:val="Default"/>
              <w:jc w:val="both"/>
              <w:rPr>
                <w:sz w:val="22"/>
                <w:szCs w:val="22"/>
              </w:rPr>
            </w:pPr>
            <w:r>
              <w:rPr>
                <w:sz w:val="22"/>
                <w:szCs w:val="22"/>
              </w:rPr>
              <w:t xml:space="preserve">58 </w:t>
            </w:r>
          </w:p>
        </w:tc>
        <w:tc>
          <w:tcPr>
            <w:tcW w:w="1701" w:type="dxa"/>
            <w:gridSpan w:val="4"/>
          </w:tcPr>
          <w:p w:rsidR="003C3C25" w:rsidRDefault="003C3C25" w:rsidP="003C3C25">
            <w:pPr>
              <w:pStyle w:val="Default"/>
              <w:jc w:val="both"/>
              <w:rPr>
                <w:sz w:val="22"/>
                <w:szCs w:val="22"/>
              </w:rPr>
            </w:pPr>
            <w:r>
              <w:rPr>
                <w:sz w:val="22"/>
                <w:szCs w:val="22"/>
              </w:rPr>
              <w:t xml:space="preserve">28 </w:t>
            </w:r>
          </w:p>
        </w:tc>
        <w:tc>
          <w:tcPr>
            <w:tcW w:w="1701" w:type="dxa"/>
            <w:gridSpan w:val="4"/>
          </w:tcPr>
          <w:p w:rsidR="003C3C25" w:rsidRDefault="003C3C25" w:rsidP="003C3C25">
            <w:pPr>
              <w:pStyle w:val="Default"/>
              <w:jc w:val="both"/>
              <w:rPr>
                <w:sz w:val="22"/>
                <w:szCs w:val="22"/>
              </w:rPr>
            </w:pPr>
            <w:r>
              <w:rPr>
                <w:sz w:val="22"/>
                <w:szCs w:val="22"/>
              </w:rPr>
              <w:t xml:space="preserve">30 </w:t>
            </w:r>
          </w:p>
        </w:tc>
        <w:tc>
          <w:tcPr>
            <w:tcW w:w="1702" w:type="dxa"/>
            <w:gridSpan w:val="2"/>
          </w:tcPr>
          <w:p w:rsidR="003C3C25" w:rsidRDefault="003C3C25" w:rsidP="003C3C25">
            <w:pPr>
              <w:pStyle w:val="Default"/>
              <w:jc w:val="both"/>
              <w:rPr>
                <w:sz w:val="22"/>
                <w:szCs w:val="22"/>
              </w:rPr>
            </w:pPr>
            <w:r>
              <w:rPr>
                <w:sz w:val="22"/>
                <w:szCs w:val="22"/>
              </w:rPr>
              <w:t xml:space="preserve">2 </w:t>
            </w:r>
          </w:p>
        </w:tc>
      </w:tr>
    </w:tbl>
    <w:p w:rsidR="00EA3B0B" w:rsidRDefault="00EA3B0B" w:rsidP="003C3C25">
      <w:pPr>
        <w:pStyle w:val="Default"/>
        <w:jc w:val="both"/>
      </w:pPr>
    </w:p>
    <w:p w:rsidR="003C3C25" w:rsidRDefault="003C3C25" w:rsidP="003C3C25">
      <w:pPr>
        <w:pStyle w:val="Default"/>
        <w:jc w:val="both"/>
        <w:rPr>
          <w:b/>
          <w:bCs/>
          <w:sz w:val="23"/>
          <w:szCs w:val="23"/>
        </w:rPr>
      </w:pPr>
    </w:p>
    <w:tbl>
      <w:tblPr>
        <w:tblW w:w="0" w:type="auto"/>
        <w:tblBorders>
          <w:top w:val="nil"/>
          <w:left w:val="nil"/>
          <w:bottom w:val="nil"/>
          <w:right w:val="nil"/>
        </w:tblBorders>
        <w:tblLayout w:type="fixed"/>
        <w:tblLook w:val="0000"/>
      </w:tblPr>
      <w:tblGrid>
        <w:gridCol w:w="1214"/>
        <w:gridCol w:w="243"/>
        <w:gridCol w:w="485"/>
        <w:gridCol w:w="486"/>
        <w:gridCol w:w="486"/>
        <w:gridCol w:w="728"/>
        <w:gridCol w:w="242"/>
        <w:gridCol w:w="487"/>
        <w:gridCol w:w="485"/>
        <w:gridCol w:w="972"/>
        <w:gridCol w:w="242"/>
        <w:gridCol w:w="1214"/>
        <w:gridCol w:w="1214"/>
        <w:gridCol w:w="6"/>
      </w:tblGrid>
      <w:tr w:rsidR="003C3C25">
        <w:trPr>
          <w:trHeight w:val="112"/>
        </w:trPr>
        <w:tc>
          <w:tcPr>
            <w:tcW w:w="8504" w:type="dxa"/>
            <w:gridSpan w:val="14"/>
          </w:tcPr>
          <w:p w:rsidR="003C3C25" w:rsidRDefault="003C3C25">
            <w:pPr>
              <w:pStyle w:val="Default"/>
              <w:rPr>
                <w:sz w:val="19"/>
                <w:szCs w:val="19"/>
              </w:rPr>
            </w:pPr>
            <w:r>
              <w:rPr>
                <w:b/>
                <w:bCs/>
                <w:sz w:val="23"/>
                <w:szCs w:val="23"/>
              </w:rPr>
              <w:t>C</w:t>
            </w:r>
            <w:r>
              <w:rPr>
                <w:b/>
                <w:bCs/>
                <w:sz w:val="19"/>
                <w:szCs w:val="19"/>
              </w:rPr>
              <w:t xml:space="preserve">URSO POR </w:t>
            </w:r>
            <w:r>
              <w:rPr>
                <w:b/>
                <w:bCs/>
                <w:sz w:val="23"/>
                <w:szCs w:val="23"/>
              </w:rPr>
              <w:t>E</w:t>
            </w:r>
            <w:r>
              <w:rPr>
                <w:b/>
                <w:bCs/>
                <w:sz w:val="19"/>
                <w:szCs w:val="19"/>
              </w:rPr>
              <w:t xml:space="preserve">NCUENTROS </w:t>
            </w:r>
          </w:p>
        </w:tc>
      </w:tr>
      <w:tr w:rsidR="003C3C25">
        <w:trPr>
          <w:gridAfter w:val="1"/>
          <w:wAfter w:w="6" w:type="dxa"/>
          <w:trHeight w:val="112"/>
        </w:trPr>
        <w:tc>
          <w:tcPr>
            <w:tcW w:w="1214" w:type="dxa"/>
          </w:tcPr>
          <w:p w:rsidR="003C3C25" w:rsidRDefault="003C3C25">
            <w:pPr>
              <w:pStyle w:val="Default"/>
              <w:rPr>
                <w:sz w:val="23"/>
                <w:szCs w:val="23"/>
              </w:rPr>
            </w:pPr>
            <w:r>
              <w:rPr>
                <w:b/>
                <w:bCs/>
                <w:sz w:val="23"/>
                <w:szCs w:val="23"/>
              </w:rPr>
              <w:t xml:space="preserve">TEMAS </w:t>
            </w:r>
          </w:p>
        </w:tc>
        <w:tc>
          <w:tcPr>
            <w:tcW w:w="1214" w:type="dxa"/>
            <w:gridSpan w:val="3"/>
          </w:tcPr>
          <w:p w:rsidR="003C3C25" w:rsidRDefault="003C3C25">
            <w:pPr>
              <w:pStyle w:val="Default"/>
              <w:rPr>
                <w:sz w:val="23"/>
                <w:szCs w:val="23"/>
              </w:rPr>
            </w:pPr>
            <w:r>
              <w:rPr>
                <w:b/>
                <w:bCs/>
                <w:sz w:val="23"/>
                <w:szCs w:val="23"/>
              </w:rPr>
              <w:t xml:space="preserve">           H. </w:t>
            </w:r>
          </w:p>
        </w:tc>
        <w:tc>
          <w:tcPr>
            <w:tcW w:w="1214" w:type="dxa"/>
            <w:gridSpan w:val="2"/>
          </w:tcPr>
          <w:p w:rsidR="003C3C25" w:rsidRDefault="003C3C25">
            <w:pPr>
              <w:pStyle w:val="Default"/>
              <w:rPr>
                <w:sz w:val="23"/>
                <w:szCs w:val="23"/>
              </w:rPr>
            </w:pPr>
            <w:r>
              <w:rPr>
                <w:b/>
                <w:bCs/>
                <w:sz w:val="23"/>
                <w:szCs w:val="23"/>
              </w:rPr>
              <w:t xml:space="preserve">     C.E. </w:t>
            </w:r>
          </w:p>
        </w:tc>
        <w:tc>
          <w:tcPr>
            <w:tcW w:w="1214" w:type="dxa"/>
            <w:gridSpan w:val="3"/>
          </w:tcPr>
          <w:p w:rsidR="003C3C25" w:rsidRDefault="003C3C25">
            <w:pPr>
              <w:pStyle w:val="Default"/>
              <w:rPr>
                <w:sz w:val="23"/>
                <w:szCs w:val="23"/>
              </w:rPr>
            </w:pPr>
            <w:r>
              <w:rPr>
                <w:b/>
                <w:bCs/>
                <w:sz w:val="23"/>
                <w:szCs w:val="23"/>
              </w:rPr>
              <w:t xml:space="preserve">     C.P. </w:t>
            </w:r>
          </w:p>
        </w:tc>
        <w:tc>
          <w:tcPr>
            <w:tcW w:w="1214" w:type="dxa"/>
            <w:gridSpan w:val="2"/>
          </w:tcPr>
          <w:p w:rsidR="003C3C25" w:rsidRDefault="003C3C25">
            <w:pPr>
              <w:pStyle w:val="Default"/>
              <w:rPr>
                <w:sz w:val="23"/>
                <w:szCs w:val="23"/>
              </w:rPr>
            </w:pPr>
            <w:r>
              <w:rPr>
                <w:b/>
                <w:bCs/>
                <w:sz w:val="23"/>
                <w:szCs w:val="23"/>
              </w:rPr>
              <w:t xml:space="preserve">   SEM. </w:t>
            </w:r>
          </w:p>
        </w:tc>
        <w:tc>
          <w:tcPr>
            <w:tcW w:w="1214" w:type="dxa"/>
          </w:tcPr>
          <w:p w:rsidR="003C3C25" w:rsidRDefault="003C3C25">
            <w:pPr>
              <w:pStyle w:val="Default"/>
              <w:rPr>
                <w:sz w:val="23"/>
                <w:szCs w:val="23"/>
              </w:rPr>
            </w:pPr>
            <w:r>
              <w:rPr>
                <w:b/>
                <w:bCs/>
                <w:sz w:val="23"/>
                <w:szCs w:val="23"/>
              </w:rPr>
              <w:t xml:space="preserve">LAB. </w:t>
            </w:r>
          </w:p>
        </w:tc>
        <w:tc>
          <w:tcPr>
            <w:tcW w:w="1214" w:type="dxa"/>
          </w:tcPr>
          <w:p w:rsidR="003C3C25" w:rsidRDefault="003C3C25">
            <w:pPr>
              <w:pStyle w:val="Default"/>
              <w:rPr>
                <w:sz w:val="19"/>
                <w:szCs w:val="19"/>
              </w:rPr>
            </w:pPr>
            <w:r>
              <w:rPr>
                <w:b/>
                <w:bCs/>
                <w:sz w:val="19"/>
                <w:szCs w:val="19"/>
              </w:rPr>
              <w:t xml:space="preserve">EVAL. </w:t>
            </w:r>
          </w:p>
        </w:tc>
      </w:tr>
      <w:tr w:rsidR="003C3C25" w:rsidTr="003C3C25">
        <w:trPr>
          <w:gridAfter w:val="4"/>
          <w:wAfter w:w="2676" w:type="dxa"/>
          <w:trHeight w:val="356"/>
        </w:trPr>
        <w:tc>
          <w:tcPr>
            <w:tcW w:w="1942" w:type="dxa"/>
            <w:gridSpan w:val="3"/>
          </w:tcPr>
          <w:p w:rsidR="003C3C25" w:rsidRDefault="003C3C25">
            <w:pPr>
              <w:pStyle w:val="Default"/>
              <w:rPr>
                <w:sz w:val="22"/>
                <w:szCs w:val="22"/>
              </w:rPr>
            </w:pPr>
            <w:r>
              <w:rPr>
                <w:sz w:val="22"/>
                <w:szCs w:val="22"/>
              </w:rPr>
              <w:t xml:space="preserve">Introducción al DPC y 2. El aseguramiento del resultado procesal </w:t>
            </w:r>
          </w:p>
        </w:tc>
        <w:tc>
          <w:tcPr>
            <w:tcW w:w="1942" w:type="dxa"/>
            <w:gridSpan w:val="4"/>
          </w:tcPr>
          <w:p w:rsidR="003C3C25" w:rsidRDefault="003C3C25">
            <w:pPr>
              <w:pStyle w:val="Default"/>
              <w:rPr>
                <w:sz w:val="22"/>
                <w:szCs w:val="22"/>
              </w:rPr>
            </w:pPr>
            <w:r>
              <w:rPr>
                <w:sz w:val="22"/>
                <w:szCs w:val="22"/>
              </w:rPr>
              <w:t xml:space="preserve">2 </w:t>
            </w:r>
          </w:p>
        </w:tc>
        <w:tc>
          <w:tcPr>
            <w:tcW w:w="1944" w:type="dxa"/>
            <w:gridSpan w:val="3"/>
          </w:tcPr>
          <w:p w:rsidR="003C3C25" w:rsidRDefault="003C3C25">
            <w:pPr>
              <w:pStyle w:val="Default"/>
              <w:rPr>
                <w:sz w:val="22"/>
                <w:szCs w:val="22"/>
              </w:rPr>
            </w:pPr>
            <w:r>
              <w:rPr>
                <w:sz w:val="22"/>
                <w:szCs w:val="22"/>
              </w:rPr>
              <w:t xml:space="preserve">    2 </w:t>
            </w:r>
          </w:p>
        </w:tc>
      </w:tr>
      <w:tr w:rsidR="003C3C25" w:rsidTr="003C3C25">
        <w:trPr>
          <w:gridAfter w:val="4"/>
          <w:wAfter w:w="2676" w:type="dxa"/>
          <w:trHeight w:val="103"/>
        </w:trPr>
        <w:tc>
          <w:tcPr>
            <w:tcW w:w="1942" w:type="dxa"/>
            <w:gridSpan w:val="3"/>
          </w:tcPr>
          <w:p w:rsidR="003C3C25" w:rsidRDefault="003C3C25">
            <w:pPr>
              <w:pStyle w:val="Default"/>
              <w:rPr>
                <w:sz w:val="22"/>
                <w:szCs w:val="22"/>
              </w:rPr>
            </w:pPr>
            <w:r>
              <w:rPr>
                <w:sz w:val="22"/>
                <w:szCs w:val="22"/>
              </w:rPr>
              <w:t xml:space="preserve">3. Inicio y terminación del proceso </w:t>
            </w:r>
          </w:p>
        </w:tc>
        <w:tc>
          <w:tcPr>
            <w:tcW w:w="1942" w:type="dxa"/>
            <w:gridSpan w:val="4"/>
          </w:tcPr>
          <w:p w:rsidR="003C3C25" w:rsidRDefault="003C3C25">
            <w:pPr>
              <w:pStyle w:val="Default"/>
              <w:rPr>
                <w:sz w:val="22"/>
                <w:szCs w:val="22"/>
              </w:rPr>
            </w:pPr>
            <w:r>
              <w:rPr>
                <w:sz w:val="22"/>
                <w:szCs w:val="22"/>
              </w:rPr>
              <w:t xml:space="preserve">2 </w:t>
            </w:r>
          </w:p>
        </w:tc>
        <w:tc>
          <w:tcPr>
            <w:tcW w:w="1944" w:type="dxa"/>
            <w:gridSpan w:val="3"/>
          </w:tcPr>
          <w:p w:rsidR="003C3C25" w:rsidRDefault="003C3C25">
            <w:pPr>
              <w:pStyle w:val="Default"/>
              <w:rPr>
                <w:sz w:val="22"/>
                <w:szCs w:val="22"/>
              </w:rPr>
            </w:pPr>
            <w:r>
              <w:rPr>
                <w:sz w:val="22"/>
                <w:szCs w:val="22"/>
              </w:rPr>
              <w:t xml:space="preserve">    2 </w:t>
            </w:r>
          </w:p>
        </w:tc>
      </w:tr>
      <w:tr w:rsidR="003C3C25" w:rsidTr="003C3C25">
        <w:trPr>
          <w:gridAfter w:val="4"/>
          <w:wAfter w:w="2676" w:type="dxa"/>
          <w:trHeight w:val="103"/>
        </w:trPr>
        <w:tc>
          <w:tcPr>
            <w:tcW w:w="1942" w:type="dxa"/>
            <w:gridSpan w:val="3"/>
          </w:tcPr>
          <w:p w:rsidR="003C3C25" w:rsidRDefault="003C3C25">
            <w:pPr>
              <w:pStyle w:val="Default"/>
              <w:rPr>
                <w:sz w:val="22"/>
                <w:szCs w:val="22"/>
              </w:rPr>
            </w:pPr>
            <w:r>
              <w:rPr>
                <w:sz w:val="22"/>
                <w:szCs w:val="22"/>
              </w:rPr>
              <w:t xml:space="preserve">4. La prueba </w:t>
            </w:r>
          </w:p>
        </w:tc>
        <w:tc>
          <w:tcPr>
            <w:tcW w:w="1942" w:type="dxa"/>
            <w:gridSpan w:val="4"/>
          </w:tcPr>
          <w:p w:rsidR="003C3C25" w:rsidRDefault="003C3C25">
            <w:pPr>
              <w:pStyle w:val="Default"/>
              <w:rPr>
                <w:sz w:val="22"/>
                <w:szCs w:val="22"/>
              </w:rPr>
            </w:pPr>
            <w:r>
              <w:rPr>
                <w:sz w:val="22"/>
                <w:szCs w:val="22"/>
              </w:rPr>
              <w:t xml:space="preserve">2 </w:t>
            </w:r>
          </w:p>
        </w:tc>
        <w:tc>
          <w:tcPr>
            <w:tcW w:w="1944" w:type="dxa"/>
            <w:gridSpan w:val="3"/>
          </w:tcPr>
          <w:p w:rsidR="003C3C25" w:rsidRDefault="003C3C25">
            <w:pPr>
              <w:pStyle w:val="Default"/>
              <w:rPr>
                <w:sz w:val="22"/>
                <w:szCs w:val="22"/>
              </w:rPr>
            </w:pPr>
            <w:r>
              <w:rPr>
                <w:sz w:val="22"/>
                <w:szCs w:val="22"/>
              </w:rPr>
              <w:t xml:space="preserve">    2 </w:t>
            </w:r>
          </w:p>
        </w:tc>
      </w:tr>
      <w:tr w:rsidR="003C3C25" w:rsidTr="003C3C25">
        <w:trPr>
          <w:gridAfter w:val="4"/>
          <w:wAfter w:w="2676" w:type="dxa"/>
          <w:trHeight w:val="103"/>
        </w:trPr>
        <w:tc>
          <w:tcPr>
            <w:tcW w:w="1942" w:type="dxa"/>
            <w:gridSpan w:val="3"/>
          </w:tcPr>
          <w:p w:rsidR="003C3C25" w:rsidRDefault="003C3C25">
            <w:pPr>
              <w:pStyle w:val="Default"/>
              <w:rPr>
                <w:sz w:val="22"/>
                <w:szCs w:val="22"/>
              </w:rPr>
            </w:pPr>
            <w:r>
              <w:rPr>
                <w:sz w:val="22"/>
                <w:szCs w:val="22"/>
              </w:rPr>
              <w:t xml:space="preserve">5. Procesos de Conocimiento </w:t>
            </w:r>
          </w:p>
        </w:tc>
        <w:tc>
          <w:tcPr>
            <w:tcW w:w="1942" w:type="dxa"/>
            <w:gridSpan w:val="4"/>
          </w:tcPr>
          <w:p w:rsidR="003C3C25" w:rsidRDefault="003C3C25">
            <w:pPr>
              <w:pStyle w:val="Default"/>
              <w:rPr>
                <w:sz w:val="22"/>
                <w:szCs w:val="22"/>
              </w:rPr>
            </w:pPr>
            <w:r>
              <w:rPr>
                <w:sz w:val="22"/>
                <w:szCs w:val="22"/>
              </w:rPr>
              <w:t xml:space="preserve">4 </w:t>
            </w:r>
          </w:p>
        </w:tc>
        <w:tc>
          <w:tcPr>
            <w:tcW w:w="1944" w:type="dxa"/>
            <w:gridSpan w:val="3"/>
          </w:tcPr>
          <w:p w:rsidR="003C3C25" w:rsidRDefault="003C3C25">
            <w:pPr>
              <w:pStyle w:val="Default"/>
              <w:rPr>
                <w:sz w:val="22"/>
                <w:szCs w:val="22"/>
              </w:rPr>
            </w:pPr>
            <w:r>
              <w:rPr>
                <w:sz w:val="22"/>
                <w:szCs w:val="22"/>
              </w:rPr>
              <w:t xml:space="preserve">    4 </w:t>
            </w:r>
          </w:p>
        </w:tc>
      </w:tr>
      <w:tr w:rsidR="003C3C25" w:rsidTr="003C3C25">
        <w:trPr>
          <w:gridAfter w:val="4"/>
          <w:wAfter w:w="2676" w:type="dxa"/>
          <w:trHeight w:val="356"/>
        </w:trPr>
        <w:tc>
          <w:tcPr>
            <w:tcW w:w="1942" w:type="dxa"/>
            <w:gridSpan w:val="3"/>
          </w:tcPr>
          <w:p w:rsidR="003C3C25" w:rsidRDefault="003C3C25">
            <w:pPr>
              <w:pStyle w:val="Default"/>
              <w:rPr>
                <w:sz w:val="22"/>
                <w:szCs w:val="22"/>
              </w:rPr>
            </w:pPr>
            <w:r>
              <w:rPr>
                <w:sz w:val="22"/>
                <w:szCs w:val="22"/>
              </w:rPr>
              <w:t xml:space="preserve">6. Proceso de Ejecución, 7. </w:t>
            </w:r>
            <w:proofErr w:type="gramStart"/>
            <w:r>
              <w:rPr>
                <w:sz w:val="22"/>
                <w:szCs w:val="22"/>
              </w:rPr>
              <w:t>procedimientos</w:t>
            </w:r>
            <w:proofErr w:type="gramEnd"/>
            <w:r>
              <w:rPr>
                <w:sz w:val="22"/>
                <w:szCs w:val="22"/>
              </w:rPr>
              <w:t xml:space="preserve"> sucesorios y 8. jurisdicción voluntaria </w:t>
            </w:r>
          </w:p>
        </w:tc>
        <w:tc>
          <w:tcPr>
            <w:tcW w:w="1942" w:type="dxa"/>
            <w:gridSpan w:val="4"/>
          </w:tcPr>
          <w:p w:rsidR="003C3C25" w:rsidRDefault="003C3C25">
            <w:pPr>
              <w:pStyle w:val="Default"/>
              <w:rPr>
                <w:sz w:val="22"/>
                <w:szCs w:val="22"/>
              </w:rPr>
            </w:pPr>
            <w:r>
              <w:rPr>
                <w:sz w:val="22"/>
                <w:szCs w:val="22"/>
              </w:rPr>
              <w:t xml:space="preserve">2 </w:t>
            </w:r>
          </w:p>
        </w:tc>
        <w:tc>
          <w:tcPr>
            <w:tcW w:w="1944" w:type="dxa"/>
            <w:gridSpan w:val="3"/>
          </w:tcPr>
          <w:p w:rsidR="003C3C25" w:rsidRDefault="003C3C25">
            <w:pPr>
              <w:pStyle w:val="Default"/>
              <w:rPr>
                <w:sz w:val="22"/>
                <w:szCs w:val="22"/>
              </w:rPr>
            </w:pPr>
            <w:r>
              <w:rPr>
                <w:sz w:val="22"/>
                <w:szCs w:val="22"/>
              </w:rPr>
              <w:t xml:space="preserve">     2 </w:t>
            </w:r>
          </w:p>
        </w:tc>
      </w:tr>
      <w:tr w:rsidR="003C3C25">
        <w:trPr>
          <w:gridAfter w:val="4"/>
          <w:wAfter w:w="2676" w:type="dxa"/>
          <w:trHeight w:val="103"/>
        </w:trPr>
        <w:tc>
          <w:tcPr>
            <w:tcW w:w="1457" w:type="dxa"/>
            <w:gridSpan w:val="2"/>
          </w:tcPr>
          <w:p w:rsidR="003C3C25" w:rsidRDefault="003C3C25">
            <w:pPr>
              <w:pStyle w:val="Default"/>
              <w:rPr>
                <w:sz w:val="22"/>
                <w:szCs w:val="22"/>
              </w:rPr>
            </w:pPr>
            <w:r>
              <w:rPr>
                <w:sz w:val="22"/>
                <w:szCs w:val="22"/>
              </w:rPr>
              <w:t xml:space="preserve">9. Medios de impugnación </w:t>
            </w:r>
          </w:p>
        </w:tc>
        <w:tc>
          <w:tcPr>
            <w:tcW w:w="1457" w:type="dxa"/>
            <w:gridSpan w:val="3"/>
          </w:tcPr>
          <w:p w:rsidR="003C3C25" w:rsidRDefault="003C3C25">
            <w:pPr>
              <w:pStyle w:val="Default"/>
              <w:rPr>
                <w:sz w:val="22"/>
                <w:szCs w:val="22"/>
              </w:rPr>
            </w:pPr>
            <w:r>
              <w:rPr>
                <w:sz w:val="22"/>
                <w:szCs w:val="22"/>
              </w:rPr>
              <w:t xml:space="preserve">       4 </w:t>
            </w:r>
          </w:p>
        </w:tc>
        <w:tc>
          <w:tcPr>
            <w:tcW w:w="1457" w:type="dxa"/>
            <w:gridSpan w:val="3"/>
          </w:tcPr>
          <w:p w:rsidR="003C3C25" w:rsidRDefault="003C3C25">
            <w:pPr>
              <w:pStyle w:val="Default"/>
              <w:rPr>
                <w:sz w:val="22"/>
                <w:szCs w:val="22"/>
              </w:rPr>
            </w:pPr>
            <w:r>
              <w:rPr>
                <w:sz w:val="22"/>
                <w:szCs w:val="22"/>
              </w:rPr>
              <w:t xml:space="preserve">2 </w:t>
            </w:r>
          </w:p>
        </w:tc>
        <w:tc>
          <w:tcPr>
            <w:tcW w:w="1457" w:type="dxa"/>
            <w:gridSpan w:val="2"/>
          </w:tcPr>
          <w:p w:rsidR="003C3C25" w:rsidRDefault="003C3C25">
            <w:pPr>
              <w:pStyle w:val="Default"/>
              <w:rPr>
                <w:sz w:val="22"/>
                <w:szCs w:val="22"/>
              </w:rPr>
            </w:pPr>
            <w:r>
              <w:rPr>
                <w:sz w:val="22"/>
                <w:szCs w:val="22"/>
              </w:rPr>
              <w:t xml:space="preserve">2 </w:t>
            </w:r>
          </w:p>
        </w:tc>
      </w:tr>
      <w:tr w:rsidR="003C3C25">
        <w:trPr>
          <w:gridAfter w:val="4"/>
          <w:wAfter w:w="2676" w:type="dxa"/>
          <w:trHeight w:val="113"/>
        </w:trPr>
        <w:tc>
          <w:tcPr>
            <w:tcW w:w="1457" w:type="dxa"/>
            <w:gridSpan w:val="2"/>
          </w:tcPr>
          <w:p w:rsidR="003C3C25" w:rsidRDefault="003C3C25">
            <w:pPr>
              <w:pStyle w:val="Default"/>
              <w:rPr>
                <w:sz w:val="23"/>
                <w:szCs w:val="23"/>
              </w:rPr>
            </w:pPr>
            <w:r>
              <w:rPr>
                <w:b/>
                <w:bCs/>
                <w:sz w:val="23"/>
                <w:szCs w:val="23"/>
              </w:rPr>
              <w:t xml:space="preserve">TOTALES </w:t>
            </w:r>
          </w:p>
        </w:tc>
        <w:tc>
          <w:tcPr>
            <w:tcW w:w="1457" w:type="dxa"/>
            <w:gridSpan w:val="3"/>
          </w:tcPr>
          <w:p w:rsidR="003C3C25" w:rsidRDefault="003C3C25">
            <w:pPr>
              <w:pStyle w:val="Default"/>
              <w:rPr>
                <w:sz w:val="22"/>
                <w:szCs w:val="22"/>
              </w:rPr>
            </w:pPr>
            <w:r>
              <w:rPr>
                <w:sz w:val="22"/>
                <w:szCs w:val="22"/>
              </w:rPr>
              <w:t xml:space="preserve">      16 </w:t>
            </w:r>
          </w:p>
        </w:tc>
        <w:tc>
          <w:tcPr>
            <w:tcW w:w="1457" w:type="dxa"/>
            <w:gridSpan w:val="3"/>
          </w:tcPr>
          <w:p w:rsidR="003C3C25" w:rsidRDefault="00A25593">
            <w:pPr>
              <w:pStyle w:val="Default"/>
              <w:rPr>
                <w:sz w:val="22"/>
                <w:szCs w:val="22"/>
              </w:rPr>
            </w:pPr>
            <w:r>
              <w:rPr>
                <w:sz w:val="22"/>
                <w:szCs w:val="22"/>
              </w:rPr>
              <w:t>2</w:t>
            </w:r>
            <w:r w:rsidR="003C3C25">
              <w:rPr>
                <w:sz w:val="22"/>
                <w:szCs w:val="22"/>
              </w:rPr>
              <w:t xml:space="preserve"> </w:t>
            </w:r>
          </w:p>
        </w:tc>
        <w:tc>
          <w:tcPr>
            <w:tcW w:w="1457" w:type="dxa"/>
            <w:gridSpan w:val="2"/>
          </w:tcPr>
          <w:p w:rsidR="003C3C25" w:rsidRDefault="00A25593">
            <w:pPr>
              <w:pStyle w:val="Default"/>
              <w:rPr>
                <w:sz w:val="22"/>
                <w:szCs w:val="22"/>
              </w:rPr>
            </w:pPr>
            <w:r>
              <w:rPr>
                <w:sz w:val="22"/>
                <w:szCs w:val="22"/>
              </w:rPr>
              <w:t>14</w:t>
            </w:r>
            <w:r w:rsidR="003C3C25">
              <w:rPr>
                <w:sz w:val="22"/>
                <w:szCs w:val="22"/>
              </w:rPr>
              <w:t xml:space="preserve"> </w:t>
            </w:r>
          </w:p>
        </w:tc>
      </w:tr>
    </w:tbl>
    <w:p w:rsidR="003C3C25" w:rsidRDefault="003C3C25" w:rsidP="003C3C25">
      <w:pPr>
        <w:pStyle w:val="Default"/>
        <w:jc w:val="both"/>
        <w:rPr>
          <w:b/>
          <w:bCs/>
          <w:sz w:val="23"/>
          <w:szCs w:val="23"/>
        </w:rPr>
      </w:pPr>
    </w:p>
    <w:p w:rsidR="003C3C25" w:rsidRDefault="003C3C25" w:rsidP="003C3C25">
      <w:pPr>
        <w:pStyle w:val="Default"/>
        <w:jc w:val="both"/>
        <w:rPr>
          <w:b/>
          <w:bCs/>
          <w:sz w:val="23"/>
          <w:szCs w:val="23"/>
        </w:rPr>
      </w:pPr>
    </w:p>
    <w:p w:rsidR="003C3C25" w:rsidRDefault="003C3C25" w:rsidP="003C3C25">
      <w:pPr>
        <w:pStyle w:val="Default"/>
        <w:jc w:val="both"/>
        <w:rPr>
          <w:b/>
          <w:bCs/>
          <w:sz w:val="23"/>
          <w:szCs w:val="23"/>
        </w:rPr>
      </w:pPr>
    </w:p>
    <w:p w:rsidR="003C3C25" w:rsidRDefault="003C3C25" w:rsidP="003C3C25">
      <w:pPr>
        <w:pStyle w:val="Default"/>
        <w:jc w:val="both"/>
        <w:rPr>
          <w:sz w:val="23"/>
          <w:szCs w:val="23"/>
        </w:rPr>
      </w:pPr>
      <w:r>
        <w:rPr>
          <w:b/>
          <w:bCs/>
          <w:sz w:val="23"/>
          <w:szCs w:val="23"/>
        </w:rPr>
        <w:lastRenderedPageBreak/>
        <w:t xml:space="preserve">FUNDAMENTACIÓN </w:t>
      </w:r>
    </w:p>
    <w:p w:rsidR="003C3C25" w:rsidRDefault="003C3C25" w:rsidP="003C3C25">
      <w:pPr>
        <w:pStyle w:val="Default"/>
        <w:jc w:val="both"/>
        <w:rPr>
          <w:sz w:val="23"/>
          <w:szCs w:val="23"/>
        </w:rPr>
      </w:pPr>
      <w:r>
        <w:rPr>
          <w:sz w:val="23"/>
          <w:szCs w:val="23"/>
        </w:rPr>
        <w:t xml:space="preserve">La asignatura se sustenta en la integración de las categorías e instituciones del Derecho Procesal y su expresión en el ámbito civil. Tiene por objeto esencial dotar al estudiante de las herramientas teórico-prácticas para el ejercicio y protección de los derechos reconocidos por el Derecho Civil, pues en este nivel ha concluido todas las materias correspondientes al ciclo básico de la carrera, particularmente las de las áreas civiles en clave sustantiva, lo que posibilita una preparación integral para el desempeño jurisdiccional. </w:t>
      </w:r>
    </w:p>
    <w:p w:rsidR="003C3C25" w:rsidRDefault="003C3C25" w:rsidP="003C3C25">
      <w:pPr>
        <w:pStyle w:val="Default"/>
        <w:jc w:val="both"/>
        <w:rPr>
          <w:sz w:val="23"/>
          <w:szCs w:val="23"/>
        </w:rPr>
      </w:pPr>
    </w:p>
    <w:p w:rsidR="003C3C25" w:rsidRDefault="003C3C25" w:rsidP="003C3C25">
      <w:pPr>
        <w:pStyle w:val="Default"/>
        <w:jc w:val="both"/>
        <w:rPr>
          <w:sz w:val="23"/>
          <w:szCs w:val="23"/>
        </w:rPr>
      </w:pPr>
      <w:r>
        <w:rPr>
          <w:sz w:val="23"/>
          <w:szCs w:val="23"/>
        </w:rPr>
        <w:t xml:space="preserve">Su función en el currículo es la de afianzar el arsenal teórico adquirido con la asignatura Teoría General del Proceso </w:t>
      </w:r>
      <w:proofErr w:type="spellStart"/>
      <w:r>
        <w:rPr>
          <w:sz w:val="23"/>
          <w:szCs w:val="23"/>
        </w:rPr>
        <w:t>yformar</w:t>
      </w:r>
      <w:proofErr w:type="spellEnd"/>
      <w:r>
        <w:rPr>
          <w:sz w:val="23"/>
          <w:szCs w:val="23"/>
        </w:rPr>
        <w:t xml:space="preserve"> al estudiante en conocimientos y habilidades en el área específica del Procesal Civil. Aporta pericias que conforman y complementan los modos de actuación en los distintos campos de acción de la profesión jurídica (la asesoría, la representación legal y la impartición de justicia).</w:t>
      </w:r>
    </w:p>
    <w:p w:rsidR="003C3C25" w:rsidRDefault="003C3C25" w:rsidP="003C3C25">
      <w:pPr>
        <w:pStyle w:val="Default"/>
        <w:jc w:val="both"/>
        <w:rPr>
          <w:sz w:val="23"/>
          <w:szCs w:val="23"/>
        </w:rPr>
      </w:pPr>
      <w:r>
        <w:rPr>
          <w:sz w:val="23"/>
          <w:szCs w:val="23"/>
        </w:rPr>
        <w:t xml:space="preserve"> </w:t>
      </w:r>
    </w:p>
    <w:p w:rsidR="003C3C25" w:rsidRDefault="003C3C25" w:rsidP="003C3C25">
      <w:pPr>
        <w:pStyle w:val="Default"/>
        <w:jc w:val="both"/>
        <w:rPr>
          <w:sz w:val="23"/>
          <w:szCs w:val="23"/>
        </w:rPr>
      </w:pPr>
      <w:r>
        <w:rPr>
          <w:b/>
          <w:bCs/>
          <w:sz w:val="23"/>
          <w:szCs w:val="23"/>
        </w:rPr>
        <w:t xml:space="preserve">OBJETIVOS GENERALES DE LA ASIGNATURA </w:t>
      </w:r>
    </w:p>
    <w:p w:rsidR="003C3C25" w:rsidRDefault="003C3C25" w:rsidP="003C3C25">
      <w:pPr>
        <w:pStyle w:val="Default"/>
        <w:spacing w:after="260"/>
        <w:jc w:val="both"/>
        <w:rPr>
          <w:sz w:val="23"/>
          <w:szCs w:val="23"/>
        </w:rPr>
      </w:pPr>
      <w:r>
        <w:rPr>
          <w:sz w:val="23"/>
          <w:szCs w:val="23"/>
        </w:rPr>
        <w:t xml:space="preserve">1. Explicar el sistema categorial que conforma la teoría del proceso civil, con especial énfasis en los valores y principios que caracterizan a la administración de justicia en una sociedad socialista. </w:t>
      </w:r>
    </w:p>
    <w:p w:rsidR="003C3C25" w:rsidRDefault="003C3C25" w:rsidP="003C3C25">
      <w:pPr>
        <w:pStyle w:val="Default"/>
        <w:jc w:val="both"/>
        <w:rPr>
          <w:sz w:val="23"/>
          <w:szCs w:val="23"/>
        </w:rPr>
      </w:pPr>
      <w:r>
        <w:rPr>
          <w:sz w:val="23"/>
          <w:szCs w:val="23"/>
        </w:rPr>
        <w:t xml:space="preserve">2. Interpretar el universo de normas procesales civiles y aplicar los presupuestos procesales de carácter general, con integración de los contenidos sustantivos y adjetivos en sede civil. </w:t>
      </w:r>
    </w:p>
    <w:p w:rsidR="003C3C25" w:rsidRDefault="003C3C25" w:rsidP="003C3C25">
      <w:pPr>
        <w:pStyle w:val="Default"/>
        <w:jc w:val="both"/>
        <w:rPr>
          <w:sz w:val="23"/>
          <w:szCs w:val="23"/>
        </w:rPr>
      </w:pPr>
    </w:p>
    <w:p w:rsidR="003C3C25" w:rsidRDefault="003C3C25" w:rsidP="003C3C25">
      <w:pPr>
        <w:pStyle w:val="Default"/>
        <w:jc w:val="both"/>
        <w:rPr>
          <w:b/>
          <w:bCs/>
          <w:sz w:val="23"/>
          <w:szCs w:val="23"/>
        </w:rPr>
      </w:pPr>
      <w:r>
        <w:rPr>
          <w:b/>
          <w:bCs/>
          <w:sz w:val="23"/>
          <w:szCs w:val="23"/>
        </w:rPr>
        <w:t xml:space="preserve">CONTENIDOS BÁSICOS DE LA ASIGNATURA </w:t>
      </w:r>
    </w:p>
    <w:p w:rsidR="003C3C25" w:rsidRDefault="003C3C25" w:rsidP="003C3C25">
      <w:pPr>
        <w:pStyle w:val="Default"/>
        <w:jc w:val="both"/>
        <w:rPr>
          <w:color w:val="auto"/>
          <w:sz w:val="23"/>
          <w:szCs w:val="23"/>
        </w:rPr>
      </w:pPr>
      <w:r>
        <w:rPr>
          <w:color w:val="auto"/>
          <w:sz w:val="23"/>
          <w:szCs w:val="23"/>
        </w:rPr>
        <w:t xml:space="preserve">El sistema de conocimientos comprende las particularidades teóricas del Derecho Procesal Civil, que abarca un amplio campo de categorías básicas como jurisdicción, acción, proceso, actos procesales, etc.; la relación </w:t>
      </w:r>
      <w:proofErr w:type="gramStart"/>
      <w:r>
        <w:rPr>
          <w:color w:val="auto"/>
          <w:sz w:val="23"/>
          <w:szCs w:val="23"/>
        </w:rPr>
        <w:t>jurídico</w:t>
      </w:r>
      <w:proofErr w:type="gramEnd"/>
      <w:r>
        <w:rPr>
          <w:color w:val="auto"/>
          <w:sz w:val="23"/>
          <w:szCs w:val="23"/>
        </w:rPr>
        <w:t xml:space="preserve"> procesal, como fundamento teórico esencial para explicar el proceso y los sujetos que la integran, con énfasis en el proceso ordinario y demás modalidades procesales. </w:t>
      </w:r>
    </w:p>
    <w:p w:rsidR="003C3C25" w:rsidRDefault="003C3C25" w:rsidP="003C3C25">
      <w:pPr>
        <w:pStyle w:val="Default"/>
        <w:jc w:val="both"/>
        <w:rPr>
          <w:color w:val="auto"/>
          <w:sz w:val="23"/>
          <w:szCs w:val="23"/>
        </w:rPr>
      </w:pPr>
    </w:p>
    <w:p w:rsidR="003C3C25" w:rsidRDefault="003C3C25" w:rsidP="003C3C25">
      <w:pPr>
        <w:pStyle w:val="Default"/>
        <w:jc w:val="both"/>
        <w:rPr>
          <w:color w:val="auto"/>
          <w:sz w:val="23"/>
          <w:szCs w:val="23"/>
        </w:rPr>
      </w:pPr>
      <w:r>
        <w:rPr>
          <w:color w:val="auto"/>
          <w:sz w:val="23"/>
          <w:szCs w:val="23"/>
        </w:rPr>
        <w:t xml:space="preserve">Todo ello visto en integración de los conocimientos teóricos-doctrinales y prácticos, propios del desempeño jurídico. </w:t>
      </w:r>
    </w:p>
    <w:p w:rsidR="003C3C25" w:rsidRDefault="003C3C25" w:rsidP="003C3C25">
      <w:pPr>
        <w:pStyle w:val="Default"/>
        <w:jc w:val="both"/>
        <w:rPr>
          <w:b/>
          <w:bCs/>
          <w:color w:val="auto"/>
          <w:sz w:val="23"/>
          <w:szCs w:val="23"/>
        </w:rPr>
      </w:pPr>
    </w:p>
    <w:p w:rsidR="003C3C25" w:rsidRDefault="003C3C25" w:rsidP="003C3C25">
      <w:pPr>
        <w:pStyle w:val="Default"/>
        <w:jc w:val="both"/>
        <w:rPr>
          <w:color w:val="auto"/>
          <w:sz w:val="19"/>
          <w:szCs w:val="19"/>
        </w:rPr>
      </w:pPr>
      <w:r>
        <w:rPr>
          <w:b/>
          <w:bCs/>
          <w:color w:val="auto"/>
          <w:sz w:val="23"/>
          <w:szCs w:val="23"/>
        </w:rPr>
        <w:t>H</w:t>
      </w:r>
      <w:r>
        <w:rPr>
          <w:b/>
          <w:bCs/>
          <w:color w:val="auto"/>
          <w:sz w:val="19"/>
          <w:szCs w:val="19"/>
        </w:rPr>
        <w:t xml:space="preserve">ABILIDADES PRINCIPALES A DOMINAR </w:t>
      </w:r>
    </w:p>
    <w:p w:rsidR="003C3C25" w:rsidRDefault="003C3C25" w:rsidP="003C3C25">
      <w:pPr>
        <w:pStyle w:val="Default"/>
        <w:spacing w:after="140"/>
        <w:jc w:val="both"/>
        <w:rPr>
          <w:color w:val="auto"/>
          <w:sz w:val="23"/>
          <w:szCs w:val="23"/>
        </w:rPr>
      </w:pPr>
      <w:r>
        <w:rPr>
          <w:color w:val="auto"/>
          <w:sz w:val="23"/>
          <w:szCs w:val="23"/>
        </w:rPr>
        <w:t xml:space="preserve">1. Analizar e interpretar los presupuestos teóricos que conforman el proceso civil en su generalidad, a partir de la identificación y manejo de las categorías, conceptos y principios del Derecho Procesal Civil. </w:t>
      </w:r>
    </w:p>
    <w:p w:rsidR="003C3C25" w:rsidRDefault="003C3C25" w:rsidP="003C3C25">
      <w:pPr>
        <w:pStyle w:val="Default"/>
        <w:spacing w:after="140"/>
        <w:jc w:val="both"/>
        <w:rPr>
          <w:color w:val="auto"/>
          <w:sz w:val="23"/>
          <w:szCs w:val="23"/>
        </w:rPr>
      </w:pPr>
      <w:r>
        <w:rPr>
          <w:color w:val="auto"/>
          <w:sz w:val="23"/>
          <w:szCs w:val="23"/>
        </w:rPr>
        <w:t xml:space="preserve">2. Interpretar la esencia de la relación jurídico-procesal y la forma de constituirse en las diferentes modalidades procesales. </w:t>
      </w:r>
    </w:p>
    <w:p w:rsidR="003C3C25" w:rsidRDefault="003C3C25" w:rsidP="003C3C25">
      <w:pPr>
        <w:pStyle w:val="Default"/>
        <w:spacing w:after="140"/>
        <w:jc w:val="both"/>
        <w:rPr>
          <w:color w:val="auto"/>
          <w:sz w:val="23"/>
          <w:szCs w:val="23"/>
        </w:rPr>
      </w:pPr>
      <w:r>
        <w:rPr>
          <w:color w:val="auto"/>
          <w:sz w:val="23"/>
          <w:szCs w:val="23"/>
        </w:rPr>
        <w:t xml:space="preserve">3. Aplicar los elementos esenciales de la teoría de los actos procesales, la prueba, el régimen cautelar y los medios de impugnación. </w:t>
      </w:r>
    </w:p>
    <w:p w:rsidR="003C3C25" w:rsidRDefault="003C3C25" w:rsidP="003C3C25">
      <w:pPr>
        <w:pStyle w:val="Default"/>
        <w:spacing w:after="140"/>
        <w:jc w:val="both"/>
        <w:rPr>
          <w:color w:val="auto"/>
          <w:sz w:val="23"/>
          <w:szCs w:val="23"/>
        </w:rPr>
      </w:pPr>
      <w:r>
        <w:rPr>
          <w:color w:val="auto"/>
          <w:sz w:val="23"/>
          <w:szCs w:val="23"/>
        </w:rPr>
        <w:t xml:space="preserve">4. Destacar el sentido práctico de la asignatura, en tanto permite que el estudiante aplique los conocimientos adquiridos a casos concretos de la vida real, con soluciones propias para su debida tutela jurídica. </w:t>
      </w:r>
    </w:p>
    <w:p w:rsidR="003C3C25" w:rsidRDefault="003C3C25" w:rsidP="003C3C25">
      <w:pPr>
        <w:pStyle w:val="Default"/>
        <w:spacing w:after="140"/>
        <w:jc w:val="both"/>
        <w:rPr>
          <w:color w:val="auto"/>
          <w:sz w:val="23"/>
          <w:szCs w:val="23"/>
        </w:rPr>
      </w:pPr>
      <w:r>
        <w:rPr>
          <w:color w:val="auto"/>
          <w:sz w:val="23"/>
          <w:szCs w:val="23"/>
        </w:rPr>
        <w:t xml:space="preserve">5. Ampliar y usar correctamente el vocabulario técnico jurídico. </w:t>
      </w:r>
    </w:p>
    <w:p w:rsidR="003C3C25" w:rsidRDefault="003C3C25" w:rsidP="003C3C25">
      <w:pPr>
        <w:pStyle w:val="Default"/>
        <w:jc w:val="both"/>
        <w:rPr>
          <w:color w:val="auto"/>
          <w:sz w:val="23"/>
          <w:szCs w:val="23"/>
        </w:rPr>
      </w:pPr>
      <w:r>
        <w:rPr>
          <w:color w:val="auto"/>
          <w:sz w:val="23"/>
          <w:szCs w:val="23"/>
        </w:rPr>
        <w:t xml:space="preserve">6. Lograr la integración efectiva del resto de las asignaturas de Derecho sustantivo que integran la Disciplina Derecho Civil y de Familia, así como del andamiaje teórico que aporta la asignatura Derecho Procesal (Parte General). </w:t>
      </w:r>
    </w:p>
    <w:p w:rsidR="003C3C25" w:rsidRDefault="003C3C25" w:rsidP="003C3C25">
      <w:pPr>
        <w:pStyle w:val="Default"/>
        <w:jc w:val="both"/>
        <w:rPr>
          <w:color w:val="auto"/>
          <w:sz w:val="23"/>
          <w:szCs w:val="23"/>
        </w:rPr>
      </w:pPr>
    </w:p>
    <w:p w:rsidR="003C3C25" w:rsidRDefault="003C3C25" w:rsidP="003C3C25">
      <w:pPr>
        <w:pStyle w:val="Default"/>
        <w:jc w:val="both"/>
        <w:rPr>
          <w:color w:val="auto"/>
          <w:sz w:val="19"/>
          <w:szCs w:val="19"/>
        </w:rPr>
      </w:pPr>
      <w:r>
        <w:rPr>
          <w:b/>
          <w:bCs/>
          <w:color w:val="auto"/>
          <w:sz w:val="23"/>
          <w:szCs w:val="23"/>
        </w:rPr>
        <w:lastRenderedPageBreak/>
        <w:t>V</w:t>
      </w:r>
      <w:r>
        <w:rPr>
          <w:b/>
          <w:bCs/>
          <w:color w:val="auto"/>
          <w:sz w:val="19"/>
          <w:szCs w:val="19"/>
        </w:rPr>
        <w:t xml:space="preserve">ALORES FUNDAMENTALES DE LA CARRERA A LOS QUE TRIBUTA </w:t>
      </w:r>
    </w:p>
    <w:p w:rsidR="003C3C25" w:rsidRDefault="003C3C25" w:rsidP="003C3C25">
      <w:pPr>
        <w:pStyle w:val="Default"/>
        <w:jc w:val="both"/>
        <w:rPr>
          <w:color w:val="auto"/>
          <w:sz w:val="23"/>
          <w:szCs w:val="23"/>
        </w:rPr>
      </w:pPr>
      <w:r>
        <w:rPr>
          <w:color w:val="auto"/>
          <w:sz w:val="23"/>
          <w:szCs w:val="23"/>
        </w:rPr>
        <w:t xml:space="preserve">La asignatura contribuye a formar valores del Licenciado en Derecho y que fueren declarados por la Disciplina: la responsabilidad, la ética, el compromiso político y social acorde con el papel que debe desempeñar el jurista en nuestra sociedad, con especial énfasis en la honestidad, justicia, honradez, compromiso con la Revolución, </w:t>
      </w:r>
      <w:proofErr w:type="spellStart"/>
      <w:r>
        <w:rPr>
          <w:color w:val="auto"/>
          <w:sz w:val="23"/>
          <w:szCs w:val="23"/>
        </w:rPr>
        <w:t>antimperialismo</w:t>
      </w:r>
      <w:proofErr w:type="spellEnd"/>
      <w:r>
        <w:rPr>
          <w:color w:val="auto"/>
          <w:sz w:val="23"/>
          <w:szCs w:val="23"/>
        </w:rPr>
        <w:t xml:space="preserve"> y solidaridad. </w:t>
      </w:r>
    </w:p>
    <w:p w:rsidR="003C3C25" w:rsidRDefault="003C3C25" w:rsidP="003C3C25">
      <w:pPr>
        <w:pStyle w:val="Default"/>
        <w:jc w:val="both"/>
        <w:rPr>
          <w:b/>
          <w:bCs/>
          <w:color w:val="auto"/>
          <w:sz w:val="23"/>
          <w:szCs w:val="23"/>
        </w:rPr>
      </w:pPr>
    </w:p>
    <w:p w:rsidR="003C3C25" w:rsidRDefault="003C3C25" w:rsidP="003C3C25">
      <w:pPr>
        <w:pStyle w:val="Default"/>
        <w:jc w:val="both"/>
        <w:rPr>
          <w:color w:val="auto"/>
          <w:sz w:val="23"/>
          <w:szCs w:val="23"/>
        </w:rPr>
      </w:pPr>
      <w:r>
        <w:rPr>
          <w:b/>
          <w:bCs/>
          <w:color w:val="auto"/>
          <w:sz w:val="23"/>
          <w:szCs w:val="23"/>
        </w:rPr>
        <w:t xml:space="preserve">INDICACIONES METODOLÓGICAS Y DE ORGANIZACIÓN DE LA ASIGNATURA </w:t>
      </w:r>
    </w:p>
    <w:p w:rsidR="003C3C25" w:rsidRDefault="003C3C25" w:rsidP="003C3C25">
      <w:pPr>
        <w:pStyle w:val="Default"/>
        <w:jc w:val="both"/>
        <w:rPr>
          <w:color w:val="auto"/>
          <w:sz w:val="23"/>
          <w:szCs w:val="23"/>
        </w:rPr>
      </w:pPr>
      <w:r>
        <w:rPr>
          <w:color w:val="auto"/>
          <w:sz w:val="23"/>
          <w:szCs w:val="23"/>
        </w:rPr>
        <w:t xml:space="preserve">La asignatura combina los contenidos teóricos y prácticos, a partir de las bases creadas de forma precedente por la asignatura </w:t>
      </w:r>
      <w:r>
        <w:rPr>
          <w:i/>
          <w:iCs/>
          <w:color w:val="auto"/>
          <w:sz w:val="23"/>
          <w:szCs w:val="23"/>
        </w:rPr>
        <w:t>Derecho Procesal. Parte General</w:t>
      </w:r>
      <w:r>
        <w:rPr>
          <w:color w:val="auto"/>
          <w:sz w:val="23"/>
          <w:szCs w:val="23"/>
        </w:rPr>
        <w:t xml:space="preserve">. El proceso docente en la modalidad presencial se desarrolla a través de conferencias, seminarios y clases prácticas, a las que se les concede una particular importancia, potenciando el estudio de casos y la enseñanza problémica. </w:t>
      </w:r>
    </w:p>
    <w:p w:rsidR="003C3C25" w:rsidRDefault="003C3C25" w:rsidP="003C3C25">
      <w:pPr>
        <w:pStyle w:val="Default"/>
        <w:jc w:val="both"/>
        <w:rPr>
          <w:color w:val="auto"/>
          <w:sz w:val="23"/>
          <w:szCs w:val="23"/>
        </w:rPr>
      </w:pPr>
    </w:p>
    <w:p w:rsidR="003C3C25" w:rsidRDefault="003C3C25" w:rsidP="003C3C25">
      <w:pPr>
        <w:pStyle w:val="Default"/>
        <w:jc w:val="both"/>
        <w:rPr>
          <w:color w:val="auto"/>
          <w:sz w:val="23"/>
          <w:szCs w:val="23"/>
        </w:rPr>
      </w:pPr>
      <w:r>
        <w:rPr>
          <w:color w:val="auto"/>
          <w:sz w:val="23"/>
          <w:szCs w:val="23"/>
        </w:rPr>
        <w:t xml:space="preserve">En las conferencias se orientan los contenidos especialmente complejos, la bibliografía y las acciones básicas e </w:t>
      </w:r>
      <w:proofErr w:type="spellStart"/>
      <w:r>
        <w:rPr>
          <w:color w:val="auto"/>
          <w:sz w:val="23"/>
          <w:szCs w:val="23"/>
        </w:rPr>
        <w:t>iniciales</w:t>
      </w:r>
      <w:proofErr w:type="spellEnd"/>
      <w:r>
        <w:rPr>
          <w:color w:val="auto"/>
          <w:sz w:val="23"/>
          <w:szCs w:val="23"/>
        </w:rPr>
        <w:t xml:space="preserve"> para la formación de las habilidades; mientras que en las otras formas de enseñanza se despliegan las operaciones requeridas para el desarrollo de estas últimas. Las formas de docencia indicadas se organizarán tomando como punto de partida los contenidos teóricos plasmados en cada Tema y a partir de la flexibilidad que brinda el sistema de conocimiento, de acuerdo a las condiciones concretas en que se desarrolle el proceso docente. </w:t>
      </w:r>
    </w:p>
    <w:p w:rsidR="003C3C25" w:rsidRDefault="003C3C25" w:rsidP="003C3C25">
      <w:pPr>
        <w:pStyle w:val="Default"/>
        <w:jc w:val="both"/>
        <w:rPr>
          <w:color w:val="auto"/>
          <w:sz w:val="23"/>
          <w:szCs w:val="23"/>
        </w:rPr>
      </w:pPr>
    </w:p>
    <w:p w:rsidR="003C3C25" w:rsidRDefault="003C3C25" w:rsidP="003C3C25">
      <w:pPr>
        <w:pStyle w:val="Default"/>
        <w:jc w:val="both"/>
        <w:rPr>
          <w:color w:val="auto"/>
          <w:sz w:val="23"/>
          <w:szCs w:val="23"/>
        </w:rPr>
      </w:pPr>
      <w:r>
        <w:rPr>
          <w:color w:val="auto"/>
          <w:sz w:val="23"/>
          <w:szCs w:val="23"/>
        </w:rPr>
        <w:t xml:space="preserve">Las estrategias curriculares son aplicadas de la siguiente forma: </w:t>
      </w:r>
    </w:p>
    <w:p w:rsidR="003C3C25" w:rsidRDefault="003C3C25" w:rsidP="003C3C25">
      <w:pPr>
        <w:pStyle w:val="Default"/>
        <w:jc w:val="both"/>
        <w:rPr>
          <w:color w:val="auto"/>
          <w:sz w:val="23"/>
          <w:szCs w:val="23"/>
        </w:rPr>
      </w:pPr>
    </w:p>
    <w:p w:rsidR="003C3C25" w:rsidRDefault="003C3C25" w:rsidP="003C3C25">
      <w:pPr>
        <w:pStyle w:val="Default"/>
        <w:jc w:val="both"/>
        <w:rPr>
          <w:color w:val="auto"/>
          <w:sz w:val="23"/>
          <w:szCs w:val="23"/>
        </w:rPr>
      </w:pPr>
      <w:r>
        <w:rPr>
          <w:color w:val="auto"/>
          <w:sz w:val="23"/>
          <w:szCs w:val="23"/>
        </w:rPr>
        <w:t xml:space="preserve">Estrategia de Marxismo: En la asignatura se integran los fundamentos de la filosofía marxista con los contenidos esenciales, a partir del estudio de las categorías acción, jurisdicción y proceso, con las cuales se canalizan los problemas que se suscitan en el seno de la sociedad socialista, sin que tengan naturaleza antagónica. La asignatura se auxilia de los principios del materialismo histórico y utilizando el método científico que ofrece el materialismo dialéctico contribuye a formar una sólida y abarcadora visión de la teoría general del proceso civil en todos los temas al tratar el perfeccionamiento del proceso civil en Cuba, particularmente en la materia de familia y bajo los mantos probatorios y cautelares en el empeño por la búsqueda de la verdad. Se enfatiza en el proceso como el cauce jurídico a través del cual se verifican las relaciones económicas y los conflictos que de los mismos dimanan. </w:t>
      </w:r>
    </w:p>
    <w:p w:rsidR="003C3C25" w:rsidRDefault="003C3C25" w:rsidP="003C3C25">
      <w:pPr>
        <w:pStyle w:val="Default"/>
        <w:jc w:val="both"/>
        <w:rPr>
          <w:color w:val="auto"/>
          <w:sz w:val="23"/>
          <w:szCs w:val="23"/>
        </w:rPr>
      </w:pPr>
    </w:p>
    <w:p w:rsidR="003C3C25" w:rsidRDefault="003C3C25" w:rsidP="003C3C25">
      <w:pPr>
        <w:pStyle w:val="Default"/>
        <w:jc w:val="both"/>
        <w:rPr>
          <w:color w:val="auto"/>
          <w:sz w:val="23"/>
          <w:szCs w:val="23"/>
        </w:rPr>
      </w:pPr>
      <w:r>
        <w:rPr>
          <w:color w:val="auto"/>
          <w:sz w:val="23"/>
          <w:szCs w:val="23"/>
        </w:rPr>
        <w:t xml:space="preserve">Estrategia sobre la formación ética: A través de toda la asignatura se tributa a la formación de un jurista culto, competente y con un alto sentido de la ética, respetuoso de los principios y valores que rigen en la profesión y fiel exponente de la vocación por la justicia, lo cual se evidencia a partir de los valores declarados en cada uno de sus temas. Particular tributo rinden a esta estrategia los temas en los que se analizan las facultades del tribunal y el papel de la Fiscalía, fomentando el amor de los estudiantes por la profesión. Igualmente, en el tema dedicado a la prueba, se orienta el estudio del escrito de proposición de pruebas del proceso que se llevara a cabo en 1999, conocido como la Demanda del Pueblo de Cuba contra el gobierno de los Estados Unidos; en la clase mixta se divide el grupo en equipos y con ello se enfatiza en el sentido de responsabilidad, compañerismo y utilización de lenguaje técnico jurídico, todo lo cual cimienta la formación del jurista a que aspiramos. </w:t>
      </w:r>
    </w:p>
    <w:p w:rsidR="003C3C25" w:rsidRDefault="003C3C25" w:rsidP="003C3C25">
      <w:pPr>
        <w:pStyle w:val="Default"/>
        <w:jc w:val="both"/>
        <w:rPr>
          <w:color w:val="auto"/>
          <w:sz w:val="23"/>
          <w:szCs w:val="23"/>
        </w:rPr>
      </w:pPr>
    </w:p>
    <w:p w:rsidR="003C3C25" w:rsidRDefault="003C3C25" w:rsidP="003C3C25">
      <w:pPr>
        <w:pStyle w:val="Default"/>
        <w:jc w:val="both"/>
        <w:rPr>
          <w:color w:val="auto"/>
          <w:sz w:val="23"/>
          <w:szCs w:val="23"/>
        </w:rPr>
      </w:pPr>
      <w:r>
        <w:rPr>
          <w:color w:val="auto"/>
          <w:sz w:val="23"/>
          <w:szCs w:val="23"/>
        </w:rPr>
        <w:lastRenderedPageBreak/>
        <w:t xml:space="preserve">Estrategia de Computación: Ubicación de la Guía de estudio, de las Clases Mixtas y documentos como escritos de las partes y sentencias, en la intranet de la Facultad. Instrumentos que les resultan imprescindibles para el estudio de la asignatura. </w:t>
      </w:r>
    </w:p>
    <w:p w:rsidR="003C3C25" w:rsidRDefault="003C3C25" w:rsidP="003C3C25">
      <w:pPr>
        <w:pStyle w:val="Default"/>
        <w:jc w:val="both"/>
        <w:rPr>
          <w:color w:val="auto"/>
          <w:sz w:val="23"/>
          <w:szCs w:val="23"/>
        </w:rPr>
      </w:pPr>
    </w:p>
    <w:p w:rsidR="003C3C25" w:rsidRDefault="003C3C25" w:rsidP="003C3C25">
      <w:pPr>
        <w:pStyle w:val="Default"/>
        <w:jc w:val="both"/>
        <w:rPr>
          <w:color w:val="auto"/>
          <w:sz w:val="23"/>
          <w:szCs w:val="23"/>
        </w:rPr>
      </w:pPr>
      <w:r>
        <w:rPr>
          <w:color w:val="auto"/>
          <w:sz w:val="23"/>
          <w:szCs w:val="23"/>
        </w:rPr>
        <w:t xml:space="preserve">Estrategia de Idioma: Se orientarán lecturas complementarias que obliguen al alumno a consultar bibliografía en otros idiomas. El profesor en la clase mixta o en el seminario comprobará el aprendizaje del alumno a través de una pregunta escrita. Asimismo, se desarrollarán seminarios integradores sobre temas de actualidad jurídica que obligarán al alumno a consultar no solo bibliografía en otros idiomas, sino también las técnicas de información. En temáticas como las tutelas judiciales urgentes y la prueba se ubican artículos en portugués e inglés que responden a lo más avanzado del pensamiento teórico sobre estos contenidos. </w:t>
      </w:r>
    </w:p>
    <w:p w:rsidR="003C3C25" w:rsidRDefault="003C3C25" w:rsidP="003C3C25">
      <w:pPr>
        <w:pStyle w:val="Default"/>
        <w:jc w:val="both"/>
        <w:rPr>
          <w:color w:val="auto"/>
          <w:sz w:val="23"/>
          <w:szCs w:val="23"/>
        </w:rPr>
      </w:pPr>
    </w:p>
    <w:p w:rsidR="003C3C25" w:rsidRDefault="003C3C25" w:rsidP="003C3C25">
      <w:pPr>
        <w:pStyle w:val="Default"/>
        <w:jc w:val="both"/>
        <w:rPr>
          <w:color w:val="auto"/>
          <w:sz w:val="23"/>
          <w:szCs w:val="23"/>
        </w:rPr>
      </w:pPr>
      <w:r>
        <w:rPr>
          <w:color w:val="auto"/>
          <w:sz w:val="23"/>
          <w:szCs w:val="23"/>
        </w:rPr>
        <w:t xml:space="preserve">Estrategia de Preparación para </w:t>
      </w:r>
      <w:proofErr w:type="spellStart"/>
      <w:r>
        <w:rPr>
          <w:color w:val="auto"/>
          <w:sz w:val="23"/>
          <w:szCs w:val="23"/>
        </w:rPr>
        <w:t>ladefensa</w:t>
      </w:r>
      <w:proofErr w:type="spellEnd"/>
      <w:r>
        <w:rPr>
          <w:color w:val="auto"/>
          <w:sz w:val="23"/>
          <w:szCs w:val="23"/>
        </w:rPr>
        <w:t xml:space="preserve">: Como materia abona a la Estrategia de Preparación para la defensa, esencialmente en los temas dedicados al estudio del Proceso Ordinario, en que se usa como modelo de referencia la Demanda del Pueblo de Cuba al Gobierno de los Estados Unidos, lo que permite analizar las categorías conceptuales de jurisdicción, proceso, competencia, acción, entre otras. </w:t>
      </w:r>
    </w:p>
    <w:p w:rsidR="003C3C25" w:rsidRDefault="003C3C25" w:rsidP="003C3C25">
      <w:pPr>
        <w:pStyle w:val="Default"/>
        <w:jc w:val="both"/>
        <w:rPr>
          <w:color w:val="auto"/>
          <w:sz w:val="23"/>
          <w:szCs w:val="23"/>
        </w:rPr>
      </w:pPr>
    </w:p>
    <w:p w:rsidR="003C3C25" w:rsidRDefault="003C3C25" w:rsidP="003C3C25">
      <w:pPr>
        <w:pStyle w:val="Default"/>
        <w:jc w:val="both"/>
        <w:rPr>
          <w:color w:val="auto"/>
          <w:sz w:val="23"/>
          <w:szCs w:val="23"/>
        </w:rPr>
      </w:pPr>
      <w:r>
        <w:rPr>
          <w:color w:val="auto"/>
          <w:sz w:val="23"/>
          <w:szCs w:val="23"/>
        </w:rPr>
        <w:t xml:space="preserve">A esta estrategia se contribuye también cuando se estudian los medios de impugnación y su contribución a la seguridad jurídica. </w:t>
      </w:r>
    </w:p>
    <w:p w:rsidR="003C3C25" w:rsidRDefault="003C3C25" w:rsidP="003C3C25">
      <w:pPr>
        <w:pStyle w:val="Default"/>
        <w:jc w:val="both"/>
        <w:rPr>
          <w:color w:val="auto"/>
          <w:sz w:val="23"/>
          <w:szCs w:val="23"/>
        </w:rPr>
      </w:pPr>
    </w:p>
    <w:p w:rsidR="003C3C25" w:rsidRDefault="003C3C25" w:rsidP="003C3C25">
      <w:pPr>
        <w:pStyle w:val="Default"/>
        <w:jc w:val="both"/>
        <w:rPr>
          <w:color w:val="auto"/>
          <w:sz w:val="23"/>
          <w:szCs w:val="23"/>
        </w:rPr>
      </w:pPr>
      <w:r>
        <w:rPr>
          <w:color w:val="auto"/>
          <w:sz w:val="23"/>
          <w:szCs w:val="23"/>
        </w:rPr>
        <w:t xml:space="preserve">Estrategia de prevención y económica: Se contribuye a </w:t>
      </w:r>
      <w:proofErr w:type="spellStart"/>
      <w:r>
        <w:rPr>
          <w:color w:val="auto"/>
          <w:sz w:val="23"/>
          <w:szCs w:val="23"/>
        </w:rPr>
        <w:t>ellaa</w:t>
      </w:r>
      <w:proofErr w:type="spellEnd"/>
      <w:r>
        <w:rPr>
          <w:color w:val="auto"/>
          <w:sz w:val="23"/>
          <w:szCs w:val="23"/>
        </w:rPr>
        <w:t xml:space="preserve"> partir del estudio de los modos procesales que permiten encauzar pretensiones encaminadas a preservar el medio ambiente o a exigir responsabilidades ante los hechos que provocan daños a la economía, lo que se implementa a través de casos prácticos a discutir en clases mixtas referidas al proceso ordinario y a la prueba, a partir de la importancia que se les concede a los informes emitidos por autoridades u órganos de dirección. </w:t>
      </w:r>
    </w:p>
    <w:p w:rsidR="003C3C25" w:rsidRDefault="003C3C25" w:rsidP="003C3C25">
      <w:pPr>
        <w:pStyle w:val="Default"/>
        <w:jc w:val="both"/>
        <w:rPr>
          <w:color w:val="auto"/>
          <w:sz w:val="23"/>
          <w:szCs w:val="23"/>
        </w:rPr>
      </w:pPr>
    </w:p>
    <w:p w:rsidR="003C3C25" w:rsidRDefault="003C3C25" w:rsidP="003C3C25">
      <w:pPr>
        <w:pStyle w:val="Default"/>
        <w:jc w:val="both"/>
        <w:rPr>
          <w:color w:val="auto"/>
          <w:sz w:val="23"/>
          <w:szCs w:val="23"/>
        </w:rPr>
      </w:pPr>
      <w:r>
        <w:rPr>
          <w:color w:val="auto"/>
          <w:sz w:val="23"/>
          <w:szCs w:val="23"/>
        </w:rPr>
        <w:t xml:space="preserve">Estrategia para la transversalización de género: En aquellos temas en los que se analiza la conformación de los tribunales, la función juzgadora y los escritos, tanto del tribunal como de las partes, se hace énfasis en que nuestra judicatura está conformada fundamentalmente por mujeres y cómo ello puede influir en el principio de imparcialidad, como principio de funcionamiento de los tribunales. Al analizar los escritos y sentencias se aprecia el enfoque discriminatorio del lenguaje utilizado, en el sentido de que se utilizan genéricos como “los jueces” y “los abogados”, entre otros. </w:t>
      </w:r>
    </w:p>
    <w:p w:rsidR="003C3C25" w:rsidRDefault="003C3C25" w:rsidP="003C3C25">
      <w:pPr>
        <w:pStyle w:val="Default"/>
        <w:jc w:val="both"/>
        <w:rPr>
          <w:color w:val="auto"/>
          <w:sz w:val="23"/>
          <w:szCs w:val="23"/>
        </w:rPr>
      </w:pPr>
    </w:p>
    <w:p w:rsidR="003C3C25" w:rsidRDefault="003C3C25" w:rsidP="003C3C25">
      <w:pPr>
        <w:pStyle w:val="Default"/>
        <w:jc w:val="both"/>
        <w:rPr>
          <w:color w:val="auto"/>
          <w:sz w:val="23"/>
          <w:szCs w:val="23"/>
        </w:rPr>
      </w:pPr>
      <w:r>
        <w:rPr>
          <w:color w:val="auto"/>
          <w:sz w:val="23"/>
          <w:szCs w:val="23"/>
        </w:rPr>
        <w:t xml:space="preserve">Estrategia sobre la formación pedagógica del estudiante: En el sistema de clases se fomenta la relación con los alumnos y desde una enseñanza desarrolladora se les coloca en el papel del profesor al realizar exposiciones de los temas en los que se comprueba su expresión oral –como eje esencial del jurista y del pedagogo-, así como se sujeta su evaluación al grupo, lo que contribuye a la preparación didáctica y pedagógica de los estudiantes. En el tema I se les enseña a trabajar con palabras claves, lo que permite sintetizar el conocimiento y les prepara para el resto del semestre. También en determinados temas se comprueban herramientas propias del proceso de enseñanza aprendizaje como la utilización de la Zona de Desarrollo Próximo, la autoevaluación y las conclusiones a cargo de estudiantes, con énfasis en el lenguaje utilizado y el sentido de responsabilidad. </w:t>
      </w:r>
    </w:p>
    <w:p w:rsidR="003C3C25" w:rsidRDefault="003C3C25" w:rsidP="003C3C25">
      <w:pPr>
        <w:pStyle w:val="Default"/>
        <w:jc w:val="both"/>
        <w:rPr>
          <w:b/>
          <w:bCs/>
          <w:color w:val="auto"/>
          <w:sz w:val="23"/>
          <w:szCs w:val="23"/>
        </w:rPr>
      </w:pPr>
    </w:p>
    <w:p w:rsidR="003C3C25" w:rsidRDefault="003C3C25" w:rsidP="003C3C25">
      <w:pPr>
        <w:pStyle w:val="Default"/>
        <w:jc w:val="both"/>
        <w:rPr>
          <w:color w:val="auto"/>
          <w:sz w:val="19"/>
          <w:szCs w:val="19"/>
        </w:rPr>
      </w:pPr>
      <w:r>
        <w:rPr>
          <w:b/>
          <w:bCs/>
          <w:color w:val="auto"/>
          <w:sz w:val="23"/>
          <w:szCs w:val="23"/>
        </w:rPr>
        <w:lastRenderedPageBreak/>
        <w:t>S</w:t>
      </w:r>
      <w:r>
        <w:rPr>
          <w:b/>
          <w:bCs/>
          <w:color w:val="auto"/>
          <w:sz w:val="19"/>
          <w:szCs w:val="19"/>
        </w:rPr>
        <w:t xml:space="preserve">ISTEMA DE EVALUACIÓN </w:t>
      </w:r>
    </w:p>
    <w:p w:rsidR="003C3C25" w:rsidRDefault="003C3C25" w:rsidP="003C3C25">
      <w:pPr>
        <w:pStyle w:val="Default"/>
        <w:jc w:val="both"/>
        <w:rPr>
          <w:color w:val="auto"/>
          <w:sz w:val="23"/>
          <w:szCs w:val="23"/>
        </w:rPr>
      </w:pPr>
      <w:r>
        <w:rPr>
          <w:color w:val="auto"/>
          <w:sz w:val="23"/>
          <w:szCs w:val="23"/>
        </w:rPr>
        <w:t xml:space="preserve">La asignatura tiene previsto examen final. El criterio evaluativo final debe lograrse a partir del desempeño periódico del estudiante en la formación de las habilidades que integran los modos de actuación básicos a los que se destinan los contenidos de la asignatura y el resultado del examen que se realiza al concluir el semestre. </w:t>
      </w:r>
    </w:p>
    <w:p w:rsidR="003C3C25" w:rsidRDefault="003C3C25" w:rsidP="003C3C25">
      <w:pPr>
        <w:pStyle w:val="Default"/>
        <w:jc w:val="both"/>
        <w:rPr>
          <w:b/>
          <w:bCs/>
          <w:color w:val="auto"/>
          <w:sz w:val="23"/>
          <w:szCs w:val="23"/>
        </w:rPr>
      </w:pPr>
    </w:p>
    <w:p w:rsidR="003C3C25" w:rsidRDefault="003C3C25" w:rsidP="003C3C25">
      <w:pPr>
        <w:pStyle w:val="Default"/>
        <w:jc w:val="both"/>
        <w:rPr>
          <w:color w:val="auto"/>
          <w:sz w:val="23"/>
          <w:szCs w:val="23"/>
        </w:rPr>
      </w:pPr>
      <w:r>
        <w:rPr>
          <w:b/>
          <w:bCs/>
          <w:color w:val="auto"/>
          <w:sz w:val="23"/>
          <w:szCs w:val="23"/>
        </w:rPr>
        <w:t xml:space="preserve">BIBLIOGRAFÍA </w:t>
      </w:r>
    </w:p>
    <w:p w:rsidR="003C3C25" w:rsidRDefault="003C3C25" w:rsidP="003C3C25">
      <w:pPr>
        <w:pStyle w:val="Default"/>
        <w:jc w:val="both"/>
        <w:rPr>
          <w:color w:val="auto"/>
          <w:sz w:val="23"/>
          <w:szCs w:val="23"/>
        </w:rPr>
      </w:pPr>
      <w:r>
        <w:rPr>
          <w:color w:val="auto"/>
          <w:sz w:val="23"/>
          <w:szCs w:val="23"/>
        </w:rPr>
        <w:t>- P</w:t>
      </w:r>
      <w:r>
        <w:rPr>
          <w:color w:val="auto"/>
          <w:sz w:val="19"/>
          <w:szCs w:val="19"/>
        </w:rPr>
        <w:t xml:space="preserve">ÉREZ </w:t>
      </w:r>
      <w:r>
        <w:rPr>
          <w:color w:val="auto"/>
          <w:sz w:val="23"/>
          <w:szCs w:val="23"/>
        </w:rPr>
        <w:t>G</w:t>
      </w:r>
      <w:r>
        <w:rPr>
          <w:color w:val="auto"/>
          <w:sz w:val="19"/>
          <w:szCs w:val="19"/>
        </w:rPr>
        <w:t>UTIÉRREZ</w:t>
      </w:r>
      <w:r>
        <w:rPr>
          <w:color w:val="auto"/>
          <w:sz w:val="23"/>
          <w:szCs w:val="23"/>
        </w:rPr>
        <w:t xml:space="preserve">, Ivonne (Coord.), Derecho Procesal Civil, Editorial Félix Varela, 2016. </w:t>
      </w:r>
    </w:p>
    <w:p w:rsidR="003C3C25" w:rsidRDefault="003C3C25" w:rsidP="003C3C25">
      <w:pPr>
        <w:pStyle w:val="Default"/>
        <w:jc w:val="both"/>
        <w:rPr>
          <w:color w:val="auto"/>
          <w:sz w:val="23"/>
          <w:szCs w:val="23"/>
        </w:rPr>
      </w:pPr>
    </w:p>
    <w:p w:rsidR="003C3C25" w:rsidRDefault="003C3C25" w:rsidP="003C3C25">
      <w:pPr>
        <w:pStyle w:val="Default"/>
        <w:pageBreakBefore/>
        <w:jc w:val="both"/>
        <w:rPr>
          <w:color w:val="auto"/>
          <w:sz w:val="23"/>
          <w:szCs w:val="23"/>
        </w:rPr>
      </w:pPr>
    </w:p>
    <w:sectPr w:rsidR="003C3C25" w:rsidSect="00EA3B0B">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spelling="clean" w:grammar="clean"/>
  <w:defaultTabStop w:val="708"/>
  <w:hyphenationZone w:val="425"/>
  <w:characterSpacingControl w:val="doNotCompress"/>
  <w:compat/>
  <w:rsids>
    <w:rsidRoot w:val="003C3C25"/>
    <w:rsid w:val="00156D7E"/>
    <w:rsid w:val="003C3C25"/>
    <w:rsid w:val="00870B6B"/>
    <w:rsid w:val="00986241"/>
    <w:rsid w:val="00A25593"/>
    <w:rsid w:val="00C16F7F"/>
    <w:rsid w:val="00C20923"/>
    <w:rsid w:val="00EA3B0B"/>
    <w:rsid w:val="00F73D46"/>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0B6B"/>
  </w:style>
  <w:style w:type="paragraph" w:styleId="Ttulo1">
    <w:name w:val="heading 1"/>
    <w:basedOn w:val="Normal"/>
    <w:next w:val="Normal"/>
    <w:link w:val="Ttulo1Car"/>
    <w:uiPriority w:val="9"/>
    <w:qFormat/>
    <w:rsid w:val="00870B6B"/>
    <w:pPr>
      <w:keepNext/>
      <w:keepLines/>
      <w:spacing w:before="240" w:after="0"/>
      <w:outlineLvl w:val="0"/>
    </w:pPr>
    <w:rPr>
      <w:rFonts w:asciiTheme="majorHAnsi" w:eastAsiaTheme="majorEastAsia" w:hAnsiTheme="majorHAnsi" w:cstheme="majorBidi"/>
      <w:color w:val="365F91" w:themeColor="accent1" w:themeShade="BF"/>
      <w:sz w:val="32"/>
      <w:szCs w:val="32"/>
      <w:lang w:val="en-US"/>
    </w:rPr>
  </w:style>
  <w:style w:type="paragraph" w:styleId="Ttulo2">
    <w:name w:val="heading 2"/>
    <w:basedOn w:val="Normal"/>
    <w:next w:val="Normal"/>
    <w:link w:val="Ttulo2Car"/>
    <w:uiPriority w:val="9"/>
    <w:unhideWhenUsed/>
    <w:qFormat/>
    <w:rsid w:val="00870B6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semiHidden/>
    <w:unhideWhenUsed/>
    <w:qFormat/>
    <w:rsid w:val="00870B6B"/>
    <w:pPr>
      <w:keepNext/>
      <w:keepLines/>
      <w:spacing w:before="40" w:after="0" w:line="259" w:lineRule="auto"/>
      <w:outlineLvl w:val="2"/>
    </w:pPr>
    <w:rPr>
      <w:rFonts w:asciiTheme="majorHAnsi" w:eastAsiaTheme="majorEastAsia" w:hAnsiTheme="majorHAnsi" w:cstheme="majorBidi"/>
      <w:color w:val="243F60"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70B6B"/>
    <w:rPr>
      <w:rFonts w:asciiTheme="majorHAnsi" w:eastAsiaTheme="majorEastAsia" w:hAnsiTheme="majorHAnsi" w:cstheme="majorBidi"/>
      <w:color w:val="365F91" w:themeColor="accent1" w:themeShade="BF"/>
      <w:sz w:val="32"/>
      <w:szCs w:val="32"/>
      <w:lang w:val="en-US" w:eastAsia="en-US"/>
    </w:rPr>
  </w:style>
  <w:style w:type="character" w:customStyle="1" w:styleId="Ttulo2Car">
    <w:name w:val="Título 2 Car"/>
    <w:basedOn w:val="Fuentedeprrafopredeter"/>
    <w:link w:val="Ttulo2"/>
    <w:uiPriority w:val="9"/>
    <w:rsid w:val="00870B6B"/>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semiHidden/>
    <w:rsid w:val="00870B6B"/>
    <w:rPr>
      <w:rFonts w:asciiTheme="majorHAnsi" w:eastAsiaTheme="majorEastAsia" w:hAnsiTheme="majorHAnsi" w:cstheme="majorBidi"/>
      <w:color w:val="243F60" w:themeColor="accent1" w:themeShade="7F"/>
      <w:sz w:val="24"/>
      <w:szCs w:val="24"/>
      <w:lang w:eastAsia="en-US"/>
    </w:rPr>
  </w:style>
  <w:style w:type="character" w:styleId="Textoennegrita">
    <w:name w:val="Strong"/>
    <w:uiPriority w:val="22"/>
    <w:qFormat/>
    <w:rsid w:val="00870B6B"/>
    <w:rPr>
      <w:b/>
      <w:bCs/>
    </w:rPr>
  </w:style>
  <w:style w:type="character" w:styleId="nfasis">
    <w:name w:val="Emphasis"/>
    <w:basedOn w:val="Fuentedeprrafopredeter"/>
    <w:uiPriority w:val="20"/>
    <w:qFormat/>
    <w:rsid w:val="00870B6B"/>
    <w:rPr>
      <w:i/>
      <w:iCs/>
    </w:rPr>
  </w:style>
  <w:style w:type="paragraph" w:styleId="Sinespaciado">
    <w:name w:val="No Spacing"/>
    <w:uiPriority w:val="1"/>
    <w:qFormat/>
    <w:rsid w:val="00870B6B"/>
    <w:pPr>
      <w:spacing w:after="0" w:line="240" w:lineRule="auto"/>
    </w:pPr>
  </w:style>
  <w:style w:type="paragraph" w:styleId="Prrafodelista">
    <w:name w:val="List Paragraph"/>
    <w:aliases w:val="Dot pt,F5 List Paragraph,List Paragraph Char Char Char,Indicator Text,Numbered Para 1,Bullet 1,Bullet Points,List Paragraph2,MAIN CONTENT,Normal numbered,List Paragraph1,Issue Action POC,3,POCG Table Text,Colorful List - Accent 11"/>
    <w:basedOn w:val="Normal"/>
    <w:link w:val="PrrafodelistaCar"/>
    <w:uiPriority w:val="34"/>
    <w:qFormat/>
    <w:rsid w:val="00870B6B"/>
    <w:pPr>
      <w:ind w:left="720"/>
      <w:contextualSpacing/>
    </w:pPr>
    <w:rPr>
      <w:lang w:val="en-US"/>
    </w:rPr>
  </w:style>
  <w:style w:type="character" w:customStyle="1" w:styleId="PrrafodelistaCar">
    <w:name w:val="Párrafo de lista Car"/>
    <w:aliases w:val="Dot pt Car,F5 List Paragraph Car,List Paragraph Char Char Char Car,Indicator Text Car,Numbered Para 1 Car,Bullet 1 Car,Bullet Points Car,List Paragraph2 Car,MAIN CONTENT Car,Normal numbered Car,List Paragraph1 Car,3 Car"/>
    <w:basedOn w:val="Fuentedeprrafopredeter"/>
    <w:link w:val="Prrafodelista"/>
    <w:uiPriority w:val="34"/>
    <w:qFormat/>
    <w:rsid w:val="00870B6B"/>
    <w:rPr>
      <w:rFonts w:eastAsiaTheme="minorHAnsi"/>
      <w:lang w:val="en-US" w:eastAsia="en-US"/>
    </w:rPr>
  </w:style>
  <w:style w:type="paragraph" w:customStyle="1" w:styleId="Default">
    <w:name w:val="Default"/>
    <w:rsid w:val="003C3C25"/>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1720</Words>
  <Characters>9464</Characters>
  <Application>Microsoft Office Word</Application>
  <DocSecurity>0</DocSecurity>
  <Lines>78</Lines>
  <Paragraphs>22</Paragraphs>
  <ScaleCrop>false</ScaleCrop>
  <Company/>
  <LinksUpToDate>false</LinksUpToDate>
  <CharactersWithSpaces>11162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Miladys</dc:creator>
  <cp:lastModifiedBy>Miladys</cp:lastModifiedBy>
  <cp:revision>3</cp:revision>
  <dcterms:created xsi:type="dcterms:W3CDTF">2025-04-19T21:59:00Z</dcterms:created>
  <dcterms:modified xsi:type="dcterms:W3CDTF">2025-04-19T22:01:00Z</dcterms:modified>
</cp:coreProperties>
</file>