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both"/>
        <w:rPr>
          <w:rFonts w:ascii="Arial" w:cs="Arial" w:hAnsi="Arial"/>
          <w:b w:val="false"/>
          <w:bCs w:val="false"/>
          <w:color w:val="ff0000"/>
          <w:sz w:val="144"/>
          <w:szCs w:val="144"/>
          <w:highlight w:val="none"/>
        </w:rPr>
      </w:pPr>
      <w:bookmarkStart w:id="0" w:name="_GoBack"/>
      <w:bookmarkEnd w:id="0"/>
      <w:r>
        <w:rPr>
          <w:rFonts w:ascii="Arial" w:cs="Arial" w:hAnsi="Arial"/>
          <w:b w:val="false"/>
          <w:bCs w:val="false"/>
          <w:color w:val="ff0000"/>
          <w:sz w:val="144"/>
          <w:szCs w:val="144"/>
          <w:highlight w:val="none"/>
        </w:rPr>
        <w:t>T</w:t>
      </w:r>
      <w:r>
        <w:rPr>
          <w:rFonts w:ascii="Arial" w:cs="Arial" w:hAnsi="Arial"/>
          <w:b w:val="false"/>
          <w:bCs w:val="false"/>
          <w:color w:val="ff0000"/>
          <w:sz w:val="144"/>
          <w:szCs w:val="144"/>
          <w:highlight w:val="none"/>
        </w:rPr>
        <w:t>area Extrac</w:t>
      </w:r>
      <w:r>
        <w:rPr>
          <w:rFonts w:ascii="Arial" w:cs="Arial" w:hAnsi="Arial"/>
          <w:b w:val="false"/>
          <w:bCs w:val="false"/>
          <w:color w:val="ff0000"/>
          <w:sz w:val="144"/>
          <w:szCs w:val="144"/>
          <w:highlight w:val="none"/>
        </w:rPr>
        <w:t>lase de Derecho Procesal Ci</w:t>
      </w:r>
      <w:r>
        <w:rPr>
          <w:rFonts w:ascii="Arial" w:cs="Arial" w:hAnsi="Arial"/>
          <w:b w:val="false"/>
          <w:bCs w:val="false"/>
          <w:color w:val="ff0000"/>
          <w:sz w:val="144"/>
          <w:szCs w:val="144"/>
          <w:highlight w:val="none"/>
        </w:rPr>
        <w:t>vil</w:t>
      </w:r>
    </w:p>
    <w:p>
      <w:pPr>
        <w:pStyle w:val="style0"/>
        <w:jc w:val="both"/>
        <w:rPr>
          <w:rFonts w:ascii="Arial" w:cs="Arial" w:hAnsi="Arial"/>
          <w:b/>
          <w:bCs/>
          <w:sz w:val="32"/>
          <w:szCs w:val="32"/>
          <w:highlight w:val="none"/>
        </w:rPr>
      </w:pPr>
      <w:r>
        <w:rPr>
          <w:rFonts w:ascii="Arial" w:cs="Arial" w:hAnsi="Arial"/>
          <w:b/>
          <w:bCs/>
          <w:sz w:val="32"/>
          <w:szCs w:val="32"/>
          <w:highlight w:val="none"/>
        </w:rPr>
        <w:t xml:space="preserve">Integrantes </w:t>
      </w:r>
    </w:p>
    <w:p>
      <w:pPr>
        <w:pStyle w:val="style0"/>
        <w:jc w:val="both"/>
        <w:rPr>
          <w:rFonts w:ascii="Arial" w:cs="Arial" w:hAnsi="Arial"/>
          <w:b w:val="false"/>
          <w:bCs w:val="false"/>
          <w:sz w:val="32"/>
          <w:szCs w:val="32"/>
          <w:highlight w:val="none"/>
        </w:rPr>
      </w:pPr>
      <w:r>
        <w:rPr>
          <w:rFonts w:ascii="Arial" w:cs="Arial" w:hAnsi="Arial"/>
          <w:b w:val="false"/>
          <w:bCs w:val="false"/>
          <w:sz w:val="32"/>
          <w:szCs w:val="32"/>
          <w:highlight w:val="none"/>
        </w:rPr>
        <w:t xml:space="preserve">Roxana </w:t>
      </w:r>
      <w:r>
        <w:rPr>
          <w:rFonts w:ascii="Arial" w:cs="Arial" w:hAnsi="Arial"/>
          <w:b w:val="false"/>
          <w:bCs w:val="false"/>
          <w:sz w:val="32"/>
          <w:szCs w:val="32"/>
          <w:highlight w:val="none"/>
        </w:rPr>
        <w:t>Martinez Perez</w:t>
      </w:r>
    </w:p>
    <w:p>
      <w:pPr>
        <w:pStyle w:val="style0"/>
        <w:jc w:val="both"/>
        <w:rPr>
          <w:rFonts w:ascii="Arial" w:cs="Arial" w:hAnsi="Arial"/>
          <w:b w:val="false"/>
          <w:bCs w:val="false"/>
          <w:sz w:val="32"/>
          <w:szCs w:val="32"/>
          <w:highlight w:val="none"/>
        </w:rPr>
      </w:pPr>
      <w:r>
        <w:rPr>
          <w:rFonts w:ascii="Arial" w:cs="Arial" w:hAnsi="Arial"/>
          <w:b w:val="false"/>
          <w:bCs w:val="false"/>
          <w:sz w:val="32"/>
          <w:szCs w:val="32"/>
          <w:highlight w:val="none"/>
        </w:rPr>
        <w:t>Ga</w:t>
      </w:r>
      <w:r>
        <w:rPr>
          <w:rFonts w:ascii="Arial" w:cs="Arial" w:hAnsi="Arial"/>
          <w:b w:val="false"/>
          <w:bCs w:val="false"/>
          <w:sz w:val="32"/>
          <w:szCs w:val="32"/>
          <w:highlight w:val="none"/>
        </w:rPr>
        <w:t xml:space="preserve">briela Quintana Martinez </w:t>
      </w:r>
    </w:p>
    <w:p>
      <w:pPr>
        <w:pStyle w:val="style0"/>
        <w:jc w:val="both"/>
        <w:rPr>
          <w:rFonts w:ascii="Arial" w:cs="Arial" w:hAnsi="Arial"/>
          <w:b w:val="false"/>
          <w:bCs w:val="false"/>
          <w:sz w:val="32"/>
          <w:szCs w:val="32"/>
          <w:highlight w:val="none"/>
        </w:rPr>
      </w:pPr>
      <w:r>
        <w:rPr>
          <w:rFonts w:ascii="Arial" w:cs="Arial" w:hAnsi="Arial"/>
          <w:b w:val="false"/>
          <w:bCs w:val="false"/>
          <w:sz w:val="32"/>
          <w:szCs w:val="32"/>
          <w:highlight w:val="none"/>
        </w:rPr>
        <w:t>Adriana Marilin Camejo Re</w:t>
      </w:r>
      <w:r>
        <w:rPr>
          <w:rFonts w:ascii="Arial" w:cs="Arial" w:hAnsi="Arial"/>
          <w:b w:val="false"/>
          <w:bCs w:val="false"/>
          <w:sz w:val="32"/>
          <w:szCs w:val="32"/>
          <w:highlight w:val="none"/>
        </w:rPr>
        <w:t xml:space="preserve">yes </w:t>
      </w:r>
    </w:p>
    <w:p>
      <w:pPr>
        <w:pStyle w:val="style0"/>
        <w:jc w:val="both"/>
        <w:rPr>
          <w:rFonts w:ascii="Arial" w:cs="Arial" w:hAnsi="Arial"/>
          <w:b w:val="false"/>
          <w:bCs w:val="false"/>
          <w:sz w:val="32"/>
          <w:szCs w:val="32"/>
          <w:highlight w:val="none"/>
        </w:rPr>
      </w:pPr>
      <w:r>
        <w:rPr>
          <w:rFonts w:ascii="Arial" w:cs="Arial" w:hAnsi="Arial"/>
          <w:b w:val="false"/>
          <w:bCs w:val="false"/>
          <w:sz w:val="32"/>
          <w:szCs w:val="32"/>
          <w:highlight w:val="none"/>
        </w:rPr>
        <w:t xml:space="preserve">Linet </w:t>
      </w:r>
      <w:r>
        <w:rPr>
          <w:rFonts w:ascii="Arial" w:cs="Arial" w:hAnsi="Arial"/>
          <w:b w:val="false"/>
          <w:bCs w:val="false"/>
          <w:sz w:val="32"/>
          <w:szCs w:val="32"/>
          <w:highlight w:val="none"/>
        </w:rPr>
        <w:t xml:space="preserve">Rivera González </w:t>
      </w:r>
    </w:p>
    <w:p>
      <w:pPr>
        <w:pStyle w:val="style0"/>
        <w:jc w:val="both"/>
        <w:rPr>
          <w:rFonts w:ascii="Arial" w:cs="Arial" w:hAnsi="Arial"/>
          <w:b w:val="false"/>
          <w:bCs w:val="false"/>
          <w:sz w:val="32"/>
          <w:szCs w:val="32"/>
          <w:highlight w:val="none"/>
        </w:rPr>
      </w:pPr>
      <w:r>
        <w:rPr>
          <w:rFonts w:cs="Arial" w:hAnsi="Arial"/>
          <w:b w:val="false"/>
          <w:bCs w:val="false"/>
          <w:sz w:val="32"/>
          <w:szCs w:val="32"/>
          <w:highlight w:val="none"/>
          <w:lang w:val="en-US"/>
        </w:rPr>
        <w:t xml:space="preserve">Marisleidy Roque Becerra </w:t>
      </w:r>
    </w:p>
    <w:p>
      <w:pPr>
        <w:pStyle w:val="style0"/>
        <w:jc w:val="both"/>
        <w:rPr>
          <w:rFonts w:ascii="Arial" w:cs="Arial" w:hAnsi="Arial"/>
          <w:b w:val="false"/>
          <w:bCs w:val="false"/>
          <w:sz w:val="32"/>
          <w:szCs w:val="32"/>
          <w:highlight w:val="none"/>
        </w:rPr>
      </w:pPr>
    </w:p>
    <w:p>
      <w:pPr>
        <w:pStyle w:val="style0"/>
        <w:jc w:val="both"/>
        <w:rPr>
          <w:rFonts w:ascii="Arial" w:cs="Arial" w:hAnsi="Arial"/>
          <w:b w:val="false"/>
          <w:bCs w:val="false"/>
          <w:sz w:val="24"/>
          <w:szCs w:val="24"/>
          <w:highlight w:val="none"/>
        </w:rPr>
      </w:pPr>
    </w:p>
    <w:p>
      <w:pPr>
        <w:pStyle w:val="style0"/>
        <w:jc w:val="both"/>
        <w:rPr>
          <w:rFonts w:ascii="Arial" w:cs="Arial" w:hAnsi="Arial"/>
          <w:b w:val="false"/>
          <w:bCs w:val="false"/>
          <w:sz w:val="24"/>
          <w:szCs w:val="24"/>
          <w:highlight w:val="none"/>
        </w:rPr>
      </w:pPr>
    </w:p>
    <w:p>
      <w:pPr>
        <w:pStyle w:val="style0"/>
        <w:jc w:val="both"/>
        <w:rPr>
          <w:rFonts w:ascii="Arial" w:cs="Arial" w:hAnsi="Arial"/>
          <w:b w:val="false"/>
          <w:bCs w:val="false"/>
          <w:sz w:val="24"/>
          <w:szCs w:val="24"/>
          <w:highlight w:val="none"/>
        </w:rPr>
      </w:pPr>
    </w:p>
    <w:p>
      <w:pPr>
        <w:pStyle w:val="style0"/>
        <w:jc w:val="both"/>
        <w:rPr>
          <w:rFonts w:ascii="Arial" w:cs="Arial" w:hAnsi="Arial"/>
          <w:b w:val="false"/>
          <w:bCs w:val="false"/>
          <w:sz w:val="24"/>
          <w:szCs w:val="24"/>
          <w:highlight w:val="none"/>
        </w:rPr>
      </w:pPr>
      <w:r>
        <w:rPr>
          <w:rFonts w:ascii="Arial" w:cs="Arial" w:hAnsi="Arial"/>
          <w:b w:val="false"/>
          <w:bCs w:val="false"/>
          <w:sz w:val="24"/>
          <w:szCs w:val="24"/>
          <w:highlight w:val="none"/>
        </w:rPr>
        <w:t>La funcion judicial en Cuba es el sistema encargado de administrar justicia y aplicar las leyes del pa</w:t>
      </w:r>
      <w:r>
        <w:rPr>
          <w:rFonts w:ascii="Arial" w:cs="Arial" w:hAnsi="Arial"/>
          <w:b w:val="false"/>
          <w:bCs w:val="false"/>
          <w:sz w:val="24"/>
          <w:szCs w:val="24"/>
          <w:highlight w:val="none"/>
          <w:lang w:val="es-US"/>
        </w:rPr>
        <w:t>í</w:t>
      </w:r>
      <w:r>
        <w:rPr>
          <w:rFonts w:ascii="Arial" w:cs="Arial" w:hAnsi="Arial"/>
          <w:b w:val="false"/>
          <w:bCs w:val="false"/>
          <w:sz w:val="24"/>
          <w:szCs w:val="24"/>
          <w:highlight w:val="none"/>
        </w:rPr>
        <w:t xml:space="preserve">s .La </w:t>
      </w:r>
      <w:r>
        <w:rPr>
          <w:rFonts w:ascii="Arial" w:cs="Arial" w:hAnsi="Arial"/>
          <w:b w:val="false"/>
          <w:bCs w:val="false"/>
          <w:sz w:val="24"/>
          <w:szCs w:val="24"/>
          <w:highlight w:val="none"/>
          <w:lang w:val="en-US"/>
        </w:rPr>
        <w:t>C</w:t>
      </w:r>
      <w:r>
        <w:rPr>
          <w:rFonts w:ascii="Arial" w:cs="Arial" w:hAnsi="Arial"/>
          <w:b w:val="false"/>
          <w:bCs w:val="false"/>
          <w:sz w:val="24"/>
          <w:szCs w:val="24"/>
          <w:highlight w:val="none"/>
        </w:rPr>
        <w:t>onstitución de la República de Cuba establece que el sistema judicial es independente y tiene la responsabilidad de garantizar la protección de los derechos y libertades de los ciudadanos así como de resolver los conflictos legales y mantener el orden jur</w:t>
      </w:r>
      <w:r>
        <w:rPr>
          <w:rFonts w:ascii="Arial" w:cs="Arial" w:hAnsi="Arial"/>
          <w:b w:val="false"/>
          <w:bCs w:val="false"/>
          <w:sz w:val="24"/>
          <w:szCs w:val="24"/>
          <w:highlight w:val="none"/>
          <w:lang w:val="es-US"/>
        </w:rPr>
        <w:t>í</w:t>
      </w:r>
      <w:r>
        <w:rPr>
          <w:rFonts w:ascii="Arial" w:cs="Arial" w:hAnsi="Arial"/>
          <w:b w:val="false"/>
          <w:bCs w:val="false"/>
          <w:sz w:val="24"/>
          <w:szCs w:val="24"/>
          <w:highlight w:val="none"/>
        </w:rPr>
        <w:t>dico.</w:t>
      </w:r>
    </w:p>
    <w:p>
      <w:pPr>
        <w:pStyle w:val="style0"/>
        <w:jc w:val="both"/>
        <w:rPr>
          <w:rFonts w:ascii="Arial" w:cs="Arial" w:hAnsi="Arial"/>
          <w:b/>
          <w:sz w:val="24"/>
          <w:szCs w:val="24"/>
          <w:highlight w:val="none"/>
        </w:rPr>
      </w:pPr>
      <w:r>
        <w:rPr>
          <w:rFonts w:ascii="Arial" w:cs="Arial" w:hAnsi="Arial"/>
          <w:b/>
          <w:sz w:val="24"/>
          <w:szCs w:val="24"/>
          <w:highlight w:val="none"/>
        </w:rPr>
        <w:t>Principios de la función judicial</w:t>
      </w:r>
      <w:r>
        <w:rPr>
          <w:rFonts w:ascii="Arial" w:cs="Arial" w:hAnsi="Arial"/>
          <w:b/>
          <w:sz w:val="24"/>
          <w:szCs w:val="24"/>
          <w:highlight w:val="none"/>
          <w:lang w:val="es-US"/>
        </w:rPr>
        <w:t xml:space="preserve"> </w:t>
      </w:r>
      <w:r>
        <w:rPr>
          <w:rFonts w:ascii="Arial" w:cs="Arial" w:hAnsi="Arial"/>
          <w:b/>
          <w:sz w:val="24"/>
          <w:szCs w:val="24"/>
          <w:highlight w:val="none"/>
          <w:lang w:val="en-US"/>
        </w:rPr>
        <w:t>según lo estipula el artículo 13.1 en todos sus incisos:</w:t>
      </w:r>
    </w:p>
    <w:p>
      <w:pPr>
        <w:pStyle w:val="style0"/>
        <w:jc w:val="both"/>
        <w:rPr>
          <w:rFonts w:ascii="Arial" w:cs="Arial" w:hAnsi="Arial"/>
          <w:sz w:val="24"/>
          <w:szCs w:val="24"/>
          <w:highlight w:val="none"/>
        </w:rPr>
      </w:pPr>
      <w:r>
        <w:rPr>
          <w:rFonts w:ascii="Arial" w:cs="Arial" w:hAnsi="Arial"/>
          <w:b/>
          <w:sz w:val="24"/>
          <w:szCs w:val="24"/>
          <w:highlight w:val="none"/>
        </w:rPr>
        <w:t>Supremacía constitucional:</w:t>
      </w:r>
      <w:r>
        <w:rPr>
          <w:rFonts w:ascii="Arial" w:cs="Arial" w:hAnsi="Arial"/>
          <w:sz w:val="24"/>
          <w:szCs w:val="24"/>
          <w:highlight w:val="none"/>
        </w:rPr>
        <w:t xml:space="preserve"> la Constitución de la República, norma suprema del Estado, se aplica directamente por los tribunales, los que la emplean para la interpretación e 3932 GACETA OFICIAL 7 de diciembre de 2021 integración de las leyes; se abstienen de observar las disposiciones normativas que se le opongan; dejan sin efecto, en los procesos que conocen, los actos que la restrinjan o menoscaben; el Consejo de Gobierno del Tribunal Supremo Popular promueve la interpretación general y obligatoria de las leyes, su modificación, revocación o declaración de inconstitucionalidad, según la ley;</w:t>
      </w:r>
    </w:p>
    <w:p>
      <w:pPr>
        <w:pStyle w:val="style0"/>
        <w:jc w:val="both"/>
        <w:rPr>
          <w:rFonts w:ascii="Arial" w:cs="Arial" w:hAnsi="Arial"/>
          <w:sz w:val="24"/>
          <w:szCs w:val="24"/>
          <w:highlight w:val="none"/>
        </w:rPr>
      </w:pPr>
      <w:r>
        <w:rPr>
          <w:rFonts w:ascii="Arial" w:cs="Arial" w:hAnsi="Arial"/>
          <w:b/>
          <w:sz w:val="24"/>
          <w:szCs w:val="24"/>
          <w:highlight w:val="none"/>
        </w:rPr>
        <w:t>Independencia:</w:t>
      </w:r>
      <w:r>
        <w:rPr>
          <w:rFonts w:ascii="Arial" w:cs="Arial" w:hAnsi="Arial"/>
          <w:sz w:val="24"/>
          <w:szCs w:val="24"/>
          <w:highlight w:val="none"/>
        </w:rPr>
        <w:t xml:space="preserve"> los magistrados y jueces, en su función de impartir justicia, son independientes y no deben obediencia más que a la ley; les está prohibido recibir instrucciones o recomendaciones de otros sobre el juzgamiento y la decisión de los casos que estén conociendo, o emitir consideraciones a otro tribunal acerca de los asuntos a cargo de este; los magistrados y jueces comunican, de inmediato, al presidente del tribunal, sala o sección al que pertenecen las perturbaciones a su independencia;</w:t>
      </w:r>
    </w:p>
    <w:p>
      <w:pPr>
        <w:pStyle w:val="style0"/>
        <w:jc w:val="both"/>
        <w:rPr>
          <w:rFonts w:ascii="Arial" w:cs="Arial" w:hAnsi="Arial"/>
          <w:sz w:val="24"/>
          <w:szCs w:val="24"/>
          <w:highlight w:val="none"/>
        </w:rPr>
      </w:pPr>
      <w:r>
        <w:rPr>
          <w:rFonts w:ascii="Arial" w:cs="Arial" w:hAnsi="Arial"/>
          <w:b/>
          <w:sz w:val="24"/>
          <w:szCs w:val="24"/>
          <w:highlight w:val="none"/>
        </w:rPr>
        <w:t xml:space="preserve">Imparcialidad: </w:t>
      </w:r>
      <w:r>
        <w:rPr>
          <w:rFonts w:ascii="Arial" w:cs="Arial" w:hAnsi="Arial"/>
          <w:sz w:val="24"/>
          <w:szCs w:val="24"/>
          <w:highlight w:val="none"/>
        </w:rPr>
        <w:t>los magistrados y jueces se abstienen de intervenir en cualquier asunto en el que puedan tener interés o relaciones de amistad, enemistad, familiaridad o afinidad con cualquiera de las partes; evitan mostrar favoritismo o animadversión hacia los intervinientes durante la tramitación y solución de los procesos, sin perjuicio del trato cortés y respetuoso que deben ofrecerles y, al adoptar sus decisiones, evalúan objetivamente los hechos y sus circunstancias, desprovistos de prejuicios que puedan afectar su justeza;</w:t>
      </w:r>
    </w:p>
    <w:p>
      <w:pPr>
        <w:pStyle w:val="style0"/>
        <w:jc w:val="both"/>
        <w:rPr>
          <w:rFonts w:ascii="Arial" w:cs="Arial" w:hAnsi="Arial"/>
          <w:sz w:val="24"/>
          <w:szCs w:val="24"/>
          <w:highlight w:val="none"/>
        </w:rPr>
      </w:pPr>
      <w:r>
        <w:rPr>
          <w:rFonts w:ascii="Arial" w:cs="Arial" w:hAnsi="Arial"/>
          <w:b/>
          <w:sz w:val="24"/>
          <w:szCs w:val="24"/>
          <w:highlight w:val="none"/>
        </w:rPr>
        <w:t>Igualdad:</w:t>
      </w:r>
      <w:r>
        <w:rPr>
          <w:rFonts w:ascii="Arial" w:cs="Arial" w:hAnsi="Arial"/>
          <w:sz w:val="24"/>
          <w:szCs w:val="24"/>
          <w:highlight w:val="none"/>
        </w:rPr>
        <w:t xml:space="preserve"> la justicia se imparte sobre la base de la igualdad efectiva de todas las personas; cuando el tribunal advierta la concurrencia de situaciones de vulnerabilidad, que puedan dificultar, ante los órganos judiciales, el ejercicio pleno de los derechos reconocidos por el ordenamiento jurídico, adopta las medidas pertinentes para la protección de la persona en tal condición;</w:t>
      </w:r>
    </w:p>
    <w:p>
      <w:pPr>
        <w:pStyle w:val="style0"/>
        <w:jc w:val="both"/>
        <w:rPr>
          <w:rFonts w:ascii="Arial" w:cs="Arial" w:hAnsi="Arial"/>
          <w:sz w:val="24"/>
          <w:szCs w:val="24"/>
          <w:highlight w:val="none"/>
        </w:rPr>
      </w:pPr>
      <w:r>
        <w:rPr>
          <w:rFonts w:ascii="Arial" w:cs="Arial" w:hAnsi="Arial"/>
          <w:b/>
          <w:sz w:val="24"/>
          <w:szCs w:val="24"/>
          <w:highlight w:val="none"/>
        </w:rPr>
        <w:t>Gratuidad:</w:t>
      </w:r>
      <w:r>
        <w:rPr>
          <w:rFonts w:ascii="Arial" w:cs="Arial" w:hAnsi="Arial"/>
          <w:sz w:val="24"/>
          <w:szCs w:val="24"/>
          <w:highlight w:val="none"/>
        </w:rPr>
        <w:t xml:space="preserve"> la justicia se dispensa gratuitamente;</w:t>
      </w:r>
    </w:p>
    <w:p>
      <w:pPr>
        <w:pStyle w:val="style0"/>
        <w:jc w:val="both"/>
        <w:rPr>
          <w:rFonts w:ascii="Arial" w:cs="Arial" w:hAnsi="Arial"/>
          <w:sz w:val="24"/>
          <w:szCs w:val="24"/>
          <w:highlight w:val="none"/>
        </w:rPr>
      </w:pPr>
      <w:r>
        <w:rPr>
          <w:rFonts w:ascii="Arial" w:cs="Arial" w:hAnsi="Arial"/>
          <w:b/>
          <w:sz w:val="24"/>
          <w:szCs w:val="24"/>
          <w:highlight w:val="none"/>
        </w:rPr>
        <w:t>Participación popular directa:</w:t>
      </w:r>
      <w:r>
        <w:rPr>
          <w:rFonts w:ascii="Arial" w:cs="Arial" w:hAnsi="Arial"/>
          <w:sz w:val="24"/>
          <w:szCs w:val="24"/>
          <w:highlight w:val="none"/>
        </w:rPr>
        <w:t xml:space="preserve"> como regla general, para los actos de impartir justicia, los tribunales funcionan de forma colegiada y, en ellos, participan, con iguales derechos y deberes, magistrados o jueces profesionales y jueces legos;</w:t>
      </w:r>
    </w:p>
    <w:p>
      <w:pPr>
        <w:pStyle w:val="style0"/>
        <w:jc w:val="both"/>
        <w:rPr>
          <w:rFonts w:ascii="Arial" w:cs="Arial" w:hAnsi="Arial"/>
          <w:sz w:val="24"/>
          <w:szCs w:val="24"/>
          <w:highlight w:val="none"/>
        </w:rPr>
      </w:pPr>
      <w:r>
        <w:rPr>
          <w:rFonts w:ascii="Arial" w:cs="Arial" w:hAnsi="Arial"/>
          <w:b/>
          <w:sz w:val="24"/>
          <w:szCs w:val="24"/>
          <w:highlight w:val="none"/>
        </w:rPr>
        <w:t xml:space="preserve">Proactividad: </w:t>
      </w:r>
      <w:r>
        <w:rPr>
          <w:rFonts w:ascii="Arial" w:cs="Arial" w:hAnsi="Arial"/>
          <w:sz w:val="24"/>
          <w:szCs w:val="24"/>
          <w:highlight w:val="none"/>
        </w:rPr>
        <w:t>los magistrados y jueces, en el ejercicio de sus funciones, disponen de amplias facultades para garantizar el debido proceso y arribar a decisiones justas, en la forma que regulen las leyes procesales correspondientes;</w:t>
      </w:r>
    </w:p>
    <w:p>
      <w:pPr>
        <w:pStyle w:val="style0"/>
        <w:jc w:val="both"/>
        <w:rPr>
          <w:rFonts w:ascii="Arial" w:cs="Arial" w:hAnsi="Arial"/>
          <w:sz w:val="24"/>
          <w:szCs w:val="24"/>
          <w:highlight w:val="none"/>
        </w:rPr>
      </w:pPr>
      <w:r>
        <w:rPr>
          <w:rFonts w:ascii="Arial" w:cs="Arial" w:hAnsi="Arial"/>
          <w:b/>
          <w:sz w:val="24"/>
          <w:szCs w:val="24"/>
          <w:highlight w:val="none"/>
        </w:rPr>
        <w:t>Seguridad jurídica:</w:t>
      </w:r>
      <w:r>
        <w:rPr>
          <w:rFonts w:ascii="Arial" w:cs="Arial" w:hAnsi="Arial"/>
          <w:sz w:val="24"/>
          <w:szCs w:val="24"/>
          <w:highlight w:val="none"/>
        </w:rPr>
        <w:t xml:space="preserve"> la actuación judicial está prevista en la ley y se apega a ella; las personas que son partes o interesados en los procesos conocen sus derechos y garantías, disponen de medios para su ejercicio y reciben información oportuna y fidedigna sobre los asuntos en que intervienen; las decisiones judiciales firmes son invariables y se cumplen efectivamente;</w:t>
      </w:r>
    </w:p>
    <w:p>
      <w:pPr>
        <w:pStyle w:val="style0"/>
        <w:jc w:val="both"/>
        <w:rPr>
          <w:rFonts w:ascii="Arial" w:cs="Arial" w:hAnsi="Arial"/>
          <w:sz w:val="24"/>
          <w:szCs w:val="24"/>
          <w:highlight w:val="none"/>
        </w:rPr>
      </w:pPr>
      <w:r>
        <w:rPr>
          <w:rFonts w:ascii="Arial" w:cs="Arial" w:hAnsi="Arial"/>
          <w:b/>
          <w:sz w:val="24"/>
          <w:szCs w:val="24"/>
          <w:highlight w:val="none"/>
        </w:rPr>
        <w:t>Juez preconstituido:</w:t>
      </w:r>
      <w:r>
        <w:rPr>
          <w:rFonts w:ascii="Arial" w:cs="Arial" w:hAnsi="Arial"/>
          <w:sz w:val="24"/>
          <w:szCs w:val="24"/>
          <w:highlight w:val="none"/>
        </w:rPr>
        <w:t xml:space="preserve"> la tramitación y solución de los conflictos corresponde a los tribunales ordinarios, previamente establecidos por la ley; la elección de magistrados y jueces, la estructura y composición de los tribunales, su jurisdicción y competencia, los procedimientos aplicables y las reglas de distribución de asuntos están predefinidos en las disposiciones normativas;</w:t>
      </w:r>
    </w:p>
    <w:p>
      <w:pPr>
        <w:pStyle w:val="style0"/>
        <w:jc w:val="both"/>
        <w:rPr>
          <w:rFonts w:ascii="Arial" w:cs="Arial" w:hAnsi="Arial"/>
          <w:sz w:val="24"/>
          <w:szCs w:val="24"/>
          <w:highlight w:val="none"/>
        </w:rPr>
      </w:pPr>
      <w:r>
        <w:rPr>
          <w:rFonts w:ascii="Arial" w:cs="Arial" w:hAnsi="Arial"/>
          <w:b/>
          <w:sz w:val="24"/>
          <w:szCs w:val="24"/>
          <w:highlight w:val="none"/>
        </w:rPr>
        <w:t>Publicidad:</w:t>
      </w:r>
      <w:r>
        <w:rPr>
          <w:rFonts w:ascii="Arial" w:cs="Arial" w:hAnsi="Arial"/>
          <w:sz w:val="24"/>
          <w:szCs w:val="24"/>
          <w:highlight w:val="none"/>
        </w:rPr>
        <w:t xml:space="preserve"> los actos judiciales son públicos, salvo en los casos previstos en la ley;</w:t>
      </w:r>
    </w:p>
    <w:p>
      <w:pPr>
        <w:pStyle w:val="style0"/>
        <w:jc w:val="both"/>
        <w:rPr>
          <w:rFonts w:ascii="Arial" w:cs="Arial" w:hAnsi="Arial"/>
          <w:sz w:val="24"/>
          <w:szCs w:val="24"/>
        </w:rPr>
      </w:pPr>
      <w:r>
        <w:rPr>
          <w:rFonts w:ascii="Arial" w:cs="Arial" w:hAnsi="Arial"/>
          <w:b/>
          <w:sz w:val="24"/>
          <w:szCs w:val="24"/>
        </w:rPr>
        <w:t>O</w:t>
      </w:r>
      <w:r>
        <w:rPr>
          <w:rFonts w:ascii="Arial" w:cs="Arial" w:hAnsi="Arial"/>
          <w:b/>
          <w:sz w:val="24"/>
          <w:szCs w:val="24"/>
        </w:rPr>
        <w:t>bligación de resolver:</w:t>
      </w:r>
      <w:r>
        <w:rPr>
          <w:rFonts w:ascii="Arial" w:cs="Arial" w:hAnsi="Arial"/>
          <w:sz w:val="24"/>
          <w:szCs w:val="24"/>
        </w:rPr>
        <w:t xml:space="preserve"> los tribunales están obligados a solucionar, inexcusablemente,</w:t>
      </w:r>
      <w:r>
        <w:rPr>
          <w:rFonts w:ascii="Arial" w:cs="Arial" w:hAnsi="Arial"/>
          <w:sz w:val="24"/>
          <w:szCs w:val="24"/>
        </w:rPr>
        <w:t xml:space="preserve"> </w:t>
      </w:r>
      <w:r>
        <w:rPr>
          <w:rFonts w:ascii="Arial" w:cs="Arial" w:hAnsi="Arial"/>
          <w:sz w:val="24"/>
          <w:szCs w:val="24"/>
        </w:rPr>
        <w:t>los asuntos que se les presenten; quien deniegue la justicia o la retarde de modo</w:t>
      </w:r>
      <w:r>
        <w:rPr>
          <w:rFonts w:ascii="Arial" w:cs="Arial" w:hAnsi="Arial"/>
          <w:sz w:val="24"/>
          <w:szCs w:val="24"/>
        </w:rPr>
        <w:t xml:space="preserve"> </w:t>
      </w:r>
      <w:r>
        <w:rPr>
          <w:rFonts w:ascii="Arial" w:cs="Arial" w:hAnsi="Arial"/>
          <w:sz w:val="24"/>
          <w:szCs w:val="24"/>
        </w:rPr>
        <w:t>injustificado incurre en responsabilidad;</w:t>
      </w:r>
    </w:p>
    <w:p>
      <w:pPr>
        <w:pStyle w:val="style0"/>
        <w:jc w:val="both"/>
        <w:rPr>
          <w:rFonts w:ascii="Arial" w:cs="Arial" w:hAnsi="Arial"/>
          <w:sz w:val="24"/>
          <w:szCs w:val="24"/>
        </w:rPr>
      </w:pPr>
      <w:r>
        <w:rPr>
          <w:rFonts w:ascii="Arial" w:cs="Arial" w:hAnsi="Arial"/>
          <w:b/>
          <w:sz w:val="24"/>
          <w:szCs w:val="24"/>
        </w:rPr>
        <w:t>Carácter</w:t>
      </w:r>
      <w:r>
        <w:rPr>
          <w:rFonts w:ascii="Arial" w:cs="Arial" w:hAnsi="Arial"/>
          <w:b/>
          <w:sz w:val="24"/>
          <w:szCs w:val="24"/>
        </w:rPr>
        <w:t xml:space="preserve"> vinculante de las decisiones judiciales:</w:t>
      </w:r>
      <w:r>
        <w:rPr>
          <w:rFonts w:ascii="Arial" w:cs="Arial" w:hAnsi="Arial"/>
          <w:sz w:val="24"/>
          <w:szCs w:val="24"/>
        </w:rPr>
        <w:t xml:space="preserve"> toda persona natural o jurídica</w:t>
      </w:r>
      <w:r>
        <w:rPr>
          <w:rFonts w:ascii="Arial" w:cs="Arial" w:hAnsi="Arial"/>
          <w:sz w:val="24"/>
          <w:szCs w:val="24"/>
        </w:rPr>
        <w:t xml:space="preserve"> </w:t>
      </w:r>
      <w:r>
        <w:rPr>
          <w:rFonts w:ascii="Arial" w:cs="Arial" w:hAnsi="Arial"/>
          <w:sz w:val="24"/>
          <w:szCs w:val="24"/>
        </w:rPr>
        <w:t>está obligada a cumplir y hacer cumplir las decisiones judiciales dictadas por los</w:t>
      </w:r>
      <w:r>
        <w:rPr>
          <w:rFonts w:ascii="Arial" w:cs="Arial" w:hAnsi="Arial"/>
          <w:sz w:val="24"/>
          <w:szCs w:val="24"/>
        </w:rPr>
        <w:t xml:space="preserve"> </w:t>
      </w:r>
      <w:r>
        <w:rPr>
          <w:rFonts w:ascii="Arial" w:cs="Arial" w:hAnsi="Arial"/>
          <w:sz w:val="24"/>
          <w:szCs w:val="24"/>
        </w:rPr>
        <w:t>7 de diciembre de 2021 GACETA OFICIAL 3933</w:t>
      </w:r>
      <w:r>
        <w:rPr>
          <w:rFonts w:ascii="Arial" w:cs="Arial" w:hAnsi="Arial"/>
          <w:sz w:val="24"/>
          <w:szCs w:val="24"/>
        </w:rPr>
        <w:t xml:space="preserve"> </w:t>
      </w:r>
      <w:r>
        <w:rPr>
          <w:rFonts w:ascii="Arial" w:cs="Arial" w:hAnsi="Arial"/>
          <w:sz w:val="24"/>
          <w:szCs w:val="24"/>
        </w:rPr>
        <w:t>tribunales competentes, bajo conminación de incurrir en la responsabilidad que</w:t>
      </w:r>
      <w:r>
        <w:rPr>
          <w:rFonts w:ascii="Arial" w:cs="Arial" w:hAnsi="Arial"/>
          <w:sz w:val="24"/>
          <w:szCs w:val="24"/>
        </w:rPr>
        <w:t xml:space="preserve"> </w:t>
      </w:r>
      <w:r>
        <w:rPr>
          <w:rFonts w:ascii="Arial" w:cs="Arial" w:hAnsi="Arial"/>
          <w:sz w:val="24"/>
          <w:szCs w:val="24"/>
        </w:rPr>
        <w:t>disponga la ley;</w:t>
      </w:r>
    </w:p>
    <w:p>
      <w:pPr>
        <w:pStyle w:val="style0"/>
        <w:jc w:val="both"/>
        <w:rPr>
          <w:rFonts w:ascii="Arial" w:cs="Arial" w:hAnsi="Arial"/>
          <w:sz w:val="24"/>
          <w:szCs w:val="24"/>
        </w:rPr>
      </w:pPr>
      <w:r>
        <w:rPr>
          <w:rFonts w:ascii="Arial" w:cs="Arial" w:hAnsi="Arial"/>
          <w:b/>
          <w:sz w:val="24"/>
          <w:szCs w:val="24"/>
        </w:rPr>
        <w:t>In</w:t>
      </w:r>
      <w:r>
        <w:rPr>
          <w:rFonts w:ascii="Arial" w:cs="Arial" w:hAnsi="Arial"/>
          <w:b/>
          <w:sz w:val="24"/>
          <w:szCs w:val="24"/>
        </w:rPr>
        <w:t>tegridad:</w:t>
      </w:r>
      <w:r>
        <w:rPr>
          <w:rFonts w:ascii="Arial" w:cs="Arial" w:hAnsi="Arial"/>
          <w:sz w:val="24"/>
          <w:szCs w:val="24"/>
        </w:rPr>
        <w:t xml:space="preserve"> los magistrados, jueces, secretarios judiciales y demás trabajadores de</w:t>
      </w:r>
      <w:r>
        <w:rPr>
          <w:rFonts w:ascii="Arial" w:cs="Arial" w:hAnsi="Arial"/>
          <w:sz w:val="24"/>
          <w:szCs w:val="24"/>
        </w:rPr>
        <w:t xml:space="preserve"> </w:t>
      </w:r>
      <w:r>
        <w:rPr>
          <w:rFonts w:ascii="Arial" w:cs="Arial" w:hAnsi="Arial"/>
          <w:sz w:val="24"/>
          <w:szCs w:val="24"/>
        </w:rPr>
        <w:t>los tribunales están obligados a mantener un comportamiento ético e incorruptible</w:t>
      </w:r>
      <w:r>
        <w:rPr>
          <w:rFonts w:ascii="Arial" w:cs="Arial" w:hAnsi="Arial"/>
          <w:sz w:val="24"/>
          <w:szCs w:val="24"/>
        </w:rPr>
        <w:t xml:space="preserve"> </w:t>
      </w:r>
      <w:r>
        <w:rPr>
          <w:rFonts w:ascii="Arial" w:cs="Arial" w:hAnsi="Arial"/>
          <w:sz w:val="24"/>
          <w:szCs w:val="24"/>
        </w:rPr>
        <w:t>en el desempeño de sus funciones y en su vida personal;</w:t>
      </w:r>
    </w:p>
    <w:p>
      <w:pPr>
        <w:pStyle w:val="style0"/>
        <w:jc w:val="both"/>
        <w:rPr>
          <w:rFonts w:ascii="Arial" w:cs="Arial" w:hAnsi="Arial"/>
          <w:sz w:val="24"/>
          <w:szCs w:val="24"/>
        </w:rPr>
      </w:pPr>
      <w:r>
        <w:rPr>
          <w:rFonts w:ascii="Arial" w:cs="Arial" w:hAnsi="Arial"/>
          <w:b/>
          <w:sz w:val="24"/>
          <w:szCs w:val="24"/>
        </w:rPr>
        <w:t>I</w:t>
      </w:r>
      <w:r>
        <w:rPr>
          <w:rFonts w:ascii="Arial" w:cs="Arial" w:hAnsi="Arial"/>
          <w:b/>
          <w:sz w:val="24"/>
          <w:szCs w:val="24"/>
        </w:rPr>
        <w:t xml:space="preserve">nmunidad: </w:t>
      </w:r>
      <w:r>
        <w:rPr>
          <w:rFonts w:ascii="Arial" w:cs="Arial" w:hAnsi="Arial"/>
          <w:sz w:val="24"/>
          <w:szCs w:val="24"/>
        </w:rPr>
        <w:t>ningún magistrado o juez en activo puede ser detenido o procesado sino</w:t>
      </w:r>
      <w:r>
        <w:rPr>
          <w:rFonts w:ascii="Arial" w:cs="Arial" w:hAnsi="Arial"/>
          <w:sz w:val="24"/>
          <w:szCs w:val="24"/>
        </w:rPr>
        <w:t xml:space="preserve"> </w:t>
      </w:r>
      <w:r>
        <w:rPr>
          <w:rFonts w:ascii="Arial" w:cs="Arial" w:hAnsi="Arial"/>
          <w:sz w:val="24"/>
          <w:szCs w:val="24"/>
        </w:rPr>
        <w:t>con la autorización del Consejo de Gobierno del Tribunal Supremo Popular, salvo</w:t>
      </w:r>
      <w:r>
        <w:rPr>
          <w:rFonts w:ascii="Arial" w:cs="Arial" w:hAnsi="Arial"/>
          <w:sz w:val="24"/>
          <w:szCs w:val="24"/>
        </w:rPr>
        <w:t xml:space="preserve"> </w:t>
      </w:r>
      <w:r>
        <w:rPr>
          <w:rFonts w:ascii="Arial" w:cs="Arial" w:hAnsi="Arial"/>
          <w:sz w:val="24"/>
          <w:szCs w:val="24"/>
        </w:rPr>
        <w:t>en el caso a que se contrae el Artículo 89, apartado 3, de esta Ley; tampoco puede</w:t>
      </w:r>
      <w:r>
        <w:rPr>
          <w:rFonts w:ascii="Arial" w:cs="Arial" w:hAnsi="Arial"/>
          <w:sz w:val="24"/>
          <w:szCs w:val="24"/>
        </w:rPr>
        <w:t xml:space="preserve"> </w:t>
      </w:r>
      <w:r>
        <w:rPr>
          <w:rFonts w:ascii="Arial" w:cs="Arial" w:hAnsi="Arial"/>
          <w:sz w:val="24"/>
          <w:szCs w:val="24"/>
        </w:rPr>
        <w:t>ser sujeto de acciones civiles directas por daños y perjuicios, en correspondencia</w:t>
      </w:r>
      <w:r>
        <w:rPr>
          <w:rFonts w:ascii="Arial" w:cs="Arial" w:hAnsi="Arial"/>
          <w:sz w:val="24"/>
          <w:szCs w:val="24"/>
        </w:rPr>
        <w:t xml:space="preserve"> </w:t>
      </w:r>
      <w:r>
        <w:rPr>
          <w:rFonts w:ascii="Arial" w:cs="Arial" w:hAnsi="Arial"/>
          <w:sz w:val="24"/>
          <w:szCs w:val="24"/>
        </w:rPr>
        <w:t>con lo dispuesto en el Artículo 102 de la presente Ley.</w:t>
      </w:r>
    </w:p>
    <w:p>
      <w:pPr>
        <w:pStyle w:val="style0"/>
        <w:jc w:val="both"/>
        <w:rPr>
          <w:rFonts w:ascii="Arial" w:cs="Arial" w:hAnsi="Arial"/>
          <w:sz w:val="24"/>
          <w:szCs w:val="24"/>
        </w:rPr>
      </w:pPr>
      <w:r>
        <w:rPr>
          <w:rFonts w:ascii="Arial" w:cs="Arial" w:hAnsi="Arial"/>
          <w:sz w:val="24"/>
          <w:szCs w:val="24"/>
        </w:rPr>
        <w:t>Estos principios son fundamentales para garantizar la integridad y legitimidad del sistema judicial , as</w:t>
      </w:r>
      <w:r>
        <w:rPr>
          <w:rFonts w:ascii="Arial" w:cs="Arial" w:hAnsi="Arial"/>
          <w:sz w:val="24"/>
          <w:szCs w:val="24"/>
          <w:lang w:val="es-US"/>
        </w:rPr>
        <w:t>í</w:t>
      </w:r>
      <w:r>
        <w:rPr>
          <w:rFonts w:ascii="Arial" w:cs="Arial" w:hAnsi="Arial"/>
          <w:sz w:val="24"/>
          <w:szCs w:val="24"/>
        </w:rPr>
        <w:t xml:space="preserve"> como para proteger los derechos individuales y promover la justicia en una sociedad.</w:t>
      </w:r>
    </w:p>
    <w:sectPr>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Arial">
    <w:altName w:val="Arial"/>
    <w:panose1 w:val="020b0604020000020204"/>
    <w:charset w:val="00"/>
    <w:family w:val="swiss"/>
    <w:pitch w:val="variable"/>
    <w:sig w:usb0="E0002EFF" w:usb1="C0007843" w:usb2="00000009" w:usb3="00000000" w:csb0="000001FF" w:csb1="00000000"/>
  </w:font>
  <w:font w:name="Calibri Light">
    <w:altName w:val="Calibri Light"/>
    <w:panose1 w:val="020f0302020000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s-E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Words>798</Words>
  <Characters>4541</Characters>
  <Application>WPS Office</Application>
  <DocSecurity>0</DocSecurity>
  <Paragraphs>28</Paragraphs>
  <ScaleCrop>false</ScaleCrop>
  <LinksUpToDate>false</LinksUpToDate>
  <CharactersWithSpaces>5320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2024-02-01T12:45:11Z</dcterms:created>
  <dc:creator>Gabriela</dc:creator>
  <lastModifiedBy>SM-A022M</lastModifiedBy>
  <dcterms:modified xsi:type="dcterms:W3CDTF">2024-02-01T15:10:53Z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342e6e9f2ba14657b346864669e2799b</vt:lpwstr>
  </property>
</Properties>
</file>