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7235" w:rsidRPr="00F77235" w:rsidRDefault="00F77235" w:rsidP="00F77235">
      <w:pPr>
        <w:spacing w:after="0" w:line="240" w:lineRule="auto"/>
        <w:rPr>
          <w:rFonts w:ascii="Times New Roman" w:eastAsia="Times New Roman" w:hAnsi="Times New Roman" w:cs="Times New Roman"/>
          <w:sz w:val="24"/>
          <w:szCs w:val="24"/>
          <w:lang w:eastAsia="es-ES"/>
        </w:rPr>
      </w:pPr>
      <w:r w:rsidRPr="00F77235">
        <w:rPr>
          <w:rFonts w:ascii="Times New Roman" w:eastAsia="Times New Roman" w:hAnsi="Times New Roman" w:cs="Times New Roman"/>
          <w:b/>
          <w:bCs/>
          <w:sz w:val="24"/>
          <w:szCs w:val="24"/>
          <w:lang w:eastAsia="es-ES"/>
        </w:rPr>
        <w:t>Título:</w:t>
      </w:r>
      <w:r w:rsidRPr="00F77235">
        <w:rPr>
          <w:rFonts w:ascii="Times New Roman" w:eastAsia="Times New Roman" w:hAnsi="Times New Roman" w:cs="Times New Roman"/>
          <w:sz w:val="24"/>
          <w:szCs w:val="24"/>
          <w:lang w:eastAsia="es-ES"/>
        </w:rPr>
        <w:t xml:space="preserve"> La dialéctica enajenación-emancipación en el proceso de dirección de la economía. La experiencia en Cuba 1959-1986</w:t>
      </w:r>
      <w:r w:rsidRPr="00F77235">
        <w:rPr>
          <w:rFonts w:ascii="Times New Roman" w:eastAsia="Times New Roman" w:hAnsi="Times New Roman" w:cs="Times New Roman"/>
          <w:sz w:val="24"/>
          <w:szCs w:val="24"/>
          <w:lang w:eastAsia="es-ES"/>
        </w:rPr>
        <w:br/>
      </w:r>
      <w:r w:rsidRPr="00F77235">
        <w:rPr>
          <w:rFonts w:ascii="Times New Roman" w:eastAsia="Times New Roman" w:hAnsi="Times New Roman" w:cs="Times New Roman"/>
          <w:b/>
          <w:bCs/>
          <w:sz w:val="24"/>
          <w:szCs w:val="24"/>
          <w:lang w:eastAsia="es-ES"/>
        </w:rPr>
        <w:t>Autor(es):</w:t>
      </w:r>
      <w:r w:rsidRPr="00F77235">
        <w:rPr>
          <w:rFonts w:ascii="Times New Roman" w:eastAsia="Times New Roman" w:hAnsi="Times New Roman" w:cs="Times New Roman"/>
          <w:sz w:val="24"/>
          <w:szCs w:val="24"/>
          <w:lang w:eastAsia="es-ES"/>
        </w:rPr>
        <w:t xml:space="preserve"> Orlando Benítez </w:t>
      </w:r>
      <w:proofErr w:type="spellStart"/>
      <w:r w:rsidRPr="00F77235">
        <w:rPr>
          <w:rFonts w:ascii="Times New Roman" w:eastAsia="Times New Roman" w:hAnsi="Times New Roman" w:cs="Times New Roman"/>
          <w:sz w:val="24"/>
          <w:szCs w:val="24"/>
          <w:lang w:eastAsia="es-ES"/>
        </w:rPr>
        <w:t>Víctores</w:t>
      </w:r>
      <w:proofErr w:type="spellEnd"/>
      <w:r w:rsidRPr="00F77235">
        <w:rPr>
          <w:rFonts w:ascii="Times New Roman" w:eastAsia="Times New Roman" w:hAnsi="Times New Roman" w:cs="Times New Roman"/>
          <w:sz w:val="24"/>
          <w:szCs w:val="24"/>
          <w:lang w:eastAsia="es-ES"/>
        </w:rPr>
        <w:br/>
      </w:r>
      <w:r w:rsidRPr="00F77235">
        <w:rPr>
          <w:rFonts w:ascii="Times New Roman" w:eastAsia="Times New Roman" w:hAnsi="Times New Roman" w:cs="Times New Roman"/>
          <w:b/>
          <w:bCs/>
          <w:sz w:val="24"/>
          <w:szCs w:val="24"/>
          <w:lang w:eastAsia="es-ES"/>
        </w:rPr>
        <w:t>Fecha de publicación:</w:t>
      </w:r>
      <w:r w:rsidRPr="00F77235">
        <w:rPr>
          <w:rFonts w:ascii="Times New Roman" w:eastAsia="Times New Roman" w:hAnsi="Times New Roman" w:cs="Times New Roman"/>
          <w:sz w:val="24"/>
          <w:szCs w:val="24"/>
          <w:lang w:eastAsia="es-ES"/>
        </w:rPr>
        <w:t xml:space="preserve"> 01 de Septiembre de 2014</w:t>
      </w:r>
    </w:p>
    <w:p w:rsidR="00F77235" w:rsidRPr="00F77235" w:rsidRDefault="00F77235" w:rsidP="00F77235">
      <w:pPr>
        <w:spacing w:before="100" w:beforeAutospacing="1" w:after="100" w:afterAutospacing="1" w:line="240" w:lineRule="auto"/>
        <w:rPr>
          <w:rFonts w:ascii="Times New Roman" w:eastAsia="Times New Roman" w:hAnsi="Times New Roman" w:cs="Times New Roman"/>
          <w:sz w:val="24"/>
          <w:szCs w:val="24"/>
          <w:lang w:eastAsia="es-ES"/>
        </w:rPr>
      </w:pPr>
      <w:r w:rsidRPr="00F77235">
        <w:rPr>
          <w:rFonts w:ascii="Times New Roman" w:eastAsia="Times New Roman" w:hAnsi="Times New Roman" w:cs="Times New Roman"/>
          <w:sz w:val="24"/>
          <w:szCs w:val="24"/>
          <w:lang w:eastAsia="es-ES"/>
        </w:rPr>
        <w:t xml:space="preserve">La caída del campo socialista y la desintegración de la URSS constituyeron un rudo golpe para la teoría y la práctica de la construcción socialistas, cuya base filosófica y política −el marxismo leninismo−, se convirtió en el mayor blanco de la crítica, hasta el punto de la negación y el descrédito. Implícitamente los fundamentos epistemológicos y metodológicos de la dirección de la economía socialista, corrieron esa misma suerte. Esta situación general afecta también en lo particular a Cuba, cuya experiencia en la construcción socialista ha transcurrido en un contexto histórico en el que dicho proceso ha estado aguijoneado constante y progresivamente por el imperialismo norteamericano, en una ya secular contradicción entre el poder neocolonial y la nación cubana. </w:t>
      </w:r>
    </w:p>
    <w:p w:rsidR="00F77235" w:rsidRPr="00F77235" w:rsidRDefault="00F77235" w:rsidP="00F77235">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77235">
        <w:rPr>
          <w:rFonts w:ascii="Times New Roman" w:eastAsia="Times New Roman" w:hAnsi="Times New Roman" w:cs="Times New Roman"/>
          <w:sz w:val="24"/>
          <w:szCs w:val="24"/>
          <w:lang w:eastAsia="es-ES"/>
        </w:rPr>
        <w:t xml:space="preserve"> Al ser la construcción socialista un proceso dirigido conscientemente, la dirección de la economía está llamada a ocupar una posición fundamental en dicho proceso, al revelarse en ella la dialéctica </w:t>
      </w:r>
      <w:r w:rsidRPr="00F77235">
        <w:rPr>
          <w:rFonts w:ascii="Times New Roman" w:eastAsia="Times New Roman" w:hAnsi="Times New Roman" w:cs="Times New Roman"/>
          <w:i/>
          <w:iCs/>
          <w:sz w:val="24"/>
          <w:szCs w:val="24"/>
          <w:lang w:eastAsia="es-ES"/>
        </w:rPr>
        <w:t>enajenación–emancipación</w:t>
      </w:r>
      <w:r w:rsidRPr="00F77235">
        <w:rPr>
          <w:rFonts w:ascii="Times New Roman" w:eastAsia="Times New Roman" w:hAnsi="Times New Roman" w:cs="Times New Roman"/>
          <w:sz w:val="24"/>
          <w:szCs w:val="24"/>
          <w:lang w:eastAsia="es-ES"/>
        </w:rPr>
        <w:t xml:space="preserve">, como relación contradictoria, cuya resolución se concibe como el establecimiento progresivo de relaciones emancipatorias en el paso hacia el logro de la esencia humana, a través de relaciones de dirección, es decir, entre </w:t>
      </w:r>
      <w:r w:rsidRPr="00F77235">
        <w:rPr>
          <w:rFonts w:ascii="Times New Roman" w:eastAsia="Times New Roman" w:hAnsi="Times New Roman" w:cs="Times New Roman"/>
          <w:i/>
          <w:iCs/>
          <w:sz w:val="24"/>
          <w:szCs w:val="24"/>
          <w:lang w:eastAsia="es-ES"/>
        </w:rPr>
        <w:t xml:space="preserve">dirigentes y dirigidos, </w:t>
      </w:r>
      <w:r w:rsidRPr="00F77235">
        <w:rPr>
          <w:rFonts w:ascii="Times New Roman" w:eastAsia="Times New Roman" w:hAnsi="Times New Roman" w:cs="Times New Roman"/>
          <w:sz w:val="24"/>
          <w:szCs w:val="24"/>
          <w:lang w:eastAsia="es-ES"/>
        </w:rPr>
        <w:t>concebidas más allá de las relaciones empresariales, sino como aquellas que intervinculan la sociedad, los colectivos y el individuo de manera integral, bajo la acción de la política, las instituciones y organizaciones laborales y sociales.</w:t>
      </w:r>
    </w:p>
    <w:p w:rsidR="00F77235" w:rsidRPr="00F77235" w:rsidRDefault="00F77235" w:rsidP="00F77235">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77235">
        <w:rPr>
          <w:rFonts w:ascii="Times New Roman" w:eastAsia="Times New Roman" w:hAnsi="Times New Roman" w:cs="Times New Roman"/>
          <w:sz w:val="24"/>
          <w:szCs w:val="24"/>
          <w:lang w:eastAsia="es-ES"/>
        </w:rPr>
        <w:t> La perspectiva social inaugurada por Marx y Engels como movimiento histórico hacia el comunismo es, en su forma más natural, la lucha del individuo por la emancipación completa. El análisis de Marx parte de lo que él identifica como “relación ontológica fundamental”, como la relación directa del hombre con la naturaleza, en la actividad productiva, considerando este momento mediático de primer orden, como la génesis de la sociedad humana, a través de la naturaleza real del hombre (naturaleza humana). Es el momento en que Marx establece el surgimiento de conceptos tales como “esencia natural del hombre”, “esencia humana de la naturaleza”, “naturaleza real del hombre” (en oposición a la naturaleza biológica del hombre), es decir, diferenciando la doble relación ﴾</w:t>
      </w:r>
      <w:r w:rsidRPr="00F77235">
        <w:rPr>
          <w:rFonts w:ascii="Times New Roman" w:eastAsia="Times New Roman" w:hAnsi="Times New Roman" w:cs="Times New Roman"/>
          <w:i/>
          <w:iCs/>
          <w:sz w:val="24"/>
          <w:szCs w:val="24"/>
          <w:lang w:eastAsia="es-ES"/>
        </w:rPr>
        <w:t>hombre-naturaleza</w:t>
      </w:r>
      <w:proofErr w:type="gramStart"/>
      <w:r w:rsidR="0077766F" w:rsidRPr="00F77235">
        <w:rPr>
          <w:rFonts w:ascii="Tahoma" w:eastAsia="Times New Roman" w:hAnsi="Tahoma" w:cs="Tahoma"/>
          <w:sz w:val="24"/>
          <w:szCs w:val="24"/>
          <w:lang w:eastAsia="es-ES"/>
        </w:rPr>
        <w:t>�</w:t>
      </w:r>
      <w:r w:rsidR="0077766F" w:rsidRPr="00F77235">
        <w:rPr>
          <w:rFonts w:ascii="Times New Roman" w:eastAsia="Times New Roman" w:hAnsi="Times New Roman" w:cs="Times New Roman"/>
          <w:sz w:val="24"/>
          <w:szCs w:val="24"/>
          <w:lang w:eastAsia="es-ES"/>
        </w:rPr>
        <w:t>¿</w:t>
      </w:r>
      <w:proofErr w:type="gramEnd"/>
      <w:r w:rsidR="0077766F" w:rsidRPr="00F77235">
        <w:rPr>
          <w:rFonts w:ascii="Times New Roman" w:eastAsia="Times New Roman" w:hAnsi="Times New Roman" w:cs="Times New Roman"/>
          <w:sz w:val="24"/>
          <w:szCs w:val="24"/>
          <w:lang w:eastAsia="es-ES"/>
        </w:rPr>
        <w:t>de</w:t>
      </w:r>
      <w:r w:rsidRPr="00F77235">
        <w:rPr>
          <w:rFonts w:ascii="Times New Roman" w:eastAsia="Times New Roman" w:hAnsi="Times New Roman" w:cs="Times New Roman"/>
          <w:sz w:val="24"/>
          <w:szCs w:val="24"/>
          <w:lang w:eastAsia="es-ES"/>
        </w:rPr>
        <w:t xml:space="preserve"> la triple relación: </w:t>
      </w:r>
      <w:r w:rsidRPr="00F77235">
        <w:rPr>
          <w:rFonts w:ascii="Times New Roman" w:eastAsia="Times New Roman" w:hAnsi="Times New Roman" w:cs="Times New Roman"/>
          <w:i/>
          <w:iCs/>
          <w:sz w:val="24"/>
          <w:szCs w:val="24"/>
          <w:lang w:eastAsia="es-ES"/>
        </w:rPr>
        <w:t>hombre–naturaleza–actividad productiva</w:t>
      </w:r>
      <w:r w:rsidRPr="00F77235">
        <w:rPr>
          <w:rFonts w:ascii="Times New Roman" w:eastAsia="Times New Roman" w:hAnsi="Times New Roman" w:cs="Times New Roman"/>
          <w:sz w:val="24"/>
          <w:szCs w:val="24"/>
          <w:lang w:eastAsia="es-ES"/>
        </w:rPr>
        <w:t>.</w:t>
      </w:r>
      <w:bookmarkStart w:id="0" w:name="_ftnref1"/>
      <w:r w:rsidRPr="00F77235">
        <w:rPr>
          <w:rFonts w:ascii="Times New Roman" w:eastAsia="Times New Roman" w:hAnsi="Times New Roman" w:cs="Times New Roman"/>
          <w:sz w:val="24"/>
          <w:szCs w:val="24"/>
          <w:lang w:eastAsia="es-ES"/>
        </w:rPr>
        <w:t>[1]</w:t>
      </w:r>
      <w:bookmarkEnd w:id="0"/>
      <w:r w:rsidRPr="00F77235">
        <w:rPr>
          <w:rFonts w:ascii="Times New Roman" w:eastAsia="Times New Roman" w:hAnsi="Times New Roman" w:cs="Times New Roman"/>
          <w:sz w:val="24"/>
          <w:szCs w:val="24"/>
          <w:lang w:eastAsia="es-ES"/>
        </w:rPr>
        <w:t xml:space="preserve"> </w:t>
      </w:r>
    </w:p>
    <w:p w:rsidR="00F77235" w:rsidRPr="00F77235" w:rsidRDefault="00F77235" w:rsidP="00F77235">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77235">
        <w:rPr>
          <w:rFonts w:ascii="Times New Roman" w:eastAsia="Times New Roman" w:hAnsi="Times New Roman" w:cs="Times New Roman"/>
          <w:sz w:val="24"/>
          <w:szCs w:val="24"/>
          <w:lang w:eastAsia="es-ES"/>
        </w:rPr>
        <w:t xml:space="preserve"> Marx devela las relaciones que en el proceso histórico del desarrollo social culminan con la propiedad privada, el trabajo asalariado y el mercado, la división social del trabajo y sus formas </w:t>
      </w:r>
      <w:r w:rsidR="0077766F" w:rsidRPr="00F77235">
        <w:rPr>
          <w:rFonts w:ascii="Times New Roman" w:eastAsia="Times New Roman" w:hAnsi="Times New Roman" w:cs="Times New Roman"/>
          <w:sz w:val="24"/>
          <w:szCs w:val="24"/>
          <w:lang w:eastAsia="es-ES"/>
        </w:rPr>
        <w:t>ratificadas</w:t>
      </w:r>
      <w:r w:rsidRPr="00F77235">
        <w:rPr>
          <w:rFonts w:ascii="Times New Roman" w:eastAsia="Times New Roman" w:hAnsi="Times New Roman" w:cs="Times New Roman"/>
          <w:sz w:val="24"/>
          <w:szCs w:val="24"/>
          <w:lang w:eastAsia="es-ES"/>
        </w:rPr>
        <w:t xml:space="preserve"> institucionalizadas a través del Estado y la política. De esta manera, las mediaciones de segundo orden de propiedad privada y trabajo asalariado sustituyen al hombre, como ente social (humano). El trabajo pierde su condición humana y pasa a ser un simple hecho material abstracto, cuyo reflejo en el pensamiento teórico (Economía Política clásica o vulgar) se expresa en los enfoques abstractos con sentido teleológico burgués</w:t>
      </w:r>
      <w:bookmarkStart w:id="1" w:name="_ftnref2"/>
      <w:r w:rsidRPr="00F77235">
        <w:rPr>
          <w:rFonts w:ascii="Times New Roman" w:eastAsia="Times New Roman" w:hAnsi="Times New Roman" w:cs="Times New Roman"/>
          <w:sz w:val="24"/>
          <w:szCs w:val="24"/>
          <w:lang w:eastAsia="es-ES"/>
        </w:rPr>
        <w:t>[2]</w:t>
      </w:r>
      <w:bookmarkEnd w:id="1"/>
      <w:r w:rsidRPr="00F77235">
        <w:rPr>
          <w:rFonts w:ascii="Times New Roman" w:eastAsia="Times New Roman" w:hAnsi="Times New Roman" w:cs="Times New Roman"/>
          <w:sz w:val="24"/>
          <w:szCs w:val="24"/>
          <w:lang w:eastAsia="es-ES"/>
        </w:rPr>
        <w:t xml:space="preserve"> que tributa necesariamente al fetichismo mercantil y colocan los intereses económicos históricamente concretos de la sociedad capitalista como rasgos del ser humano abstracto.</w:t>
      </w:r>
    </w:p>
    <w:p w:rsidR="00F77235" w:rsidRPr="00F77235" w:rsidRDefault="00F77235" w:rsidP="00F77235">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77235">
        <w:rPr>
          <w:rFonts w:ascii="Times New Roman" w:eastAsia="Times New Roman" w:hAnsi="Times New Roman" w:cs="Times New Roman"/>
          <w:sz w:val="24"/>
          <w:szCs w:val="24"/>
          <w:lang w:eastAsia="es-ES"/>
        </w:rPr>
        <w:t xml:space="preserve"> Mediante su crítica a la propiedad privada capitalista, Marx llega a una conceptualización de la propiedad como conjunto de las relaciones sociales de </w:t>
      </w:r>
      <w:r w:rsidRPr="00F77235">
        <w:rPr>
          <w:rFonts w:ascii="Times New Roman" w:eastAsia="Times New Roman" w:hAnsi="Times New Roman" w:cs="Times New Roman"/>
          <w:sz w:val="24"/>
          <w:szCs w:val="24"/>
          <w:lang w:eastAsia="es-ES"/>
        </w:rPr>
        <w:lastRenderedPageBreak/>
        <w:t>producción, como un sistema vinculado orgánicamente a la división social del trabajo</w:t>
      </w:r>
      <w:bookmarkStart w:id="2" w:name="_ftnref3"/>
      <w:r w:rsidRPr="00F77235">
        <w:rPr>
          <w:rFonts w:ascii="Times New Roman" w:eastAsia="Times New Roman" w:hAnsi="Times New Roman" w:cs="Times New Roman"/>
          <w:sz w:val="24"/>
          <w:szCs w:val="24"/>
          <w:lang w:eastAsia="es-ES"/>
        </w:rPr>
        <w:t>[3]</w:t>
      </w:r>
      <w:bookmarkEnd w:id="2"/>
      <w:r w:rsidRPr="00F77235">
        <w:rPr>
          <w:rFonts w:ascii="Times New Roman" w:eastAsia="Times New Roman" w:hAnsi="Times New Roman" w:cs="Times New Roman"/>
          <w:sz w:val="24"/>
          <w:szCs w:val="24"/>
          <w:lang w:eastAsia="es-ES"/>
        </w:rPr>
        <w:t xml:space="preserve"> que en su desarrollo ontológico deviene proceso complejo de humanización parcial del individuo y progresivamente socializador, al tiempo que devenía </w:t>
      </w:r>
      <w:r w:rsidR="0077766F" w:rsidRPr="00F77235">
        <w:rPr>
          <w:rFonts w:ascii="Times New Roman" w:eastAsia="Times New Roman" w:hAnsi="Times New Roman" w:cs="Times New Roman"/>
          <w:sz w:val="24"/>
          <w:szCs w:val="24"/>
          <w:lang w:eastAsia="es-ES"/>
        </w:rPr>
        <w:t>auto enajenación</w:t>
      </w:r>
      <w:r w:rsidRPr="00F77235">
        <w:rPr>
          <w:rFonts w:ascii="Times New Roman" w:eastAsia="Times New Roman" w:hAnsi="Times New Roman" w:cs="Times New Roman"/>
          <w:sz w:val="24"/>
          <w:szCs w:val="24"/>
          <w:lang w:eastAsia="es-ES"/>
        </w:rPr>
        <w:t xml:space="preserve"> y creación de un sistema alienante de producción-apropiación, o sea, la propiedad privada.</w:t>
      </w:r>
      <w:bookmarkStart w:id="3" w:name="_ftnref4"/>
      <w:r w:rsidRPr="00F77235">
        <w:rPr>
          <w:rFonts w:ascii="Times New Roman" w:eastAsia="Times New Roman" w:hAnsi="Times New Roman" w:cs="Times New Roman"/>
          <w:sz w:val="24"/>
          <w:szCs w:val="24"/>
          <w:lang w:eastAsia="es-ES"/>
        </w:rPr>
        <w:t>[4]</w:t>
      </w:r>
      <w:bookmarkEnd w:id="3"/>
      <w:r w:rsidRPr="00F77235">
        <w:rPr>
          <w:rFonts w:ascii="Times New Roman" w:eastAsia="Times New Roman" w:hAnsi="Times New Roman" w:cs="Times New Roman"/>
          <w:sz w:val="24"/>
          <w:szCs w:val="24"/>
          <w:lang w:eastAsia="es-ES"/>
        </w:rPr>
        <w:t xml:space="preserve"> De ahí la necesidad de superar positivamente la propiedad privada, como forma de superar la enajenación. </w:t>
      </w:r>
    </w:p>
    <w:p w:rsidR="00F77235" w:rsidRPr="00F77235" w:rsidRDefault="00F77235" w:rsidP="00F77235">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77235">
        <w:rPr>
          <w:rFonts w:ascii="Times New Roman" w:eastAsia="Times New Roman" w:hAnsi="Times New Roman" w:cs="Times New Roman"/>
          <w:sz w:val="24"/>
          <w:szCs w:val="24"/>
          <w:lang w:eastAsia="es-ES"/>
        </w:rPr>
        <w:t>El hilo conductor de su análisis es el trabajo enajenado, lo que constituye un aporte metodológico ─propio de toda su obra─ de la aplicación del principio de la causa y el efecto, y su interrelación dialéctica. En ese sentido advierte que, “aunque la propiedad privada parece ser la fuente, la causa del trabajo alienado, es en realidad su consecuencia.”</w:t>
      </w:r>
      <w:bookmarkStart w:id="4" w:name="_ftnref5"/>
      <w:r w:rsidRPr="00F77235">
        <w:rPr>
          <w:rFonts w:ascii="Times New Roman" w:eastAsia="Times New Roman" w:hAnsi="Times New Roman" w:cs="Times New Roman"/>
          <w:sz w:val="24"/>
          <w:szCs w:val="24"/>
          <w:lang w:eastAsia="es-ES"/>
        </w:rPr>
        <w:t>[5]</w:t>
      </w:r>
      <w:bookmarkEnd w:id="4"/>
      <w:r w:rsidRPr="00F77235">
        <w:rPr>
          <w:rFonts w:ascii="Times New Roman" w:eastAsia="Times New Roman" w:hAnsi="Times New Roman" w:cs="Times New Roman"/>
          <w:sz w:val="24"/>
          <w:szCs w:val="24"/>
          <w:lang w:eastAsia="es-ES"/>
        </w:rPr>
        <w:t xml:space="preserve"> </w:t>
      </w:r>
    </w:p>
    <w:p w:rsidR="00F77235" w:rsidRPr="00F77235" w:rsidRDefault="00F77235" w:rsidP="00F77235">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77235">
        <w:rPr>
          <w:rFonts w:ascii="Times New Roman" w:eastAsia="Times New Roman" w:hAnsi="Times New Roman" w:cs="Times New Roman"/>
          <w:sz w:val="24"/>
          <w:szCs w:val="24"/>
          <w:lang w:eastAsia="es-ES"/>
        </w:rPr>
        <w:t>Por eso advierte que, la abolición formal ─como acción institucional─ de la propiedad privada por sí sola no elimina la enajenación. Ahí sus críticas a lo que llamó “socialismo grosero</w:t>
      </w:r>
      <w:proofErr w:type="gramStart"/>
      <w:r w:rsidRPr="00F77235">
        <w:rPr>
          <w:rFonts w:ascii="Times New Roman" w:eastAsia="Times New Roman" w:hAnsi="Times New Roman" w:cs="Times New Roman"/>
          <w:sz w:val="24"/>
          <w:szCs w:val="24"/>
          <w:lang w:eastAsia="es-ES"/>
        </w:rPr>
        <w:t>.”</w:t>
      </w:r>
      <w:bookmarkStart w:id="5" w:name="_ftnref6"/>
      <w:r w:rsidRPr="00F77235">
        <w:rPr>
          <w:rFonts w:ascii="Times New Roman" w:eastAsia="Times New Roman" w:hAnsi="Times New Roman" w:cs="Times New Roman"/>
          <w:sz w:val="24"/>
          <w:szCs w:val="24"/>
          <w:lang w:eastAsia="es-ES"/>
        </w:rPr>
        <w:t>[</w:t>
      </w:r>
      <w:proofErr w:type="gramEnd"/>
      <w:r w:rsidRPr="00F77235">
        <w:rPr>
          <w:rFonts w:ascii="Times New Roman" w:eastAsia="Times New Roman" w:hAnsi="Times New Roman" w:cs="Times New Roman"/>
          <w:sz w:val="24"/>
          <w:szCs w:val="24"/>
          <w:lang w:eastAsia="es-ES"/>
        </w:rPr>
        <w:t>6]</w:t>
      </w:r>
      <w:bookmarkEnd w:id="5"/>
      <w:r w:rsidRPr="00F77235">
        <w:rPr>
          <w:rFonts w:ascii="Times New Roman" w:eastAsia="Times New Roman" w:hAnsi="Times New Roman" w:cs="Times New Roman"/>
          <w:sz w:val="24"/>
          <w:szCs w:val="24"/>
          <w:lang w:eastAsia="es-ES"/>
        </w:rPr>
        <w:t xml:space="preserve"> Su concepción parte de concebir la propiedad privada como necesidad histórica de un momento que ya ha sido rebasado, de una totalidad que presenta una dimensión subjetiva (vinculada a la personalidad de los sujetos) y otra objetiva (que expresa al capital), por tanto su trascendencia como superación no puede quedarse en la “propiedad privada únicamente en su aspecto objetivo”</w:t>
      </w:r>
      <w:bookmarkStart w:id="6" w:name="_ftnref7"/>
      <w:r w:rsidRPr="00F77235">
        <w:rPr>
          <w:rFonts w:ascii="Times New Roman" w:eastAsia="Times New Roman" w:hAnsi="Times New Roman" w:cs="Times New Roman"/>
          <w:sz w:val="24"/>
          <w:szCs w:val="24"/>
          <w:lang w:eastAsia="es-ES"/>
        </w:rPr>
        <w:t>[7]</w:t>
      </w:r>
      <w:bookmarkEnd w:id="6"/>
    </w:p>
    <w:p w:rsidR="00F77235" w:rsidRPr="00F77235" w:rsidRDefault="00F77235" w:rsidP="00F77235">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77235">
        <w:rPr>
          <w:rFonts w:ascii="Times New Roman" w:eastAsia="Times New Roman" w:hAnsi="Times New Roman" w:cs="Times New Roman"/>
          <w:sz w:val="24"/>
          <w:szCs w:val="24"/>
          <w:lang w:eastAsia="es-ES"/>
        </w:rPr>
        <w:t xml:space="preserve"> Se trata de un proceso de negación completa de las mediaciones capitalistas de segundo orden, </w:t>
      </w:r>
      <w:r w:rsidRPr="00F77235">
        <w:rPr>
          <w:rFonts w:ascii="Times New Roman" w:eastAsia="Times New Roman" w:hAnsi="Times New Roman" w:cs="Times New Roman"/>
          <w:b/>
          <w:bCs/>
          <w:sz w:val="24"/>
          <w:szCs w:val="24"/>
          <w:lang w:eastAsia="es-ES"/>
        </w:rPr>
        <w:t>trabajo asalariado-capital</w:t>
      </w:r>
      <w:r w:rsidRPr="00F77235">
        <w:rPr>
          <w:rFonts w:ascii="Times New Roman" w:eastAsia="Times New Roman" w:hAnsi="Times New Roman" w:cs="Times New Roman"/>
          <w:sz w:val="24"/>
          <w:szCs w:val="24"/>
          <w:lang w:eastAsia="es-ES"/>
        </w:rPr>
        <w:t>, para recuperar la relación natural (humana) del hombre con la naturaleza, pero como “retorno hecho conciencia y realizado dentro de toda la riqueza del desarrollo previo</w:t>
      </w:r>
      <w:proofErr w:type="gramStart"/>
      <w:r w:rsidRPr="00F77235">
        <w:rPr>
          <w:rFonts w:ascii="Times New Roman" w:eastAsia="Times New Roman" w:hAnsi="Times New Roman" w:cs="Times New Roman"/>
          <w:sz w:val="24"/>
          <w:szCs w:val="24"/>
          <w:lang w:eastAsia="es-ES"/>
        </w:rPr>
        <w:t>”.</w:t>
      </w:r>
      <w:bookmarkStart w:id="7" w:name="_ftnref8"/>
      <w:r w:rsidRPr="00F77235">
        <w:rPr>
          <w:rFonts w:ascii="Times New Roman" w:eastAsia="Times New Roman" w:hAnsi="Times New Roman" w:cs="Times New Roman"/>
          <w:sz w:val="24"/>
          <w:szCs w:val="24"/>
          <w:lang w:eastAsia="es-ES"/>
        </w:rPr>
        <w:t>[</w:t>
      </w:r>
      <w:proofErr w:type="gramEnd"/>
      <w:r w:rsidRPr="00F77235">
        <w:rPr>
          <w:rFonts w:ascii="Times New Roman" w:eastAsia="Times New Roman" w:hAnsi="Times New Roman" w:cs="Times New Roman"/>
          <w:sz w:val="24"/>
          <w:szCs w:val="24"/>
          <w:lang w:eastAsia="es-ES"/>
        </w:rPr>
        <w:t>8]</w:t>
      </w:r>
      <w:bookmarkEnd w:id="7"/>
      <w:r w:rsidRPr="00F77235">
        <w:rPr>
          <w:rFonts w:ascii="Times New Roman" w:eastAsia="Times New Roman" w:hAnsi="Times New Roman" w:cs="Times New Roman"/>
          <w:sz w:val="24"/>
          <w:szCs w:val="24"/>
          <w:lang w:eastAsia="es-ES"/>
        </w:rPr>
        <w:t>La dirección consciente de ese proceso coloca la dirección de la economía en una posición decisiva.</w:t>
      </w:r>
    </w:p>
    <w:p w:rsidR="00F77235" w:rsidRPr="00F77235" w:rsidRDefault="00F77235" w:rsidP="00F77235">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77235">
        <w:rPr>
          <w:rFonts w:ascii="Times New Roman" w:eastAsia="Times New Roman" w:hAnsi="Times New Roman" w:cs="Times New Roman"/>
          <w:sz w:val="24"/>
          <w:szCs w:val="24"/>
          <w:lang w:eastAsia="es-ES"/>
        </w:rPr>
        <w:t xml:space="preserve"> En su obra cumbre, </w:t>
      </w:r>
      <w:r w:rsidRPr="00F77235">
        <w:rPr>
          <w:rFonts w:ascii="Times New Roman" w:eastAsia="Times New Roman" w:hAnsi="Times New Roman" w:cs="Times New Roman"/>
          <w:i/>
          <w:iCs/>
          <w:sz w:val="24"/>
          <w:szCs w:val="24"/>
          <w:lang w:eastAsia="es-ES"/>
        </w:rPr>
        <w:t>El Capital</w:t>
      </w:r>
      <w:r w:rsidRPr="00F77235">
        <w:rPr>
          <w:rFonts w:ascii="Times New Roman" w:eastAsia="Times New Roman" w:hAnsi="Times New Roman" w:cs="Times New Roman"/>
          <w:sz w:val="24"/>
          <w:szCs w:val="24"/>
          <w:lang w:eastAsia="es-ES"/>
        </w:rPr>
        <w:t>, Marx deja plasmada su valoración sobre la dirección social y de la actividad productiva en la sociedad capitalista, desde su génesis lógica e histórica,</w:t>
      </w:r>
      <w:bookmarkStart w:id="8" w:name="_ftnref9"/>
      <w:r w:rsidRPr="00F77235">
        <w:rPr>
          <w:rFonts w:ascii="Times New Roman" w:eastAsia="Times New Roman" w:hAnsi="Times New Roman" w:cs="Times New Roman"/>
          <w:sz w:val="24"/>
          <w:szCs w:val="24"/>
          <w:lang w:eastAsia="es-ES"/>
        </w:rPr>
        <w:t>[9]</w:t>
      </w:r>
      <w:bookmarkEnd w:id="8"/>
      <w:r w:rsidRPr="00F77235">
        <w:rPr>
          <w:rFonts w:ascii="Times New Roman" w:eastAsia="Times New Roman" w:hAnsi="Times New Roman" w:cs="Times New Roman"/>
          <w:sz w:val="24"/>
          <w:szCs w:val="24"/>
          <w:lang w:eastAsia="es-ES"/>
        </w:rPr>
        <w:t>así como la jerarquización establecida en las relaciones dirigentes-dirigidos, donde “el mando del capital se convierte en requisito indispensable del propio proceso de trabajo.”</w:t>
      </w:r>
      <w:bookmarkStart w:id="9" w:name="_ftnref10"/>
      <w:r w:rsidRPr="00F77235">
        <w:rPr>
          <w:rFonts w:ascii="Times New Roman" w:eastAsia="Times New Roman" w:hAnsi="Times New Roman" w:cs="Times New Roman"/>
          <w:sz w:val="24"/>
          <w:szCs w:val="24"/>
          <w:lang w:eastAsia="es-ES"/>
        </w:rPr>
        <w:t>[10]</w:t>
      </w:r>
      <w:bookmarkEnd w:id="9"/>
    </w:p>
    <w:p w:rsidR="00F77235" w:rsidRPr="00F77235" w:rsidRDefault="00F77235" w:rsidP="00F77235">
      <w:pPr>
        <w:spacing w:before="100" w:beforeAutospacing="1" w:after="100" w:afterAutospacing="1" w:line="240" w:lineRule="auto"/>
        <w:rPr>
          <w:rFonts w:ascii="Times New Roman" w:eastAsia="Times New Roman" w:hAnsi="Times New Roman" w:cs="Times New Roman"/>
          <w:sz w:val="24"/>
          <w:szCs w:val="24"/>
          <w:lang w:eastAsia="es-ES"/>
        </w:rPr>
      </w:pPr>
      <w:r w:rsidRPr="00F77235">
        <w:rPr>
          <w:rFonts w:ascii="Times New Roman" w:eastAsia="Times New Roman" w:hAnsi="Times New Roman" w:cs="Times New Roman"/>
          <w:sz w:val="24"/>
          <w:szCs w:val="24"/>
          <w:lang w:eastAsia="es-ES"/>
        </w:rPr>
        <w:t xml:space="preserve"> La teoría de Marx sobre la propiedad como sistema implica la existencia de relaciones de la dirección, como factor consciente mediador y al mismo tiempo consustancial de las relaciones de propiedad, donde la política constituye un momento integrador e integrado de esas relaciones. La obra de Marx y Engels nos presenta una concepción de la propiedad como sistema, base metodológica y epistemológica para aproximarnos a una concepción del proceso de emancipación humana a través de la práctica revolucionaria de construcción de nuevas formas de apropiación, de naturaleza </w:t>
      </w:r>
      <w:bookmarkStart w:id="10" w:name="_ftnref11"/>
      <w:r w:rsidR="0021192D" w:rsidRPr="00F77235">
        <w:rPr>
          <w:rFonts w:ascii="Times New Roman" w:eastAsia="Times New Roman" w:hAnsi="Times New Roman" w:cs="Times New Roman"/>
          <w:sz w:val="24"/>
          <w:szCs w:val="24"/>
          <w:lang w:eastAsia="es-ES"/>
        </w:rPr>
        <w:t>colectiva. [</w:t>
      </w:r>
      <w:r w:rsidRPr="00F77235">
        <w:rPr>
          <w:rFonts w:ascii="Times New Roman" w:eastAsia="Times New Roman" w:hAnsi="Times New Roman" w:cs="Times New Roman"/>
          <w:sz w:val="24"/>
          <w:szCs w:val="24"/>
          <w:lang w:eastAsia="es-ES"/>
        </w:rPr>
        <w:t>11]</w:t>
      </w:r>
      <w:bookmarkEnd w:id="10"/>
    </w:p>
    <w:p w:rsidR="00F77235" w:rsidRPr="00F77235" w:rsidRDefault="00F77235" w:rsidP="00F77235">
      <w:pPr>
        <w:spacing w:before="100" w:beforeAutospacing="1" w:after="100" w:afterAutospacing="1" w:line="240" w:lineRule="auto"/>
        <w:rPr>
          <w:rFonts w:ascii="Times New Roman" w:eastAsia="Times New Roman" w:hAnsi="Times New Roman" w:cs="Times New Roman"/>
          <w:sz w:val="24"/>
          <w:szCs w:val="24"/>
          <w:lang w:eastAsia="es-ES"/>
        </w:rPr>
      </w:pPr>
      <w:r w:rsidRPr="00F77235">
        <w:rPr>
          <w:rFonts w:ascii="Times New Roman" w:eastAsia="Times New Roman" w:hAnsi="Times New Roman" w:cs="Times New Roman"/>
          <w:sz w:val="24"/>
          <w:szCs w:val="24"/>
          <w:lang w:eastAsia="es-ES"/>
        </w:rPr>
        <w:t> La toma del poder político por los trabajadores, constituye un paso decisivo en la resolución de la contradicción enajenación/emancipación, lo que convierte al Estado de nuevo tipo en elemento indispensable, para realizar las transformaciones emancipatorias esenciales,</w:t>
      </w:r>
      <w:bookmarkStart w:id="11" w:name="_ftnref12"/>
      <w:r w:rsidRPr="00F77235">
        <w:rPr>
          <w:rFonts w:ascii="Times New Roman" w:eastAsia="Times New Roman" w:hAnsi="Times New Roman" w:cs="Times New Roman"/>
          <w:sz w:val="24"/>
          <w:szCs w:val="24"/>
          <w:lang w:eastAsia="es-ES"/>
        </w:rPr>
        <w:t>[12]</w:t>
      </w:r>
      <w:bookmarkEnd w:id="11"/>
      <w:r w:rsidRPr="00F77235">
        <w:rPr>
          <w:rFonts w:ascii="Times New Roman" w:eastAsia="Times New Roman" w:hAnsi="Times New Roman" w:cs="Times New Roman"/>
          <w:sz w:val="24"/>
          <w:szCs w:val="24"/>
          <w:lang w:eastAsia="es-ES"/>
        </w:rPr>
        <w:t xml:space="preserve"> por lo que la revolución socialista está llamada a recuperar la esencia humana, presa en el sistema de la propiedad privada capitalista y desencadenar un proceso simultáneo de destrucción de las relaciones sociales de la producción capitalistas y construcción de relaciones sociales de la producción socialistas: trascender el orden de reproducción metabólico del capital. Se está planteando un proceso de tránsito comunista, aclarando que “el comunismo no es un </w:t>
      </w:r>
      <w:r w:rsidRPr="00F77235">
        <w:rPr>
          <w:rFonts w:ascii="Times New Roman" w:eastAsia="Times New Roman" w:hAnsi="Times New Roman" w:cs="Times New Roman"/>
          <w:i/>
          <w:iCs/>
          <w:sz w:val="24"/>
          <w:szCs w:val="24"/>
          <w:lang w:eastAsia="es-ES"/>
        </w:rPr>
        <w:t>estado</w:t>
      </w:r>
      <w:r w:rsidRPr="00F77235">
        <w:rPr>
          <w:rFonts w:ascii="Times New Roman" w:eastAsia="Times New Roman" w:hAnsi="Times New Roman" w:cs="Times New Roman"/>
          <w:sz w:val="24"/>
          <w:szCs w:val="24"/>
          <w:lang w:eastAsia="es-ES"/>
        </w:rPr>
        <w:t xml:space="preserve"> que debe implantarse, un </w:t>
      </w:r>
      <w:r w:rsidRPr="00F77235">
        <w:rPr>
          <w:rFonts w:ascii="Times New Roman" w:eastAsia="Times New Roman" w:hAnsi="Times New Roman" w:cs="Times New Roman"/>
          <w:i/>
          <w:iCs/>
          <w:sz w:val="24"/>
          <w:szCs w:val="24"/>
          <w:lang w:eastAsia="es-ES"/>
        </w:rPr>
        <w:t>ideal</w:t>
      </w:r>
      <w:r w:rsidRPr="00F77235">
        <w:rPr>
          <w:rFonts w:ascii="Times New Roman" w:eastAsia="Times New Roman" w:hAnsi="Times New Roman" w:cs="Times New Roman"/>
          <w:sz w:val="24"/>
          <w:szCs w:val="24"/>
          <w:lang w:eastAsia="es-ES"/>
        </w:rPr>
        <w:t xml:space="preserve"> al que haya de sujetarse la realidad. Nosotros llamamos comunismo al movimiento </w:t>
      </w:r>
      <w:r w:rsidRPr="00F77235">
        <w:rPr>
          <w:rFonts w:ascii="Times New Roman" w:eastAsia="Times New Roman" w:hAnsi="Times New Roman" w:cs="Times New Roman"/>
          <w:i/>
          <w:iCs/>
          <w:sz w:val="24"/>
          <w:szCs w:val="24"/>
          <w:lang w:eastAsia="es-ES"/>
        </w:rPr>
        <w:t>real</w:t>
      </w:r>
      <w:r w:rsidRPr="00F77235">
        <w:rPr>
          <w:rFonts w:ascii="Times New Roman" w:eastAsia="Times New Roman" w:hAnsi="Times New Roman" w:cs="Times New Roman"/>
          <w:sz w:val="24"/>
          <w:szCs w:val="24"/>
          <w:lang w:eastAsia="es-ES"/>
        </w:rPr>
        <w:t xml:space="preserve"> que anula y supera el estado de cosas actual.”</w:t>
      </w:r>
      <w:bookmarkStart w:id="12" w:name="_ftnref13"/>
      <w:r w:rsidRPr="00F77235">
        <w:rPr>
          <w:rFonts w:ascii="Times New Roman" w:eastAsia="Times New Roman" w:hAnsi="Times New Roman" w:cs="Times New Roman"/>
          <w:sz w:val="24"/>
          <w:szCs w:val="24"/>
          <w:lang w:eastAsia="es-ES"/>
        </w:rPr>
        <w:t>[13]</w:t>
      </w:r>
      <w:bookmarkEnd w:id="12"/>
    </w:p>
    <w:p w:rsidR="00F77235" w:rsidRPr="00F77235" w:rsidRDefault="00F77235" w:rsidP="00F77235">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77235">
        <w:rPr>
          <w:rFonts w:ascii="Times New Roman" w:eastAsia="Times New Roman" w:hAnsi="Times New Roman" w:cs="Times New Roman"/>
          <w:sz w:val="24"/>
          <w:szCs w:val="24"/>
          <w:lang w:eastAsia="es-ES"/>
        </w:rPr>
        <w:t> Desgraciadamente el decurso histórico de la práctica revolucionaria de construcción socialista, se apartó de la lógica implícita en los constructos orgánicos de la obra de los fundadores, en gran medida por las determinaciones del poder político establecido, reproducido a través de mecanismos partidistas devenidos hegemónicos verticalmente en el contorno de la llamada contradicción fundamental de la época, entre capitalismo y socialismo y la elevación de la URSS al pináculo del paradigma.</w:t>
      </w:r>
    </w:p>
    <w:p w:rsidR="00F77235" w:rsidRPr="00F77235" w:rsidRDefault="00F77235" w:rsidP="00F77235">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77235">
        <w:rPr>
          <w:rFonts w:ascii="Times New Roman" w:eastAsia="Times New Roman" w:hAnsi="Times New Roman" w:cs="Times New Roman"/>
          <w:sz w:val="24"/>
          <w:szCs w:val="24"/>
          <w:lang w:eastAsia="es-ES"/>
        </w:rPr>
        <w:t xml:space="preserve"> La experiencia cubana responde a las condiciones dadas en sus particularidades. Su base esencial parte de la naturaleza socioeconómica del subdesarrollo impuesto por el colonialismo y el neocolonialismo. Las premisas histórico–nacionales del factor político, así como su peculiar desarrollo en la gestación y curso del proceso revolucionario, potenciaron estos factores con efectos dialécticamente contradictorios hacia lo interno del desarrollo ideológico cultural en la práctica de la dirección de la economía en Cuba. </w:t>
      </w:r>
    </w:p>
    <w:p w:rsidR="00F77235" w:rsidRPr="00F77235" w:rsidRDefault="00F77235" w:rsidP="00F77235">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77235">
        <w:rPr>
          <w:rFonts w:ascii="Times New Roman" w:eastAsia="Times New Roman" w:hAnsi="Times New Roman" w:cs="Times New Roman"/>
          <w:sz w:val="24"/>
          <w:szCs w:val="24"/>
          <w:lang w:eastAsia="es-ES"/>
        </w:rPr>
        <w:t xml:space="preserve"> La cultura política atesorada por la sociedad cubana acrisolada en el combate armado y político ante la agresividad de Estados Unidos, colocó en la cumbre del pensamiento y la moral del cubano, la dignidad, y a partir de ese valor se armó y desarrolló el pensamiento estratégico de la Revolución, donde la política ocupó un lugar determinante, factor condicionante que marcaría fuertemente los procesos de dirección económica en la construcción socialista en Cuba. </w:t>
      </w:r>
    </w:p>
    <w:p w:rsidR="00F77235" w:rsidRPr="00F77235" w:rsidRDefault="00F77235" w:rsidP="00F77235">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77235">
        <w:rPr>
          <w:rFonts w:ascii="Times New Roman" w:eastAsia="Times New Roman" w:hAnsi="Times New Roman" w:cs="Times New Roman"/>
          <w:sz w:val="24"/>
          <w:szCs w:val="24"/>
          <w:lang w:eastAsia="es-ES"/>
        </w:rPr>
        <w:t xml:space="preserve"> El nuevo contenido del Estado (a partir del triunfo de 1959), imponía la participación popular. A ello se incorporan dos factores muy particulares: la lucha de clases que rebasa los marcos nacionales y transforma la contradicción antagónica burguesía-proletariado, en la contradicción Imperialismo-Revolución Cubana. El Estado organiza la defensa a través de la movilización popular. La entrega de armas a los ciudadanos trasciende ideológicamente hacia formas consolidadas de propietarios, aunque en una relación de propiedad a través de la política, no del proceso de producción. Pero es obvio que constituye a corto plazo un reforzamiento de la unidad nacional con fuerte contenido </w:t>
      </w:r>
      <w:r w:rsidR="0021192D" w:rsidRPr="00F77235">
        <w:rPr>
          <w:rFonts w:ascii="Times New Roman" w:eastAsia="Times New Roman" w:hAnsi="Times New Roman" w:cs="Times New Roman"/>
          <w:sz w:val="24"/>
          <w:szCs w:val="24"/>
          <w:lang w:eastAsia="es-ES"/>
        </w:rPr>
        <w:t>emancipa</w:t>
      </w:r>
      <w:r w:rsidR="0021192D">
        <w:rPr>
          <w:rFonts w:ascii="Times New Roman" w:eastAsia="Times New Roman" w:hAnsi="Times New Roman" w:cs="Times New Roman"/>
          <w:sz w:val="24"/>
          <w:szCs w:val="24"/>
          <w:lang w:eastAsia="es-ES"/>
        </w:rPr>
        <w:t>torio</w:t>
      </w:r>
      <w:r w:rsidRPr="00F77235">
        <w:rPr>
          <w:rFonts w:ascii="Times New Roman" w:eastAsia="Times New Roman" w:hAnsi="Times New Roman" w:cs="Times New Roman"/>
          <w:sz w:val="24"/>
          <w:szCs w:val="24"/>
          <w:lang w:eastAsia="es-ES"/>
        </w:rPr>
        <w:t xml:space="preserve">. </w:t>
      </w:r>
    </w:p>
    <w:p w:rsidR="00F77235" w:rsidRPr="00F77235" w:rsidRDefault="00F77235" w:rsidP="00F77235">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77235">
        <w:rPr>
          <w:rFonts w:ascii="Times New Roman" w:eastAsia="Times New Roman" w:hAnsi="Times New Roman" w:cs="Times New Roman"/>
          <w:sz w:val="24"/>
          <w:szCs w:val="24"/>
          <w:lang w:eastAsia="es-ES"/>
        </w:rPr>
        <w:t> Un segundo factor está dado en la peculiaridad de la transformación económica a partir de un bajo desarrollo de las fuerzas productivas, deprimido aún más por la emigración de la fuerza de trabajo calificada y el mantenimiento de grandes contingentes en la defensa de manera permanente. Esto hacía necesario la movilización popular a labores económicas, sobre todo agrícolas. Únase a ello la desaparición del ejército de desempleados de reserva originado por la producción azucarera estacional, igualmente, estas movilizaciones o trabajo voluntario contienen por su carácter un espíritu emancipador. No obstante, su abuso o extralimitación también debía provocar efectos enajenantes en la medida que su contenido político agotó sus posibilidades de desarrollo y no se actualizaron las vías de las relaciones de la política con la economía y las relaciones Estado (Partido)-Sociedad.</w:t>
      </w:r>
    </w:p>
    <w:p w:rsidR="00F77235" w:rsidRPr="00F77235" w:rsidRDefault="00F77235" w:rsidP="00F77235">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77235">
        <w:rPr>
          <w:rFonts w:ascii="Times New Roman" w:eastAsia="Times New Roman" w:hAnsi="Times New Roman" w:cs="Times New Roman"/>
          <w:sz w:val="24"/>
          <w:szCs w:val="24"/>
          <w:lang w:eastAsia="es-ES"/>
        </w:rPr>
        <w:t xml:space="preserve"> El contenido emancipatorio generado por el ejercicio del poder revolucionario fue constituyente y constitución de una nueva racionalidad que implica pautas de idealidad que trascienden la racionalidad democrático burguesa y exigen el establecimiento de relaciones sociales de producción de tipo socialista. A esto debe corresponder una nueva forma de la política; es decir, como expresión del nuevo contenido emancipatorio, una política que no puede quedarse en el nivel de la proclamación clasista general en programas y demás documentos y sus formas comunicativas oficiales; sino realizarse como sustancia del proceso social, como su contenido total, expresado en las diferentes manifestaciones concretas del sujeto social. Debe integrar, por tanto, lo histórico cultural, lo económico, lo moral, los valores y las relaciones respecto a la nación. De ahí que estaría implícito en el sentimiento y las actuaciones diseminadas en todo el tejido social. Sería el sentido amplio de la política, que haría compatible por esencia su relación con la economía. En ese proceso la actividad de dirección social, y su versión económica, juega un papel decisivo. </w:t>
      </w:r>
    </w:p>
    <w:p w:rsidR="00F77235" w:rsidRPr="00F77235" w:rsidRDefault="00F77235" w:rsidP="00F77235">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77235">
        <w:rPr>
          <w:rFonts w:ascii="Times New Roman" w:eastAsia="Times New Roman" w:hAnsi="Times New Roman" w:cs="Times New Roman"/>
          <w:sz w:val="24"/>
          <w:szCs w:val="24"/>
          <w:lang w:eastAsia="es-ES"/>
        </w:rPr>
        <w:t> El predominio de la propiedad estatal en Cuba, impuso tempranamente nuevas y más progresistas relaciones Estado–Individuo–Sociedad, en el proceso de construcción de relaciones de propiedad socialista, por tanto, aparecen sistemas de dirección de la economía cuyo funcionamiento se realiza en las mediaciones de la base y la superestructura, para asegurar la correspondencia de las fuerzas productivas y las relaciones sociales de producción, como un momento dentro del proceso sistémico de</w:t>
      </w:r>
      <w:r w:rsidR="00A52EB3">
        <w:rPr>
          <w:rFonts w:ascii="Times New Roman" w:eastAsia="Times New Roman" w:hAnsi="Times New Roman" w:cs="Times New Roman"/>
          <w:sz w:val="24"/>
          <w:szCs w:val="24"/>
          <w:lang w:eastAsia="es-ES"/>
        </w:rPr>
        <w:t xml:space="preserve"> construcción de la nueva sociedad</w:t>
      </w:r>
      <w:r w:rsidRPr="00F77235">
        <w:rPr>
          <w:rFonts w:ascii="Times New Roman" w:eastAsia="Times New Roman" w:hAnsi="Times New Roman" w:cs="Times New Roman"/>
          <w:sz w:val="24"/>
          <w:szCs w:val="24"/>
          <w:lang w:eastAsia="es-ES"/>
        </w:rPr>
        <w:t xml:space="preserve"> y en última instancia en la formación de la propiedad socialista, elemento medular en la solución de la contradicción enajenación–emancipación.</w:t>
      </w:r>
    </w:p>
    <w:p w:rsidR="00F77235" w:rsidRPr="00F77235" w:rsidRDefault="00F77235" w:rsidP="00F77235">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77235">
        <w:rPr>
          <w:rFonts w:ascii="Times New Roman" w:eastAsia="Times New Roman" w:hAnsi="Times New Roman" w:cs="Times New Roman"/>
          <w:sz w:val="24"/>
          <w:szCs w:val="24"/>
          <w:lang w:eastAsia="es-ES"/>
        </w:rPr>
        <w:t xml:space="preserve"> El establecimiento de los primeros sistemas de dirección económica estuvo acompañado de un medular debate sobre la opción de dos corrientes de pensamiento que optaban por la aplicación del Sistema de Financiamiento Presupuestario (SFP) ─encabezado por el Che─ y El Sistema de Autogestión, liderado por Carlos Rafael Rodríguez. El debate reflejó la posición del pensamiento revolucionario cubano en la búsqueda de un modelo de construcción socialista y demostró la capacidad de ese pensamiento para entrar en el campo de la teoría económica desde las posiciones del marxismo. </w:t>
      </w:r>
    </w:p>
    <w:p w:rsidR="00F77235" w:rsidRPr="00F77235" w:rsidRDefault="00F77235" w:rsidP="00F77235">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77235">
        <w:rPr>
          <w:rFonts w:ascii="Times New Roman" w:eastAsia="Times New Roman" w:hAnsi="Times New Roman" w:cs="Times New Roman"/>
          <w:sz w:val="24"/>
          <w:szCs w:val="24"/>
          <w:lang w:eastAsia="es-ES"/>
        </w:rPr>
        <w:t xml:space="preserve"> Ambos sistemas tuvieron factores que lo favorecieron y otros que lo entorpecieron. La carencia de fondos del país obligó a la centralización, y la prolijidad de la pequeña producción mercantil en la industria exigía de una racionalidad que encontró su primera versión en los llamados </w:t>
      </w:r>
      <w:r w:rsidRPr="00F77235">
        <w:rPr>
          <w:rFonts w:ascii="Times New Roman" w:eastAsia="Times New Roman" w:hAnsi="Times New Roman" w:cs="Times New Roman"/>
          <w:i/>
          <w:iCs/>
          <w:sz w:val="24"/>
          <w:szCs w:val="24"/>
          <w:lang w:eastAsia="es-ES"/>
        </w:rPr>
        <w:t>consolidados</w:t>
      </w:r>
      <w:r w:rsidRPr="00F77235">
        <w:rPr>
          <w:rFonts w:ascii="Times New Roman" w:eastAsia="Times New Roman" w:hAnsi="Times New Roman" w:cs="Times New Roman"/>
          <w:sz w:val="24"/>
          <w:szCs w:val="24"/>
          <w:lang w:eastAsia="es-ES"/>
        </w:rPr>
        <w:t xml:space="preserve"> y </w:t>
      </w:r>
      <w:r w:rsidRPr="00F77235">
        <w:rPr>
          <w:rFonts w:ascii="Times New Roman" w:eastAsia="Times New Roman" w:hAnsi="Times New Roman" w:cs="Times New Roman"/>
          <w:i/>
          <w:iCs/>
          <w:sz w:val="24"/>
          <w:szCs w:val="24"/>
          <w:lang w:eastAsia="es-ES"/>
        </w:rPr>
        <w:t>empresas consolidadas</w:t>
      </w:r>
      <w:r w:rsidRPr="00F77235">
        <w:rPr>
          <w:rFonts w:ascii="Times New Roman" w:eastAsia="Times New Roman" w:hAnsi="Times New Roman" w:cs="Times New Roman"/>
          <w:sz w:val="24"/>
          <w:szCs w:val="24"/>
          <w:lang w:eastAsia="es-ES"/>
        </w:rPr>
        <w:t xml:space="preserve">. </w:t>
      </w:r>
    </w:p>
    <w:p w:rsidR="00F77235" w:rsidRPr="00F77235" w:rsidRDefault="00F77235" w:rsidP="00F77235">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77235">
        <w:rPr>
          <w:rFonts w:ascii="Times New Roman" w:eastAsia="Times New Roman" w:hAnsi="Times New Roman" w:cs="Times New Roman"/>
          <w:sz w:val="24"/>
          <w:szCs w:val="24"/>
          <w:lang w:eastAsia="es-ES"/>
        </w:rPr>
        <w:t xml:space="preserve"> El centro de la concepción del Che está en la formación del hombre nuevo como premisa y producto del socialismo, objetivo implícito en la creación de la empresa consolidada en la que se minimizaba la acción de las relaciones monetario mercantiles al no existir la compra–venta entre los eslabones de la empresa (sus unidades productivas), por lo que </w:t>
      </w:r>
      <w:r w:rsidR="00A52EB3" w:rsidRPr="00F77235">
        <w:rPr>
          <w:rFonts w:ascii="Times New Roman" w:eastAsia="Times New Roman" w:hAnsi="Times New Roman" w:cs="Times New Roman"/>
          <w:sz w:val="24"/>
          <w:szCs w:val="24"/>
          <w:lang w:eastAsia="es-ES"/>
        </w:rPr>
        <w:t>está</w:t>
      </w:r>
      <w:r w:rsidR="00A52EB3">
        <w:rPr>
          <w:rFonts w:ascii="Times New Roman" w:eastAsia="Times New Roman" w:hAnsi="Times New Roman" w:cs="Times New Roman"/>
          <w:sz w:val="24"/>
          <w:szCs w:val="24"/>
          <w:lang w:eastAsia="es-ES"/>
        </w:rPr>
        <w:t xml:space="preserve"> va lo interno</w:t>
      </w:r>
      <w:r w:rsidRPr="00F77235">
        <w:rPr>
          <w:rFonts w:ascii="Times New Roman" w:eastAsia="Times New Roman" w:hAnsi="Times New Roman" w:cs="Times New Roman"/>
          <w:sz w:val="24"/>
          <w:szCs w:val="24"/>
          <w:lang w:eastAsia="es-ES"/>
        </w:rPr>
        <w:t xml:space="preserve"> se consideraba no productora de mercancías.</w:t>
      </w:r>
    </w:p>
    <w:p w:rsidR="00F77235" w:rsidRPr="00F77235" w:rsidRDefault="00F77235" w:rsidP="00F77235">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77235">
        <w:rPr>
          <w:rFonts w:ascii="Times New Roman" w:eastAsia="Times New Roman" w:hAnsi="Times New Roman" w:cs="Times New Roman"/>
          <w:sz w:val="24"/>
          <w:szCs w:val="24"/>
          <w:lang w:eastAsia="es-ES"/>
        </w:rPr>
        <w:t xml:space="preserve"> Dada la extensión y peso específico de la producción industrial, el SFP desarrollado en el Ministerio de Industrias, tuvo efectos a nivel de toda la sociedad y su actividad se tornó multiplicadora por su alto contenido político y los nuevos valores que representaba. </w:t>
      </w:r>
    </w:p>
    <w:p w:rsidR="00F77235" w:rsidRPr="00F77235" w:rsidRDefault="00F77235" w:rsidP="00F77235">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77235">
        <w:rPr>
          <w:rFonts w:ascii="Times New Roman" w:eastAsia="Times New Roman" w:hAnsi="Times New Roman" w:cs="Times New Roman"/>
          <w:sz w:val="24"/>
          <w:szCs w:val="24"/>
          <w:lang w:eastAsia="es-ES"/>
        </w:rPr>
        <w:t xml:space="preserve"> Aunque el SFP tenía una estructura lógica como proyecto teórico, el contexto de creciente propiedad estatal y centralización ─que el propio SFP facilitaba─, dificultó en la práctica, la acción de la </w:t>
      </w:r>
      <w:r w:rsidRPr="00F77235">
        <w:rPr>
          <w:rFonts w:ascii="Times New Roman" w:eastAsia="Times New Roman" w:hAnsi="Times New Roman" w:cs="Times New Roman"/>
          <w:i/>
          <w:iCs/>
          <w:sz w:val="24"/>
          <w:szCs w:val="24"/>
          <w:lang w:eastAsia="es-ES"/>
        </w:rPr>
        <w:t>organización</w:t>
      </w:r>
      <w:r w:rsidRPr="00F77235">
        <w:rPr>
          <w:rFonts w:ascii="Times New Roman" w:eastAsia="Times New Roman" w:hAnsi="Times New Roman" w:cs="Times New Roman"/>
          <w:sz w:val="24"/>
          <w:szCs w:val="24"/>
          <w:lang w:eastAsia="es-ES"/>
        </w:rPr>
        <w:t xml:space="preserve"> como función de la dirección, extensivo además a las otras funciones de la </w:t>
      </w:r>
      <w:bookmarkStart w:id="13" w:name="_ftnref14"/>
      <w:r w:rsidR="00A52EB3" w:rsidRPr="00F77235">
        <w:rPr>
          <w:rFonts w:ascii="Times New Roman" w:eastAsia="Times New Roman" w:hAnsi="Times New Roman" w:cs="Times New Roman"/>
          <w:sz w:val="24"/>
          <w:szCs w:val="24"/>
          <w:lang w:eastAsia="es-ES"/>
        </w:rPr>
        <w:t>dirección. [</w:t>
      </w:r>
      <w:r w:rsidRPr="00F77235">
        <w:rPr>
          <w:rFonts w:ascii="Times New Roman" w:eastAsia="Times New Roman" w:hAnsi="Times New Roman" w:cs="Times New Roman"/>
          <w:sz w:val="24"/>
          <w:szCs w:val="24"/>
          <w:lang w:eastAsia="es-ES"/>
        </w:rPr>
        <w:t>14]</w:t>
      </w:r>
      <w:bookmarkEnd w:id="13"/>
    </w:p>
    <w:p w:rsidR="00F77235" w:rsidRPr="00F77235" w:rsidRDefault="00F77235" w:rsidP="00F77235">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77235">
        <w:rPr>
          <w:rFonts w:ascii="Times New Roman" w:eastAsia="Times New Roman" w:hAnsi="Times New Roman" w:cs="Times New Roman"/>
          <w:sz w:val="24"/>
          <w:szCs w:val="24"/>
          <w:lang w:eastAsia="es-ES"/>
        </w:rPr>
        <w:t xml:space="preserve"> La experiencia del SFP devino espacio para el desarrollo del pensamiento teórico, tanto en materia de dirección económica como filosófica y en la formación de la economía política del socialismo. El pensamiento del Che desplegado a tenor de su actividad al frente del Ministerio de Industrias constituye un patrimonio que ha de ser baluarte y guía en la construcción socialista. </w:t>
      </w:r>
    </w:p>
    <w:p w:rsidR="00F77235" w:rsidRPr="00F77235" w:rsidRDefault="00F77235" w:rsidP="00F77235">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77235">
        <w:rPr>
          <w:rFonts w:ascii="Times New Roman" w:eastAsia="Times New Roman" w:hAnsi="Times New Roman" w:cs="Times New Roman"/>
          <w:sz w:val="24"/>
          <w:szCs w:val="24"/>
          <w:lang w:eastAsia="es-ES"/>
        </w:rPr>
        <w:t> En el caso del Sistema de Autogestión, fue la respuesta a las condiciones concretas de la agricultura fundamentalmente, sector que se conmovió tempranamente por las transformaciones agrarias.</w:t>
      </w:r>
    </w:p>
    <w:p w:rsidR="00F77235" w:rsidRPr="00F77235" w:rsidRDefault="00F77235" w:rsidP="00F77235">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77235">
        <w:rPr>
          <w:rFonts w:ascii="Times New Roman" w:eastAsia="Times New Roman" w:hAnsi="Times New Roman" w:cs="Times New Roman"/>
          <w:sz w:val="24"/>
          <w:szCs w:val="24"/>
          <w:lang w:eastAsia="es-ES"/>
        </w:rPr>
        <w:t xml:space="preserve"> El nivel de complejidad de las relaciones de producción socialistas efectivas en la agricultura es superior al de la industria si se tiene en cuenta la diversidad de factores que intervienen en el proceso de producción agrícola. Amén de los factores naturales, el contenido revolucionario de las transformaciones que se dan en Cuba a partir de la primera Ley de Reforma Agraria le imprimen cambios cuantitativos y cualitativos vertiginosos e inéditos en un sector donde el subdesarrollo había penetrado más, </w:t>
      </w:r>
      <w:r w:rsidR="00A52EB3">
        <w:rPr>
          <w:rFonts w:ascii="Times New Roman" w:eastAsia="Times New Roman" w:hAnsi="Times New Roman" w:cs="Times New Roman"/>
          <w:sz w:val="24"/>
          <w:szCs w:val="24"/>
          <w:lang w:eastAsia="es-ES"/>
        </w:rPr>
        <w:t>a</w:t>
      </w:r>
      <w:r w:rsidRPr="00F77235">
        <w:rPr>
          <w:rFonts w:ascii="Times New Roman" w:eastAsia="Times New Roman" w:hAnsi="Times New Roman" w:cs="Times New Roman"/>
          <w:sz w:val="24"/>
          <w:szCs w:val="24"/>
          <w:lang w:eastAsia="es-ES"/>
        </w:rPr>
        <w:t xml:space="preserve">signando el campo cubano de prácticas económicas </w:t>
      </w:r>
      <w:r w:rsidR="00A52EB3" w:rsidRPr="00F77235">
        <w:rPr>
          <w:rFonts w:ascii="Times New Roman" w:eastAsia="Times New Roman" w:hAnsi="Times New Roman" w:cs="Times New Roman"/>
          <w:sz w:val="24"/>
          <w:szCs w:val="24"/>
          <w:lang w:eastAsia="es-ES"/>
        </w:rPr>
        <w:t>pre capitalistas</w:t>
      </w:r>
      <w:r w:rsidRPr="00F77235">
        <w:rPr>
          <w:rFonts w:ascii="Times New Roman" w:eastAsia="Times New Roman" w:hAnsi="Times New Roman" w:cs="Times New Roman"/>
          <w:sz w:val="24"/>
          <w:szCs w:val="24"/>
          <w:lang w:eastAsia="es-ES"/>
        </w:rPr>
        <w:t xml:space="preserve">. La aguda lucha de clases que caracteriza las transformaciones agrarias potenció el protagonismo de la política en el establecimiento y desarrollo de las nuevas relaciones sociales de producción a través de una relación Estado-campesinado-obrero cooperativista-obrero asalariado. En el nivel de las relaciones tecnológica-organizativas se expresa la sinuosidad de los ritmos </w:t>
      </w:r>
      <w:r w:rsidR="00000046" w:rsidRPr="00F77235">
        <w:rPr>
          <w:rFonts w:ascii="Times New Roman" w:eastAsia="Times New Roman" w:hAnsi="Times New Roman" w:cs="Times New Roman"/>
          <w:sz w:val="24"/>
          <w:szCs w:val="24"/>
          <w:lang w:eastAsia="es-ES"/>
        </w:rPr>
        <w:t>del proceso transformativo</w:t>
      </w:r>
      <w:r w:rsidRPr="00F77235">
        <w:rPr>
          <w:rFonts w:ascii="Times New Roman" w:eastAsia="Times New Roman" w:hAnsi="Times New Roman" w:cs="Times New Roman"/>
          <w:sz w:val="24"/>
          <w:szCs w:val="24"/>
          <w:lang w:eastAsia="es-ES"/>
        </w:rPr>
        <w:t xml:space="preserve">, en los constantes cambios en la estructura organizativa de la </w:t>
      </w:r>
      <w:bookmarkStart w:id="14" w:name="_ftnref15"/>
      <w:r w:rsidR="00000046" w:rsidRPr="00F77235">
        <w:rPr>
          <w:rFonts w:ascii="Times New Roman" w:eastAsia="Times New Roman" w:hAnsi="Times New Roman" w:cs="Times New Roman"/>
          <w:sz w:val="24"/>
          <w:szCs w:val="24"/>
          <w:lang w:eastAsia="es-ES"/>
        </w:rPr>
        <w:t>agricultura. [</w:t>
      </w:r>
      <w:r w:rsidRPr="00F77235">
        <w:rPr>
          <w:rFonts w:ascii="Times New Roman" w:eastAsia="Times New Roman" w:hAnsi="Times New Roman" w:cs="Times New Roman"/>
          <w:sz w:val="24"/>
          <w:szCs w:val="24"/>
          <w:lang w:eastAsia="es-ES"/>
        </w:rPr>
        <w:t>15]</w:t>
      </w:r>
      <w:bookmarkEnd w:id="14"/>
    </w:p>
    <w:p w:rsidR="00F77235" w:rsidRPr="00F77235" w:rsidRDefault="00F77235" w:rsidP="00F77235">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77235">
        <w:rPr>
          <w:rFonts w:ascii="Times New Roman" w:eastAsia="Times New Roman" w:hAnsi="Times New Roman" w:cs="Times New Roman"/>
          <w:sz w:val="24"/>
          <w:szCs w:val="24"/>
          <w:lang w:eastAsia="es-ES"/>
        </w:rPr>
        <w:t xml:space="preserve"> El establecimiento del mecanismo económico para la agricultura cubana en vías de transformación socialista tenía que pasar por la adecuación a determinadas exigencias históricas del campo cubano, resultado de seculares luchas económicas y sociales en su abigarrada composición de campesinos pobres y proletarios rurales, sobre todo en sectores de probada combatividad y cultura política, como el azucarero. De ahí que el contenido emancipatorio de la acción de los mecanismos de dirección, canalizaran puntualmente el pensamiento estratégico de la Revolución en un escenario rural, complejizado en extremo por la acción hostil de los enemigos de clase interno y externo. La audacia de la dirección de la Revolución en la aplicación de las medidas transformativas hizo posible en corto plazo la realización de las leyes agrarias (sobre todo la primera), pero esa celeridad repercutió contradictoriamente en los mecanismos, como relaciones técnico-organizativas dirigidas ─en su dimensión política (con gran peso de justificado </w:t>
      </w:r>
      <w:r w:rsidR="00000046" w:rsidRPr="00F77235">
        <w:rPr>
          <w:rFonts w:ascii="Times New Roman" w:eastAsia="Times New Roman" w:hAnsi="Times New Roman" w:cs="Times New Roman"/>
          <w:sz w:val="24"/>
          <w:szCs w:val="24"/>
          <w:lang w:eastAsia="es-ES"/>
        </w:rPr>
        <w:t>voluntarismo) ─</w:t>
      </w:r>
      <w:r w:rsidRPr="00F77235">
        <w:rPr>
          <w:rFonts w:ascii="Times New Roman" w:eastAsia="Times New Roman" w:hAnsi="Times New Roman" w:cs="Times New Roman"/>
          <w:sz w:val="24"/>
          <w:szCs w:val="24"/>
          <w:lang w:eastAsia="es-ES"/>
        </w:rPr>
        <w:t xml:space="preserve"> a fomentar nuevas relaciones de producción en la agricultura.</w:t>
      </w:r>
    </w:p>
    <w:p w:rsidR="00F77235" w:rsidRPr="00F77235" w:rsidRDefault="00F77235" w:rsidP="00F77235">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77235">
        <w:rPr>
          <w:rFonts w:ascii="Times New Roman" w:eastAsia="Times New Roman" w:hAnsi="Times New Roman" w:cs="Times New Roman"/>
          <w:sz w:val="24"/>
          <w:szCs w:val="24"/>
          <w:lang w:eastAsia="es-ES"/>
        </w:rPr>
        <w:t> Todo el proceso de transformaciones agrarias, estuvo presidido por la movilización política en el sentido del establecimiento de la nueva propiedad y la defensa de la misma, en un medio geográfico de relativa facilidad para la acción militar del enemigo.</w:t>
      </w:r>
      <w:bookmarkStart w:id="15" w:name="_ftnref16"/>
      <w:r w:rsidRPr="00F77235">
        <w:rPr>
          <w:rFonts w:ascii="Times New Roman" w:eastAsia="Times New Roman" w:hAnsi="Times New Roman" w:cs="Times New Roman"/>
          <w:sz w:val="24"/>
          <w:szCs w:val="24"/>
          <w:lang w:eastAsia="es-ES"/>
        </w:rPr>
        <w:t>[16]</w:t>
      </w:r>
      <w:bookmarkEnd w:id="15"/>
      <w:r w:rsidRPr="00F77235">
        <w:rPr>
          <w:rFonts w:ascii="Times New Roman" w:eastAsia="Times New Roman" w:hAnsi="Times New Roman" w:cs="Times New Roman"/>
          <w:sz w:val="24"/>
          <w:szCs w:val="24"/>
          <w:lang w:eastAsia="es-ES"/>
        </w:rPr>
        <w:t xml:space="preserve"> La creación de las milicias campesinas y la Lucha Contra Bandidos, son momentos de afianzamiento político que tributa al establecimiento y desarrollo de la alianza obrero campesina, lo que eleva el contenido emancipatorio de este proceso a nivel de toda la sociedad.</w:t>
      </w:r>
    </w:p>
    <w:p w:rsidR="00F77235" w:rsidRPr="00F77235" w:rsidRDefault="00F77235" w:rsidP="00F77235">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77235">
        <w:rPr>
          <w:rFonts w:ascii="Times New Roman" w:eastAsia="Times New Roman" w:hAnsi="Times New Roman" w:cs="Times New Roman"/>
          <w:sz w:val="24"/>
          <w:szCs w:val="24"/>
          <w:lang w:eastAsia="es-ES"/>
        </w:rPr>
        <w:t> El Sistema de Autogestión se enfocaba al logro de relaciones de propiedad de nuevo tipo, como base del desarrollo nacional, en la concepción de una economía planificada, expresión de los intereses sociales, en una estrategia de desarrollo que –aunque movida por la dinámica de la particular hostilidad enemiga─ siempre tuvo como objetivo final romper las trabas del subdesarrollo como meta inicial en el proceso de emancipación humana. El peso determinante de la agricultura en esa estrategia y la imposición objetiva de la celeridad de los cambios, unido a la inexperiencia de los cuadros –tanto en la base donde era fácil el predominio del entusiasmo, como en la dirección central, donde no había tiempo suficiente para meditar sobre la complejidad del proceso (agréguese la insuficiencia de la teoría revolucionaria)─ fue imponiendo mecanismos cada vez más centralizadores, lo que chocaba con la concepción del cálculo económico cuyos principios se basan en la autonomía empresarial.</w:t>
      </w:r>
    </w:p>
    <w:p w:rsidR="00F77235" w:rsidRPr="00F77235" w:rsidRDefault="00F77235" w:rsidP="00F77235">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77235">
        <w:rPr>
          <w:rFonts w:ascii="Times New Roman" w:eastAsia="Times New Roman" w:hAnsi="Times New Roman" w:cs="Times New Roman"/>
          <w:sz w:val="24"/>
          <w:szCs w:val="24"/>
          <w:lang w:eastAsia="es-ES"/>
        </w:rPr>
        <w:t> Hay que tener presente que las transformaciones económicas en el campo provocan cambios sociales y espirituales, que van formando nuevas personalidades en la población rural, que fue modificando su estructura y composición social por la entrada de fuerza de trabajo de origen no campesina ─ni siquiera rural─, y el drenaje que se produce en la población puramente campesina o rural por la emigración hacia la ciudad por motivos dados en el proceso revolucionario que envuelve a toda la sociedad y la mezcla en todas direcciones. De ahí que las transformaciones agrarias, y por tanto las relaciones de propiedad socialista, no pudieron contar con la influencia de un proceso evolutivo, sino que se caracterizó por la ruptura brusca y radical de las formas de posesión anteriores y el proceso de desarrollo de las fuerzas productivas se instrumentó centralmente a través de una estrategia de desarrollo nacional liderado por la política. Este acelerado proceso dirigido conscientemente de manera institucional constituye un “salto” en la lógica del desarrollo de las fuerzas productivas a través de la división social del trabajo y su correspondencia en las relaciones de propiedad, lo que inevitablemente se traduce en nuevas formas de producción, de apropiación y la reproducción de las condiciones sociales de existencia. Una mirada simplista podría considerar que todo sería positivo en las nuevas condiciones emancipatorias, pero la práctica, como espacio de toda la complejidad, muestra que no tiene que ser así, lo que se corrobora en los bajos índices de productividad del agro cubano.</w:t>
      </w:r>
    </w:p>
    <w:p w:rsidR="00F77235" w:rsidRPr="00F77235" w:rsidRDefault="00F77235" w:rsidP="00F77235">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77235">
        <w:rPr>
          <w:rFonts w:ascii="Times New Roman" w:eastAsia="Times New Roman" w:hAnsi="Times New Roman" w:cs="Times New Roman"/>
          <w:sz w:val="24"/>
          <w:szCs w:val="24"/>
          <w:lang w:eastAsia="es-ES"/>
        </w:rPr>
        <w:t xml:space="preserve"> El nivel de emancipación logrado por la Revolución en la sociedad cubana se fue marcando en las victorias militares y sociales logradas ante un enemigo que iba aumentando su agresividad. Esto ha potenciado sobremanera el factor político, colocándolo en la universalidad de la actividad social. En un sentido negativo esto tiende al pensamiento simplista en la conciencia cotidiana concentrado en el fenómeno y alejado de la esencia. Es así que se produce la subvaloración inconsciente de las relaciones de propiedad socialista a partir del proceso de trabajo, bajo la concepción errónea de reducir la propiedad socialista a la propiedad estatal. Aunque el Estado como forma de </w:t>
      </w:r>
      <w:r w:rsidRPr="00F77235">
        <w:rPr>
          <w:rFonts w:ascii="Times New Roman" w:eastAsia="Times New Roman" w:hAnsi="Times New Roman" w:cs="Times New Roman"/>
          <w:i/>
          <w:iCs/>
          <w:sz w:val="24"/>
          <w:szCs w:val="24"/>
          <w:lang w:eastAsia="es-ES"/>
        </w:rPr>
        <w:t>organización del poder público</w:t>
      </w:r>
      <w:r w:rsidRPr="00F77235">
        <w:rPr>
          <w:rFonts w:ascii="Times New Roman" w:eastAsia="Times New Roman" w:hAnsi="Times New Roman" w:cs="Times New Roman"/>
          <w:sz w:val="24"/>
          <w:szCs w:val="24"/>
          <w:lang w:eastAsia="es-ES"/>
        </w:rPr>
        <w:t xml:space="preserve"> sea contentivo del interés nacional, su función como </w:t>
      </w:r>
      <w:r w:rsidRPr="00F77235">
        <w:rPr>
          <w:rFonts w:ascii="Times New Roman" w:eastAsia="Times New Roman" w:hAnsi="Times New Roman" w:cs="Times New Roman"/>
          <w:i/>
          <w:iCs/>
          <w:sz w:val="24"/>
          <w:szCs w:val="24"/>
          <w:lang w:eastAsia="es-ES"/>
        </w:rPr>
        <w:t xml:space="preserve">institución </w:t>
      </w:r>
      <w:r w:rsidRPr="00F77235">
        <w:rPr>
          <w:rFonts w:ascii="Times New Roman" w:eastAsia="Times New Roman" w:hAnsi="Times New Roman" w:cs="Times New Roman"/>
          <w:sz w:val="24"/>
          <w:szCs w:val="24"/>
          <w:lang w:eastAsia="es-ES"/>
        </w:rPr>
        <w:t xml:space="preserve">ha contrariado en la práctica aquella función esencial. En esa dirección, los mecanismos económicos adoptaron formas concretas de romanticismo ─sistema de Registro Económico a partir de 1966 hasta inicios de los 70─, tal como lo recogió el Informe al I Congreso del </w:t>
      </w:r>
      <w:bookmarkStart w:id="16" w:name="_ftnref17"/>
      <w:r w:rsidR="00BD1F96" w:rsidRPr="00F77235">
        <w:rPr>
          <w:rFonts w:ascii="Times New Roman" w:eastAsia="Times New Roman" w:hAnsi="Times New Roman" w:cs="Times New Roman"/>
          <w:sz w:val="24"/>
          <w:szCs w:val="24"/>
          <w:lang w:eastAsia="es-ES"/>
        </w:rPr>
        <w:t>PCC. [</w:t>
      </w:r>
      <w:r w:rsidRPr="00F77235">
        <w:rPr>
          <w:rFonts w:ascii="Times New Roman" w:eastAsia="Times New Roman" w:hAnsi="Times New Roman" w:cs="Times New Roman"/>
          <w:sz w:val="24"/>
          <w:szCs w:val="24"/>
          <w:lang w:eastAsia="es-ES"/>
        </w:rPr>
        <w:t>17]</w:t>
      </w:r>
      <w:bookmarkEnd w:id="16"/>
    </w:p>
    <w:p w:rsidR="00F77235" w:rsidRPr="00F77235" w:rsidRDefault="00F77235" w:rsidP="00F77235">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77235">
        <w:rPr>
          <w:rFonts w:ascii="Times New Roman" w:eastAsia="Times New Roman" w:hAnsi="Times New Roman" w:cs="Times New Roman"/>
          <w:sz w:val="24"/>
          <w:szCs w:val="24"/>
          <w:lang w:eastAsia="es-ES"/>
        </w:rPr>
        <w:t> Las insuficiencias de los sistemas de dirección anteriores a 1975, propiciaron la emergencia del Sistema de Dirección y Planificación de la Economía (SDPE), basado en el cálculo económico como método de gestión empresarial, cuya esencia partía de la rentabilidad y se consideraba exitoso en la experiencia de la URSS y otros países socialistas. Era considerado además por la academia soviética como categoría económica del socialismo, error básico que llevaba a la creencia de que su sola aplicación era suficiente para lograr el desarrollo socialista.</w:t>
      </w:r>
    </w:p>
    <w:p w:rsidR="00F77235" w:rsidRPr="00F77235" w:rsidRDefault="00F77235" w:rsidP="00F77235">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77235">
        <w:rPr>
          <w:rFonts w:ascii="Times New Roman" w:eastAsia="Times New Roman" w:hAnsi="Times New Roman" w:cs="Times New Roman"/>
          <w:sz w:val="24"/>
          <w:szCs w:val="24"/>
          <w:lang w:eastAsia="es-ES"/>
        </w:rPr>
        <w:t> El uso expedito del cálculo económico a partir del I Congreso del PCC, era la coronación de ese método de administración que, tras una época en que fue hostigado y develado como anacrónico por la mirada incisiva del Che, ahora lograba imponerse ante la fragilidad de un oponente (el Registro Económico) desprestigiado e inoperante. No obstante la reserva con que fue aceptado por la Dirección del PCC ─al considerar que ningún mecanismo económico podía sustituir el trabajo político─, las relaciones tecnológico organizativas desvirtuaron los objetivos políticos trazados, produciendo inarmonías políticas.</w:t>
      </w:r>
    </w:p>
    <w:p w:rsidR="00F77235" w:rsidRPr="00F77235" w:rsidRDefault="00F77235" w:rsidP="00F77235">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77235">
        <w:rPr>
          <w:rFonts w:ascii="Times New Roman" w:eastAsia="Times New Roman" w:hAnsi="Times New Roman" w:cs="Times New Roman"/>
          <w:sz w:val="24"/>
          <w:szCs w:val="24"/>
          <w:lang w:eastAsia="es-ES"/>
        </w:rPr>
        <w:t xml:space="preserve"> En la meta de lograr la llamada socialización por el hegemonismo de la propiedad estatal se pierde de vista la radiación de mediaciones que actúan objetivamente entre la base económica y la </w:t>
      </w:r>
      <w:r w:rsidR="00BD1F96" w:rsidRPr="00F77235">
        <w:rPr>
          <w:rFonts w:ascii="Times New Roman" w:eastAsia="Times New Roman" w:hAnsi="Times New Roman" w:cs="Times New Roman"/>
          <w:sz w:val="24"/>
          <w:szCs w:val="24"/>
          <w:lang w:eastAsia="es-ES"/>
        </w:rPr>
        <w:t>súper</w:t>
      </w:r>
      <w:r w:rsidR="00BD1F96">
        <w:rPr>
          <w:rFonts w:ascii="Times New Roman" w:eastAsia="Times New Roman" w:hAnsi="Times New Roman" w:cs="Times New Roman"/>
          <w:sz w:val="24"/>
          <w:szCs w:val="24"/>
          <w:lang w:eastAsia="es-ES"/>
        </w:rPr>
        <w:t xml:space="preserve"> </w:t>
      </w:r>
      <w:r w:rsidRPr="00F77235">
        <w:rPr>
          <w:rFonts w:ascii="Times New Roman" w:eastAsia="Times New Roman" w:hAnsi="Times New Roman" w:cs="Times New Roman"/>
          <w:sz w:val="24"/>
          <w:szCs w:val="24"/>
          <w:lang w:eastAsia="es-ES"/>
        </w:rPr>
        <w:t xml:space="preserve">estructura, es decir, el conjunto de acciones que atraviesan el tejido social como formas espirituales que intervienen no solo en la producción, sino también en la apropiación y reproducción de las condiciones de existencia en el proceso de producción social, cuyo contenido se realiza en la dialéctica objetiva de la contradicción enajenación–emancipación. </w:t>
      </w:r>
    </w:p>
    <w:p w:rsidR="00F77235" w:rsidRPr="00F77235" w:rsidRDefault="00F77235" w:rsidP="00F77235">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77235">
        <w:rPr>
          <w:rFonts w:ascii="Times New Roman" w:eastAsia="Times New Roman" w:hAnsi="Times New Roman" w:cs="Times New Roman"/>
          <w:sz w:val="24"/>
          <w:szCs w:val="24"/>
          <w:lang w:eastAsia="es-ES"/>
        </w:rPr>
        <w:t xml:space="preserve"> En la teoría imperante ─tomada de la academia soviética─ el tema de la propiedad estaba resuelto, como el vínculo del individuo con los medios de producción, lo que cristalizó en la aplicación del sentido jurídico al concepto de propiedad. Por extensión se conceptualizó la propiedad social como la propiedad socialista reducida a la propiedad estatal con el razonamiento simplista de que el Estado era el poder del pueblo y por tanto representativo de la sociedad y lo que era bueno para la sociedad, automáticamente lo era también para el individuo y los colectivos laborales. </w:t>
      </w:r>
    </w:p>
    <w:p w:rsidR="00F77235" w:rsidRPr="00F77235" w:rsidRDefault="00F77235" w:rsidP="00F77235">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77235">
        <w:rPr>
          <w:rFonts w:ascii="Times New Roman" w:eastAsia="Times New Roman" w:hAnsi="Times New Roman" w:cs="Times New Roman"/>
          <w:sz w:val="24"/>
          <w:szCs w:val="24"/>
          <w:lang w:eastAsia="es-ES"/>
        </w:rPr>
        <w:t xml:space="preserve"> En los años transcurridos hasta 1986, los sistemas de dirección de la economía aplicados no lograron la eficacia necesaria en el desarrollo de la propiedad socialista en la solución de la contradicción enajenación – emancipación. Sin embargo no se puede hablar de ausencia de contenido emancipatorio en el proceso de construcción socialista cubano en sentido amplio, si tenemos en cuenta el empoderamiento popular en el enfrentamiento de tareas no solo de defensa nacional sino también productivas. Pero el factor movilizador era el político, por lo que las relaciones sociales de la producción se expresaban como relaciones políticas en las cuales el individuo era capaz de ceder de sí a favor de la patria y no como un acto de apropiación donde a la par de la relación de la propiedad social se desarrollara la propiedad individual como relaciones de un mismo proceso. Negar el contenido emancipatorio sería un simplismo dogmático por demás, pues la dimensión política es bien enriquecedora en la medida correspondiente en la relación dialéctica entre economía y política. Es necesario partir de que la práctica política, como una </w:t>
      </w:r>
      <w:r w:rsidR="005B4C44">
        <w:rPr>
          <w:rFonts w:ascii="Times New Roman" w:eastAsia="Times New Roman" w:hAnsi="Times New Roman" w:cs="Times New Roman"/>
          <w:sz w:val="24"/>
          <w:szCs w:val="24"/>
          <w:lang w:eastAsia="es-ES"/>
        </w:rPr>
        <w:t>relación de la nueva sociedad</w:t>
      </w:r>
      <w:r w:rsidRPr="00F77235">
        <w:rPr>
          <w:rFonts w:ascii="Times New Roman" w:eastAsia="Times New Roman" w:hAnsi="Times New Roman" w:cs="Times New Roman"/>
          <w:sz w:val="24"/>
          <w:szCs w:val="24"/>
          <w:lang w:eastAsia="es-ES"/>
        </w:rPr>
        <w:t xml:space="preserve"> también está en construcción, </w:t>
      </w:r>
      <w:r w:rsidR="00176F5C" w:rsidRPr="00F77235">
        <w:rPr>
          <w:rFonts w:ascii="Times New Roman" w:eastAsia="Times New Roman" w:hAnsi="Times New Roman" w:cs="Times New Roman"/>
          <w:sz w:val="24"/>
          <w:szCs w:val="24"/>
          <w:lang w:eastAsia="es-ES"/>
        </w:rPr>
        <w:t>y,</w:t>
      </w:r>
      <w:bookmarkStart w:id="17" w:name="_GoBack"/>
      <w:bookmarkEnd w:id="17"/>
      <w:r w:rsidRPr="00F77235">
        <w:rPr>
          <w:rFonts w:ascii="Times New Roman" w:eastAsia="Times New Roman" w:hAnsi="Times New Roman" w:cs="Times New Roman"/>
          <w:sz w:val="24"/>
          <w:szCs w:val="24"/>
          <w:lang w:eastAsia="es-ES"/>
        </w:rPr>
        <w:t xml:space="preserve"> por tanto, debe ir liberándose de las formas y expresiones viejas, en la medida que el nuevo contenido exige nuevas formas. De lo contrario, emergerían las inarmonías políticas que ya han estado presentes en la experiencia internacional y en la cubana. </w:t>
      </w:r>
    </w:p>
    <w:p w:rsidR="00F77235" w:rsidRPr="00F77235" w:rsidRDefault="00F77235" w:rsidP="00F77235">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77235">
        <w:rPr>
          <w:rFonts w:ascii="Times New Roman" w:eastAsia="Times New Roman" w:hAnsi="Times New Roman" w:cs="Times New Roman"/>
          <w:sz w:val="24"/>
          <w:szCs w:val="24"/>
          <w:lang w:eastAsia="es-ES"/>
        </w:rPr>
        <w:t xml:space="preserve"> La construcción socialista es un proceso consciente por lo que el factor subjetivo desempeña un papel decisivo. El hecho de iniciar dicho proceso con la toma del poder político ─a diferencia de las FES anteriores─, hace que la experimentación se realice a través del ejercicio del poder y sus resultados alcancen a toda la sociedad. De ahí la gran responsabilidad que pesa sobre el Sistema Político, principalmente el partido y el Estado. Esto impone una mayor participación de la creatividad revolucionaria que, por otro lado –al no tener el aval de la práctica exitosa concluyente─ se torna dinámica, incierta y cambiante, aguijoneada y hostigada por las maniobras de un enemigo inteligente y poderoso. El Che, pionero innovador en la técnica de dirección en Cuba, hablaba de eliminar las categorías capitalistas y tomar sus últimos adelantos administrativos y </w:t>
      </w:r>
      <w:bookmarkStart w:id="18" w:name="_ftnref18"/>
      <w:r w:rsidR="005B4C44" w:rsidRPr="00F77235">
        <w:rPr>
          <w:rFonts w:ascii="Times New Roman" w:eastAsia="Times New Roman" w:hAnsi="Times New Roman" w:cs="Times New Roman"/>
          <w:sz w:val="24"/>
          <w:szCs w:val="24"/>
          <w:lang w:eastAsia="es-ES"/>
        </w:rPr>
        <w:t>tecnológicos. [</w:t>
      </w:r>
      <w:r w:rsidRPr="00F77235">
        <w:rPr>
          <w:rFonts w:ascii="Times New Roman" w:eastAsia="Times New Roman" w:hAnsi="Times New Roman" w:cs="Times New Roman"/>
          <w:sz w:val="24"/>
          <w:szCs w:val="24"/>
          <w:lang w:eastAsia="es-ES"/>
        </w:rPr>
        <w:t>18]</w:t>
      </w:r>
      <w:bookmarkEnd w:id="18"/>
    </w:p>
    <w:p w:rsidR="00F77235" w:rsidRPr="00F77235" w:rsidRDefault="00F77235" w:rsidP="00F77235">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77235">
        <w:rPr>
          <w:rFonts w:ascii="Times New Roman" w:eastAsia="Times New Roman" w:hAnsi="Times New Roman" w:cs="Times New Roman"/>
          <w:sz w:val="24"/>
          <w:szCs w:val="24"/>
          <w:lang w:eastAsia="es-ES"/>
        </w:rPr>
        <w:t> No es poco el peso que corresponde a las ciencias sociales en la construcción del socialismo. Pilares principales son la filosofía y la economía política, en la conceptualización general, sabiendo que estas necesitan de las ciencias particulares para su actuación y enriquecimiento. La Economía Política de la construcción socialista no ha sido creada aún, mientras la filosofía fue sistematizada por el marxismo soviético como materialismo dialéctico e histórico y manejada en función de intereses de un centro internacional autoproclamado albacea doctrinal y teórico de Marx, Engels y Lenin, y que convirtió la ciencia en sierva de la política.</w:t>
      </w:r>
    </w:p>
    <w:p w:rsidR="00F77235" w:rsidRPr="00F77235" w:rsidRDefault="00F77235" w:rsidP="00F77235">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77235">
        <w:rPr>
          <w:rFonts w:ascii="Times New Roman" w:eastAsia="Times New Roman" w:hAnsi="Times New Roman" w:cs="Times New Roman"/>
          <w:sz w:val="24"/>
          <w:szCs w:val="24"/>
          <w:lang w:eastAsia="es-ES"/>
        </w:rPr>
        <w:t> En las condiciones de Cuba, el debate teórico en las ciencias sociales –sobre todo de los temas políticos─ se trataba con reserva y se fue creando un prejuicio sobre la crítica, a tenor de la alta politización del proceso y la idealización en la c</w:t>
      </w:r>
      <w:r w:rsidR="00FC4B49">
        <w:rPr>
          <w:rFonts w:ascii="Times New Roman" w:eastAsia="Times New Roman" w:hAnsi="Times New Roman" w:cs="Times New Roman"/>
          <w:sz w:val="24"/>
          <w:szCs w:val="24"/>
          <w:lang w:eastAsia="es-ES"/>
        </w:rPr>
        <w:t>onciencia cotidiana del Estado R</w:t>
      </w:r>
      <w:r w:rsidRPr="00F77235">
        <w:rPr>
          <w:rFonts w:ascii="Times New Roman" w:eastAsia="Times New Roman" w:hAnsi="Times New Roman" w:cs="Times New Roman"/>
          <w:sz w:val="24"/>
          <w:szCs w:val="24"/>
          <w:lang w:eastAsia="es-ES"/>
        </w:rPr>
        <w:t>evolucionario y la identificación del enemigo con cualquier manifestación crítica hacia la Revolución. Esto facilitó la autocensura y la falsa unanimidad. El hegemonismo de la política y, como consecuencia, la injerencia del Partido en la administración, reforzó la tendencia a la simulación política de los individuos en la práctica laboral y profesional desde la ocupación de una plaza de obrero o un cargo administrativo o de dirección. Esto resulta dañino al Partido ya que parte de datos falsos, y por otro lado crea una mentalidad de triunfalismo y facilismo pues le es muy fácil “resolver” los problemas (económicos, políticos, ideológicos) con la compulsión y movilización política, lo que simplifica el ejercicio político, sustancialmente polémico y fruto natural de la adversidad.</w:t>
      </w:r>
    </w:p>
    <w:p w:rsidR="00F77235" w:rsidRPr="00F77235" w:rsidRDefault="00F77235" w:rsidP="00F77235">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77235">
        <w:rPr>
          <w:rFonts w:ascii="Times New Roman" w:eastAsia="Times New Roman" w:hAnsi="Times New Roman" w:cs="Times New Roman"/>
          <w:sz w:val="24"/>
          <w:szCs w:val="24"/>
          <w:lang w:eastAsia="es-ES"/>
        </w:rPr>
        <w:t xml:space="preserve"> La ausencia del debate teórico como una práctica constituye un aspecto negativo en la participación de las ciencias sociales en el proceso de construcción socialista, que tributa negativamente en el desarrollo de las prácticas emancipatorias y que pudieron beneficiar la búsqueda de los modelos económicos en la construcción socialista en Cuba. </w:t>
      </w:r>
    </w:p>
    <w:p w:rsidR="00F77235" w:rsidRPr="00F77235" w:rsidRDefault="00F77235" w:rsidP="00F77235">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77235">
        <w:rPr>
          <w:rFonts w:ascii="Times New Roman" w:eastAsia="Times New Roman" w:hAnsi="Times New Roman" w:cs="Times New Roman"/>
          <w:sz w:val="24"/>
          <w:szCs w:val="24"/>
          <w:lang w:eastAsia="es-ES"/>
        </w:rPr>
        <w:t xml:space="preserve"> En la complejidad que caracteriza el proceso de construcción socialista en Cuba a partir del subdesarrollo como eje del conjunto de particularidades, los efectos de la dirección de la economía necesariamente se expresan de manera dialécticamente contradictoria. De ahí que el carácter y contenido popular del </w:t>
      </w:r>
      <w:r w:rsidRPr="00F77235">
        <w:rPr>
          <w:rFonts w:ascii="Times New Roman" w:eastAsia="Times New Roman" w:hAnsi="Times New Roman" w:cs="Times New Roman"/>
          <w:i/>
          <w:iCs/>
          <w:sz w:val="24"/>
          <w:szCs w:val="24"/>
          <w:lang w:eastAsia="es-ES"/>
        </w:rPr>
        <w:t>Estado como organizador del poder público</w:t>
      </w:r>
      <w:r w:rsidRPr="00F77235">
        <w:rPr>
          <w:rFonts w:ascii="Times New Roman" w:eastAsia="Times New Roman" w:hAnsi="Times New Roman" w:cs="Times New Roman"/>
          <w:sz w:val="24"/>
          <w:szCs w:val="24"/>
          <w:lang w:eastAsia="es-ES"/>
        </w:rPr>
        <w:t xml:space="preserve"> se proyecte a tenor de la política del Partido, como lineamientos plenamente </w:t>
      </w:r>
      <w:r w:rsidR="00C134C9" w:rsidRPr="00F77235">
        <w:rPr>
          <w:rFonts w:ascii="Times New Roman" w:eastAsia="Times New Roman" w:hAnsi="Times New Roman" w:cs="Times New Roman"/>
          <w:sz w:val="24"/>
          <w:szCs w:val="24"/>
          <w:lang w:eastAsia="es-ES"/>
        </w:rPr>
        <w:t>emancipatorio</w:t>
      </w:r>
      <w:r w:rsidRPr="00F77235">
        <w:rPr>
          <w:rFonts w:ascii="Times New Roman" w:eastAsia="Times New Roman" w:hAnsi="Times New Roman" w:cs="Times New Roman"/>
          <w:sz w:val="24"/>
          <w:szCs w:val="24"/>
          <w:lang w:eastAsia="es-ES"/>
        </w:rPr>
        <w:t xml:space="preserve">. Sin embargo, las formas concretas de ejecución del poder tienen que traducirse en funciones del </w:t>
      </w:r>
      <w:r w:rsidRPr="00F77235">
        <w:rPr>
          <w:rFonts w:ascii="Times New Roman" w:eastAsia="Times New Roman" w:hAnsi="Times New Roman" w:cs="Times New Roman"/>
          <w:i/>
          <w:iCs/>
          <w:sz w:val="24"/>
          <w:szCs w:val="24"/>
          <w:lang w:eastAsia="es-ES"/>
        </w:rPr>
        <w:t>Estado como institución</w:t>
      </w:r>
      <w:r w:rsidRPr="00F77235">
        <w:rPr>
          <w:rFonts w:ascii="Times New Roman" w:eastAsia="Times New Roman" w:hAnsi="Times New Roman" w:cs="Times New Roman"/>
          <w:sz w:val="24"/>
          <w:szCs w:val="24"/>
          <w:lang w:eastAsia="es-ES"/>
        </w:rPr>
        <w:t xml:space="preserve">, a través de relaciones tecnológico-organizativas y técnicas de dirección, donde la subjetividad se torna determinante. En la práctica, ambos momentos del Estado en su correspondencia se han expresado de manera inarmónica, provocando disfunciones que no han contribuido a la resolución de la contradicción enajenación-emancipación, en el sentido humano, concebido por Marx, Engels y Lenin. </w:t>
      </w:r>
    </w:p>
    <w:p w:rsidR="00F77235" w:rsidRPr="00F77235" w:rsidRDefault="00F77235" w:rsidP="00F77235">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77235">
        <w:rPr>
          <w:rFonts w:ascii="Times New Roman" w:eastAsia="Times New Roman" w:hAnsi="Times New Roman" w:cs="Times New Roman"/>
          <w:sz w:val="24"/>
          <w:szCs w:val="24"/>
          <w:lang w:eastAsia="es-ES"/>
        </w:rPr>
        <w:t xml:space="preserve"> Al plantearnos el problema de la actuación de los mecanismos de dirección económica en su funcionamiento como momento determinante de la resolución enajenación-emancipación, como expresión concreta de la construcción socialista en Cuba durante el periodo de 1959 a 1986, concluimos que estos no han podido desempeñar su papel articulador del sistema de la propiedad socialista como núcleo del proceso emancipador socialista, como proceso encaminado </w:t>
      </w:r>
      <w:r w:rsidR="00C134C9">
        <w:rPr>
          <w:rFonts w:ascii="Times New Roman" w:eastAsia="Times New Roman" w:hAnsi="Times New Roman" w:cs="Times New Roman"/>
          <w:sz w:val="24"/>
          <w:szCs w:val="24"/>
          <w:lang w:eastAsia="es-ES"/>
        </w:rPr>
        <w:t>a la formación de una sociedad</w:t>
      </w:r>
      <w:r w:rsidRPr="00F77235">
        <w:rPr>
          <w:rFonts w:ascii="Times New Roman" w:eastAsia="Times New Roman" w:hAnsi="Times New Roman" w:cs="Times New Roman"/>
          <w:sz w:val="24"/>
          <w:szCs w:val="24"/>
          <w:lang w:eastAsia="es-ES"/>
        </w:rPr>
        <w:t xml:space="preserve"> tendiente al establecimiento de una sociedad de productores libres asociados. La insuficiencia de la dirección de la economía tiene como bases fundamentales la complejidad del proceso cuyo contenido particularmente contradictorio se ha multiplicado exponencialmente en la vorágine de la lucha defensiva, impregnando el universo de las relaciones sociales de un vanguardismo político que, al tiempo que ha desarrollado políticamente a las masas en su involucramiento, en su dialéctica objetiva, ha creado efectos contraproducentes, como la </w:t>
      </w:r>
      <w:r w:rsidR="00C134C9" w:rsidRPr="00F77235">
        <w:rPr>
          <w:rFonts w:ascii="Times New Roman" w:eastAsia="Times New Roman" w:hAnsi="Times New Roman" w:cs="Times New Roman"/>
          <w:sz w:val="24"/>
          <w:szCs w:val="24"/>
          <w:lang w:eastAsia="es-ES"/>
        </w:rPr>
        <w:t>suposición</w:t>
      </w:r>
      <w:r w:rsidRPr="00F77235">
        <w:rPr>
          <w:rFonts w:ascii="Times New Roman" w:eastAsia="Times New Roman" w:hAnsi="Times New Roman" w:cs="Times New Roman"/>
          <w:sz w:val="24"/>
          <w:szCs w:val="24"/>
          <w:lang w:eastAsia="es-ES"/>
        </w:rPr>
        <w:t xml:space="preserve"> de la economía en la dirección social y en la conciencia cotidiana. Ante tal complejidad, las ciencias sociales fueron insuficientes para dar respuesta a las problemáticas propias del desarrollo de la construcción socialista. </w:t>
      </w:r>
    </w:p>
    <w:p w:rsidR="00F77235" w:rsidRPr="00F77235" w:rsidRDefault="00F77235" w:rsidP="00F77235">
      <w:pPr>
        <w:spacing w:before="100" w:beforeAutospacing="1" w:after="100" w:afterAutospacing="1" w:line="240" w:lineRule="auto"/>
        <w:jc w:val="both"/>
        <w:rPr>
          <w:rFonts w:ascii="Times New Roman" w:eastAsia="Times New Roman" w:hAnsi="Times New Roman" w:cs="Times New Roman"/>
          <w:sz w:val="24"/>
          <w:szCs w:val="24"/>
          <w:lang w:eastAsia="es-ES"/>
        </w:rPr>
      </w:pPr>
      <w:r w:rsidRPr="00F77235">
        <w:rPr>
          <w:rFonts w:ascii="Times New Roman" w:eastAsia="Times New Roman" w:hAnsi="Times New Roman" w:cs="Times New Roman"/>
          <w:sz w:val="24"/>
          <w:szCs w:val="24"/>
          <w:lang w:eastAsia="es-ES"/>
        </w:rPr>
        <w:t xml:space="preserve"> Esto no niega bajo ningún concepto, la amplitud emancipatoria, material y espiritual del proyecto revolucionario cubano, que, en su riqueza filosófica, política y humana, rebasa los marcos puramente nacionales y en el tratamiento teórico trasciende los límites metodológicos del análisis de un aspecto determinado, aun tratando de hacerlo bajo una mirada integral (o lo más integral posible). Quedan inevitablemente fuera otros elementos, objeto de ciencias particulares, que deben contribuir a llenar esos vacíos. La permanencia de la Revolución Cubana por más de medio siglo frente al imperio más poderoso de estos tiempos, es la evidencia más completa del contenido emancipatorio de su obra. Pero sería irresponsabilidad histórica y necedad intelectual, no revisar con mirada crítica TODA la marcha de la construcción socialista como proceso dialéctico esencialmente contradictorio y el tema de la dirección de la economía resulta fundamental. </w:t>
      </w:r>
    </w:p>
    <w:p w:rsidR="00F77235" w:rsidRPr="00F77235" w:rsidRDefault="00F77235" w:rsidP="00F77235">
      <w:pPr>
        <w:spacing w:after="0" w:line="240" w:lineRule="auto"/>
        <w:rPr>
          <w:rFonts w:ascii="Times New Roman" w:eastAsia="Times New Roman" w:hAnsi="Times New Roman" w:cs="Times New Roman"/>
          <w:sz w:val="24"/>
          <w:szCs w:val="24"/>
          <w:lang w:eastAsia="es-ES"/>
        </w:rPr>
      </w:pPr>
      <w:r w:rsidRPr="00F77235">
        <w:rPr>
          <w:rFonts w:ascii="Times New Roman" w:eastAsia="Times New Roman" w:hAnsi="Times New Roman" w:cs="Times New Roman"/>
          <w:sz w:val="24"/>
          <w:szCs w:val="24"/>
          <w:lang w:eastAsia="es-ES"/>
        </w:rPr>
        <w:br w:type="textWrapping" w:clear="all"/>
      </w:r>
    </w:p>
    <w:p w:rsidR="00F77235" w:rsidRPr="00F77235" w:rsidRDefault="00176F5C" w:rsidP="00F77235">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pict>
          <v:rect id="_x0000_i1025" style="width:140.3pt;height:.75pt" o:hrpct="330" o:hrstd="t" o:hr="t" fillcolor="#a0a0a0" stroked="f"/>
        </w:pict>
      </w:r>
    </w:p>
    <w:p w:rsidR="00F77235" w:rsidRPr="00F77235" w:rsidRDefault="00F77235" w:rsidP="00F77235">
      <w:pPr>
        <w:spacing w:before="100" w:beforeAutospacing="1" w:after="100" w:afterAutospacing="1" w:line="240" w:lineRule="auto"/>
        <w:jc w:val="both"/>
        <w:rPr>
          <w:rFonts w:ascii="Times New Roman" w:eastAsia="Times New Roman" w:hAnsi="Times New Roman" w:cs="Times New Roman"/>
          <w:sz w:val="24"/>
          <w:szCs w:val="24"/>
          <w:lang w:eastAsia="es-ES"/>
        </w:rPr>
      </w:pPr>
      <w:bookmarkStart w:id="19" w:name="_ftn1"/>
      <w:r w:rsidRPr="00F77235">
        <w:rPr>
          <w:rFonts w:ascii="Times New Roman" w:eastAsia="Times New Roman" w:hAnsi="Times New Roman" w:cs="Times New Roman"/>
          <w:sz w:val="24"/>
          <w:szCs w:val="24"/>
          <w:lang w:eastAsia="es-ES"/>
        </w:rPr>
        <w:t>[1]</w:t>
      </w:r>
      <w:bookmarkEnd w:id="19"/>
      <w:r w:rsidRPr="00F77235">
        <w:rPr>
          <w:rFonts w:ascii="Times New Roman" w:eastAsia="Times New Roman" w:hAnsi="Times New Roman" w:cs="Times New Roman"/>
          <w:sz w:val="24"/>
          <w:szCs w:val="24"/>
          <w:lang w:eastAsia="es-ES"/>
        </w:rPr>
        <w:t xml:space="preserve"> Ver Meszarov, István: </w:t>
      </w:r>
      <w:r w:rsidRPr="00F77235">
        <w:rPr>
          <w:rFonts w:ascii="Times New Roman" w:eastAsia="Times New Roman" w:hAnsi="Times New Roman" w:cs="Times New Roman"/>
          <w:i/>
          <w:iCs/>
          <w:sz w:val="24"/>
          <w:szCs w:val="24"/>
          <w:lang w:eastAsia="es-ES"/>
        </w:rPr>
        <w:t>La teoría de</w:t>
      </w:r>
      <w:r w:rsidRPr="00F77235">
        <w:rPr>
          <w:rFonts w:ascii="Times New Roman" w:eastAsia="Times New Roman" w:hAnsi="Times New Roman" w:cs="Times New Roman"/>
          <w:sz w:val="24"/>
          <w:szCs w:val="24"/>
          <w:lang w:eastAsia="es-ES"/>
        </w:rPr>
        <w:t xml:space="preserve"> </w:t>
      </w:r>
      <w:r w:rsidRPr="00F77235">
        <w:rPr>
          <w:rFonts w:ascii="Times New Roman" w:eastAsia="Times New Roman" w:hAnsi="Times New Roman" w:cs="Times New Roman"/>
          <w:i/>
          <w:iCs/>
          <w:sz w:val="24"/>
          <w:szCs w:val="24"/>
          <w:lang w:eastAsia="es-ES"/>
        </w:rPr>
        <w:t xml:space="preserve">la enajenación en Marx. </w:t>
      </w:r>
      <w:r w:rsidRPr="00F77235">
        <w:rPr>
          <w:rFonts w:ascii="Times New Roman" w:eastAsia="Times New Roman" w:hAnsi="Times New Roman" w:cs="Times New Roman"/>
          <w:sz w:val="24"/>
          <w:szCs w:val="24"/>
          <w:lang w:eastAsia="es-ES"/>
        </w:rPr>
        <w:t>Editora de C. Sociales, La Habana 2005. Este autor utiliza el término de mediación de primer orden al estar el hombre identificado con la naturaleza, como parte orgánica de la misma, lo que hace que esta mediación constituya una automediación. O. cit. p. 7.</w:t>
      </w:r>
    </w:p>
    <w:p w:rsidR="00F77235" w:rsidRPr="00F77235" w:rsidRDefault="00F77235" w:rsidP="00F77235">
      <w:pPr>
        <w:spacing w:before="100" w:beforeAutospacing="1" w:after="100" w:afterAutospacing="1" w:line="240" w:lineRule="auto"/>
        <w:jc w:val="both"/>
        <w:rPr>
          <w:rFonts w:ascii="Times New Roman" w:eastAsia="Times New Roman" w:hAnsi="Times New Roman" w:cs="Times New Roman"/>
          <w:sz w:val="24"/>
          <w:szCs w:val="24"/>
          <w:lang w:eastAsia="es-ES"/>
        </w:rPr>
      </w:pPr>
      <w:bookmarkStart w:id="20" w:name="_ftn2"/>
      <w:r w:rsidRPr="00F77235">
        <w:rPr>
          <w:rFonts w:ascii="Times New Roman" w:eastAsia="Times New Roman" w:hAnsi="Times New Roman" w:cs="Times New Roman"/>
          <w:sz w:val="24"/>
          <w:szCs w:val="24"/>
          <w:lang w:eastAsia="es-ES"/>
        </w:rPr>
        <w:t>[2]</w:t>
      </w:r>
      <w:bookmarkEnd w:id="20"/>
      <w:r w:rsidRPr="00F77235">
        <w:rPr>
          <w:rFonts w:ascii="Times New Roman" w:eastAsia="Times New Roman" w:hAnsi="Times New Roman" w:cs="Times New Roman"/>
          <w:sz w:val="24"/>
          <w:szCs w:val="24"/>
          <w:lang w:eastAsia="es-ES"/>
        </w:rPr>
        <w:t xml:space="preserve"> “La economía política parte del trabajo considerándolo como alma verdadera de la producción; sin embargo, al trabajo no le concede nada, y a la propiedad privada todo.” Marx: </w:t>
      </w:r>
      <w:r w:rsidRPr="00F77235">
        <w:rPr>
          <w:rFonts w:ascii="Times New Roman" w:eastAsia="Times New Roman" w:hAnsi="Times New Roman" w:cs="Times New Roman"/>
          <w:i/>
          <w:iCs/>
          <w:sz w:val="24"/>
          <w:szCs w:val="24"/>
          <w:lang w:eastAsia="es-ES"/>
        </w:rPr>
        <w:t>Manuscritos económico filosóficos de 1844</w:t>
      </w:r>
      <w:r w:rsidRPr="00F77235">
        <w:rPr>
          <w:rFonts w:ascii="Times New Roman" w:eastAsia="Times New Roman" w:hAnsi="Times New Roman" w:cs="Times New Roman"/>
          <w:sz w:val="24"/>
          <w:szCs w:val="24"/>
          <w:lang w:eastAsia="es-ES"/>
        </w:rPr>
        <w:t>, Editora Política, La Habana, 1965, p. 83.</w:t>
      </w:r>
    </w:p>
    <w:p w:rsidR="00F77235" w:rsidRPr="00F77235" w:rsidRDefault="00F77235" w:rsidP="00F77235">
      <w:pPr>
        <w:spacing w:before="100" w:beforeAutospacing="1" w:after="100" w:afterAutospacing="1" w:line="240" w:lineRule="auto"/>
        <w:rPr>
          <w:rFonts w:ascii="Times New Roman" w:eastAsia="Times New Roman" w:hAnsi="Times New Roman" w:cs="Times New Roman"/>
          <w:sz w:val="24"/>
          <w:szCs w:val="24"/>
          <w:lang w:eastAsia="es-ES"/>
        </w:rPr>
      </w:pPr>
      <w:bookmarkStart w:id="21" w:name="_ftn3"/>
      <w:r w:rsidRPr="00F77235">
        <w:rPr>
          <w:rFonts w:ascii="Times New Roman" w:eastAsia="Times New Roman" w:hAnsi="Times New Roman" w:cs="Times New Roman"/>
          <w:sz w:val="24"/>
          <w:szCs w:val="24"/>
          <w:lang w:eastAsia="es-ES"/>
        </w:rPr>
        <w:t>[3]</w:t>
      </w:r>
      <w:bookmarkEnd w:id="21"/>
      <w:r w:rsidRPr="00F77235">
        <w:rPr>
          <w:rFonts w:ascii="Times New Roman" w:eastAsia="Times New Roman" w:hAnsi="Times New Roman" w:cs="Times New Roman"/>
          <w:sz w:val="24"/>
          <w:szCs w:val="24"/>
          <w:lang w:eastAsia="es-ES"/>
        </w:rPr>
        <w:t xml:space="preserve"> Marx, C.: </w:t>
      </w:r>
      <w:r w:rsidRPr="00F77235">
        <w:rPr>
          <w:rFonts w:ascii="Times New Roman" w:eastAsia="Times New Roman" w:hAnsi="Times New Roman" w:cs="Times New Roman"/>
          <w:i/>
          <w:iCs/>
          <w:sz w:val="24"/>
          <w:szCs w:val="24"/>
          <w:lang w:eastAsia="es-ES"/>
        </w:rPr>
        <w:t>La Ideología Alemana</w:t>
      </w:r>
      <w:r w:rsidRPr="00F77235">
        <w:rPr>
          <w:rFonts w:ascii="Times New Roman" w:eastAsia="Times New Roman" w:hAnsi="Times New Roman" w:cs="Times New Roman"/>
          <w:sz w:val="24"/>
          <w:szCs w:val="24"/>
          <w:lang w:eastAsia="es-ES"/>
        </w:rPr>
        <w:t>, Edición Revolucionaria, La Habana, 1966, p. 20.</w:t>
      </w:r>
    </w:p>
    <w:p w:rsidR="00F77235" w:rsidRPr="00F77235" w:rsidRDefault="00F77235" w:rsidP="00F77235">
      <w:pPr>
        <w:spacing w:before="100" w:beforeAutospacing="1" w:after="100" w:afterAutospacing="1" w:line="240" w:lineRule="auto"/>
        <w:jc w:val="both"/>
        <w:rPr>
          <w:rFonts w:ascii="Times New Roman" w:eastAsia="Times New Roman" w:hAnsi="Times New Roman" w:cs="Times New Roman"/>
          <w:sz w:val="24"/>
          <w:szCs w:val="24"/>
          <w:lang w:eastAsia="es-ES"/>
        </w:rPr>
      </w:pPr>
      <w:bookmarkStart w:id="22" w:name="_ftn4"/>
      <w:r w:rsidRPr="00F77235">
        <w:rPr>
          <w:rFonts w:ascii="Times New Roman" w:eastAsia="Times New Roman" w:hAnsi="Times New Roman" w:cs="Times New Roman"/>
          <w:sz w:val="24"/>
          <w:szCs w:val="24"/>
          <w:lang w:eastAsia="es-ES"/>
        </w:rPr>
        <w:t>[4]</w:t>
      </w:r>
      <w:bookmarkEnd w:id="22"/>
      <w:r w:rsidRPr="00F77235">
        <w:rPr>
          <w:rFonts w:ascii="Times New Roman" w:eastAsia="Times New Roman" w:hAnsi="Times New Roman" w:cs="Times New Roman"/>
          <w:sz w:val="24"/>
          <w:szCs w:val="24"/>
          <w:lang w:eastAsia="es-ES"/>
        </w:rPr>
        <w:t xml:space="preserve"> García, Jesús, Rafael Alhama, Roberto Lima y Daniel </w:t>
      </w:r>
      <w:proofErr w:type="spellStart"/>
      <w:proofErr w:type="gramStart"/>
      <w:r w:rsidRPr="00F77235">
        <w:rPr>
          <w:rFonts w:ascii="Times New Roman" w:eastAsia="Times New Roman" w:hAnsi="Times New Roman" w:cs="Times New Roman"/>
          <w:sz w:val="24"/>
          <w:szCs w:val="24"/>
          <w:lang w:eastAsia="es-ES"/>
        </w:rPr>
        <w:t>Rafuls</w:t>
      </w:r>
      <w:proofErr w:type="spellEnd"/>
      <w:r w:rsidRPr="00F77235">
        <w:rPr>
          <w:rFonts w:ascii="Times New Roman" w:eastAsia="Times New Roman" w:hAnsi="Times New Roman" w:cs="Times New Roman"/>
          <w:sz w:val="24"/>
          <w:szCs w:val="24"/>
          <w:lang w:eastAsia="es-ES"/>
        </w:rPr>
        <w:t xml:space="preserve"> :</w:t>
      </w:r>
      <w:proofErr w:type="gramEnd"/>
      <w:r w:rsidRPr="00F77235">
        <w:rPr>
          <w:rFonts w:ascii="Times New Roman" w:eastAsia="Times New Roman" w:hAnsi="Times New Roman" w:cs="Times New Roman"/>
          <w:sz w:val="24"/>
          <w:szCs w:val="24"/>
          <w:lang w:eastAsia="es-ES"/>
        </w:rPr>
        <w:t xml:space="preserve"> </w:t>
      </w:r>
      <w:r w:rsidRPr="00F77235">
        <w:rPr>
          <w:rFonts w:ascii="Times New Roman" w:eastAsia="Times New Roman" w:hAnsi="Times New Roman" w:cs="Times New Roman"/>
          <w:i/>
          <w:iCs/>
          <w:sz w:val="24"/>
          <w:szCs w:val="24"/>
          <w:lang w:eastAsia="es-ES"/>
        </w:rPr>
        <w:t>Cuba: propiedad social y construcción socialista</w:t>
      </w:r>
      <w:r w:rsidRPr="00F77235">
        <w:rPr>
          <w:rFonts w:ascii="Times New Roman" w:eastAsia="Times New Roman" w:hAnsi="Times New Roman" w:cs="Times New Roman"/>
          <w:sz w:val="24"/>
          <w:szCs w:val="24"/>
          <w:lang w:eastAsia="es-ES"/>
        </w:rPr>
        <w:t xml:space="preserve">, Edit. Centro Sindical de Investigaciones e Innovación Educativa. México, 2011, tomo I, capítulo I. </w:t>
      </w:r>
    </w:p>
    <w:p w:rsidR="00F77235" w:rsidRPr="00F77235" w:rsidRDefault="00F77235" w:rsidP="00F77235">
      <w:pPr>
        <w:spacing w:before="100" w:beforeAutospacing="1" w:after="100" w:afterAutospacing="1" w:line="360" w:lineRule="auto"/>
        <w:jc w:val="both"/>
        <w:rPr>
          <w:rFonts w:ascii="Times New Roman" w:eastAsia="Times New Roman" w:hAnsi="Times New Roman" w:cs="Times New Roman"/>
          <w:sz w:val="24"/>
          <w:szCs w:val="24"/>
          <w:lang w:eastAsia="es-ES"/>
        </w:rPr>
      </w:pPr>
      <w:bookmarkStart w:id="23" w:name="_ftn5"/>
      <w:r w:rsidRPr="00F77235">
        <w:rPr>
          <w:rFonts w:ascii="Times New Roman" w:eastAsia="Times New Roman" w:hAnsi="Times New Roman" w:cs="Times New Roman"/>
          <w:sz w:val="24"/>
          <w:szCs w:val="24"/>
          <w:lang w:eastAsia="es-ES"/>
        </w:rPr>
        <w:t>[5]</w:t>
      </w:r>
      <w:bookmarkEnd w:id="23"/>
      <w:r w:rsidRPr="00F77235">
        <w:rPr>
          <w:rFonts w:ascii="Times New Roman" w:eastAsia="Times New Roman" w:hAnsi="Times New Roman" w:cs="Times New Roman"/>
          <w:sz w:val="24"/>
          <w:szCs w:val="24"/>
          <w:lang w:eastAsia="es-ES"/>
        </w:rPr>
        <w:t xml:space="preserve"> C. Marx</w:t>
      </w:r>
      <w:r w:rsidRPr="00F77235">
        <w:rPr>
          <w:rFonts w:ascii="Times New Roman" w:eastAsia="Times New Roman" w:hAnsi="Times New Roman" w:cs="Times New Roman"/>
          <w:i/>
          <w:iCs/>
          <w:sz w:val="24"/>
          <w:szCs w:val="24"/>
          <w:lang w:eastAsia="es-ES"/>
        </w:rPr>
        <w:t>:</w:t>
      </w:r>
      <w:r w:rsidRPr="00F77235">
        <w:rPr>
          <w:rFonts w:ascii="Times New Roman" w:eastAsia="Times New Roman" w:hAnsi="Times New Roman" w:cs="Times New Roman"/>
          <w:sz w:val="24"/>
          <w:szCs w:val="24"/>
          <w:lang w:eastAsia="es-ES"/>
        </w:rPr>
        <w:t xml:space="preserve"> </w:t>
      </w:r>
      <w:r w:rsidRPr="00F77235">
        <w:rPr>
          <w:rFonts w:ascii="Times New Roman" w:eastAsia="Times New Roman" w:hAnsi="Times New Roman" w:cs="Times New Roman"/>
          <w:i/>
          <w:iCs/>
          <w:sz w:val="24"/>
          <w:szCs w:val="24"/>
          <w:lang w:eastAsia="es-ES"/>
        </w:rPr>
        <w:t>Manuscritos económico filosóficos de 1844</w:t>
      </w:r>
      <w:r w:rsidRPr="00F77235">
        <w:rPr>
          <w:rFonts w:ascii="Times New Roman" w:eastAsia="Times New Roman" w:hAnsi="Times New Roman" w:cs="Times New Roman"/>
          <w:sz w:val="24"/>
          <w:szCs w:val="24"/>
          <w:lang w:eastAsia="es-ES"/>
        </w:rPr>
        <w:t>. Edit. Política, La Habana, 1965. p. 83</w:t>
      </w:r>
    </w:p>
    <w:p w:rsidR="00F77235" w:rsidRPr="00F77235" w:rsidRDefault="00F77235" w:rsidP="00F77235">
      <w:pPr>
        <w:spacing w:before="100" w:beforeAutospacing="1" w:after="100" w:afterAutospacing="1" w:line="360" w:lineRule="auto"/>
        <w:jc w:val="both"/>
        <w:rPr>
          <w:rFonts w:ascii="Times New Roman" w:eastAsia="Times New Roman" w:hAnsi="Times New Roman" w:cs="Times New Roman"/>
          <w:sz w:val="24"/>
          <w:szCs w:val="24"/>
          <w:lang w:eastAsia="es-ES"/>
        </w:rPr>
      </w:pPr>
      <w:bookmarkStart w:id="24" w:name="_ftn6"/>
      <w:r w:rsidRPr="00F77235">
        <w:rPr>
          <w:rFonts w:ascii="Times New Roman" w:eastAsia="Times New Roman" w:hAnsi="Times New Roman" w:cs="Times New Roman"/>
          <w:sz w:val="24"/>
          <w:szCs w:val="24"/>
          <w:lang w:eastAsia="es-ES"/>
        </w:rPr>
        <w:t>[6]</w:t>
      </w:r>
      <w:bookmarkEnd w:id="24"/>
      <w:r w:rsidRPr="00F77235">
        <w:rPr>
          <w:rFonts w:ascii="Times New Roman" w:eastAsia="Times New Roman" w:hAnsi="Times New Roman" w:cs="Times New Roman"/>
          <w:sz w:val="24"/>
          <w:szCs w:val="24"/>
          <w:lang w:eastAsia="es-ES"/>
        </w:rPr>
        <w:t xml:space="preserve"> Marx, C.: </w:t>
      </w:r>
      <w:r w:rsidRPr="00F77235">
        <w:rPr>
          <w:rFonts w:ascii="Times New Roman" w:eastAsia="Times New Roman" w:hAnsi="Times New Roman" w:cs="Times New Roman"/>
          <w:i/>
          <w:iCs/>
          <w:sz w:val="24"/>
          <w:szCs w:val="24"/>
          <w:lang w:eastAsia="es-ES"/>
        </w:rPr>
        <w:t>Manuscritos económico filosóficos de 1844</w:t>
      </w:r>
      <w:r w:rsidRPr="00F77235">
        <w:rPr>
          <w:rFonts w:ascii="Times New Roman" w:eastAsia="Times New Roman" w:hAnsi="Times New Roman" w:cs="Times New Roman"/>
          <w:sz w:val="24"/>
          <w:szCs w:val="24"/>
          <w:lang w:eastAsia="es-ES"/>
        </w:rPr>
        <w:t>. Edit. Política, La Habana, 1965, p. 103-107.</w:t>
      </w:r>
    </w:p>
    <w:p w:rsidR="00F77235" w:rsidRPr="00F77235" w:rsidRDefault="00F77235" w:rsidP="00F77235">
      <w:pPr>
        <w:spacing w:before="100" w:beforeAutospacing="1" w:after="100" w:afterAutospacing="1" w:line="240" w:lineRule="auto"/>
        <w:rPr>
          <w:rFonts w:ascii="Times New Roman" w:eastAsia="Times New Roman" w:hAnsi="Times New Roman" w:cs="Times New Roman"/>
          <w:sz w:val="24"/>
          <w:szCs w:val="24"/>
          <w:lang w:eastAsia="es-ES"/>
        </w:rPr>
      </w:pPr>
      <w:bookmarkStart w:id="25" w:name="_ftn7"/>
      <w:r w:rsidRPr="00F77235">
        <w:rPr>
          <w:rFonts w:ascii="Times New Roman" w:eastAsia="Times New Roman" w:hAnsi="Times New Roman" w:cs="Times New Roman"/>
          <w:sz w:val="24"/>
          <w:szCs w:val="24"/>
          <w:lang w:eastAsia="es-ES"/>
        </w:rPr>
        <w:t>[7]</w:t>
      </w:r>
      <w:bookmarkEnd w:id="25"/>
      <w:r w:rsidRPr="00F77235">
        <w:rPr>
          <w:rFonts w:ascii="Times New Roman" w:eastAsia="Times New Roman" w:hAnsi="Times New Roman" w:cs="Times New Roman"/>
          <w:sz w:val="24"/>
          <w:szCs w:val="24"/>
          <w:lang w:eastAsia="es-ES"/>
        </w:rPr>
        <w:t xml:space="preserve"> Marx: </w:t>
      </w:r>
      <w:r w:rsidRPr="00F77235">
        <w:rPr>
          <w:rFonts w:ascii="Times New Roman" w:eastAsia="Times New Roman" w:hAnsi="Times New Roman" w:cs="Times New Roman"/>
          <w:i/>
          <w:iCs/>
          <w:sz w:val="24"/>
          <w:szCs w:val="24"/>
          <w:lang w:eastAsia="es-ES"/>
        </w:rPr>
        <w:t>Manuscritos</w:t>
      </w:r>
      <w:r w:rsidRPr="00F77235">
        <w:rPr>
          <w:rFonts w:ascii="Times New Roman" w:eastAsia="Times New Roman" w:hAnsi="Times New Roman" w:cs="Times New Roman"/>
          <w:sz w:val="24"/>
          <w:szCs w:val="24"/>
          <w:lang w:eastAsia="es-ES"/>
        </w:rPr>
        <w:t>….p. 104.</w:t>
      </w:r>
    </w:p>
    <w:p w:rsidR="00F77235" w:rsidRPr="00F77235" w:rsidRDefault="00F77235" w:rsidP="00F77235">
      <w:pPr>
        <w:spacing w:before="100" w:beforeAutospacing="1" w:after="100" w:afterAutospacing="1" w:line="240" w:lineRule="auto"/>
        <w:rPr>
          <w:rFonts w:ascii="Times New Roman" w:eastAsia="Times New Roman" w:hAnsi="Times New Roman" w:cs="Times New Roman"/>
          <w:sz w:val="24"/>
          <w:szCs w:val="24"/>
          <w:lang w:eastAsia="es-ES"/>
        </w:rPr>
      </w:pPr>
      <w:bookmarkStart w:id="26" w:name="_ftn8"/>
      <w:r w:rsidRPr="00F77235">
        <w:rPr>
          <w:rFonts w:ascii="Times New Roman" w:eastAsia="Times New Roman" w:hAnsi="Times New Roman" w:cs="Times New Roman"/>
          <w:sz w:val="24"/>
          <w:szCs w:val="24"/>
          <w:lang w:eastAsia="es-ES"/>
        </w:rPr>
        <w:t>[8]</w:t>
      </w:r>
      <w:bookmarkEnd w:id="26"/>
      <w:r w:rsidRPr="00F77235">
        <w:rPr>
          <w:rFonts w:ascii="Times New Roman" w:eastAsia="Times New Roman" w:hAnsi="Times New Roman" w:cs="Times New Roman"/>
          <w:sz w:val="24"/>
          <w:szCs w:val="24"/>
          <w:lang w:eastAsia="es-ES"/>
        </w:rPr>
        <w:t xml:space="preserve"> Marx: Manuscritos p. 107</w:t>
      </w:r>
    </w:p>
    <w:p w:rsidR="00F77235" w:rsidRPr="00F77235" w:rsidRDefault="00F77235" w:rsidP="00F77235">
      <w:pPr>
        <w:spacing w:before="100" w:beforeAutospacing="1" w:after="100" w:afterAutospacing="1" w:line="240" w:lineRule="auto"/>
        <w:rPr>
          <w:rFonts w:ascii="Times New Roman" w:eastAsia="Times New Roman" w:hAnsi="Times New Roman" w:cs="Times New Roman"/>
          <w:sz w:val="24"/>
          <w:szCs w:val="24"/>
          <w:lang w:eastAsia="es-ES"/>
        </w:rPr>
      </w:pPr>
      <w:bookmarkStart w:id="27" w:name="_ftn9"/>
      <w:r w:rsidRPr="00F77235">
        <w:rPr>
          <w:rFonts w:ascii="Times New Roman" w:eastAsia="Times New Roman" w:hAnsi="Times New Roman" w:cs="Times New Roman"/>
          <w:sz w:val="24"/>
          <w:szCs w:val="24"/>
          <w:lang w:eastAsia="es-ES"/>
        </w:rPr>
        <w:t>[9]</w:t>
      </w:r>
      <w:bookmarkEnd w:id="27"/>
      <w:r w:rsidRPr="00F77235">
        <w:rPr>
          <w:rFonts w:ascii="Times New Roman" w:eastAsia="Times New Roman" w:hAnsi="Times New Roman" w:cs="Times New Roman"/>
          <w:sz w:val="24"/>
          <w:szCs w:val="24"/>
          <w:lang w:eastAsia="es-ES"/>
        </w:rPr>
        <w:t xml:space="preserve"> “La</w:t>
      </w:r>
      <w:r w:rsidRPr="00F77235">
        <w:rPr>
          <w:rFonts w:ascii="Times New Roman" w:eastAsia="Times New Roman" w:hAnsi="Times New Roman" w:cs="Times New Roman"/>
          <w:i/>
          <w:iCs/>
          <w:sz w:val="24"/>
          <w:szCs w:val="24"/>
          <w:lang w:eastAsia="es-ES"/>
        </w:rPr>
        <w:t xml:space="preserve"> producción capitalista</w:t>
      </w:r>
      <w:r w:rsidRPr="00F77235">
        <w:rPr>
          <w:rFonts w:ascii="Times New Roman" w:eastAsia="Times New Roman" w:hAnsi="Times New Roman" w:cs="Times New Roman"/>
          <w:sz w:val="24"/>
          <w:szCs w:val="24"/>
          <w:lang w:eastAsia="es-ES"/>
        </w:rPr>
        <w:t xml:space="preserve"> tiene, histórica y lógicamente, </w:t>
      </w:r>
      <w:r w:rsidRPr="00F77235">
        <w:rPr>
          <w:rFonts w:ascii="Times New Roman" w:eastAsia="Times New Roman" w:hAnsi="Times New Roman" w:cs="Times New Roman"/>
          <w:i/>
          <w:iCs/>
          <w:sz w:val="24"/>
          <w:szCs w:val="24"/>
          <w:lang w:eastAsia="es-ES"/>
        </w:rPr>
        <w:t>su punto de partida</w:t>
      </w:r>
      <w:r w:rsidRPr="00F77235">
        <w:rPr>
          <w:rFonts w:ascii="Times New Roman" w:eastAsia="Times New Roman" w:hAnsi="Times New Roman" w:cs="Times New Roman"/>
          <w:sz w:val="24"/>
          <w:szCs w:val="24"/>
          <w:lang w:eastAsia="es-ES"/>
        </w:rPr>
        <w:t xml:space="preserve"> en la reunión de un número relativamente grande de obreros que trabajan al mismo tiempo, en el mismo sitio (o si se prefiere, en el mismo campo de trabajo), en la fabricación de la misma clase de mercancías y bajo el mando del mismo capitalista.” Carlos Marx: </w:t>
      </w:r>
      <w:r w:rsidRPr="00F77235">
        <w:rPr>
          <w:rFonts w:ascii="Times New Roman" w:eastAsia="Times New Roman" w:hAnsi="Times New Roman" w:cs="Times New Roman"/>
          <w:i/>
          <w:iCs/>
          <w:sz w:val="24"/>
          <w:szCs w:val="24"/>
          <w:lang w:eastAsia="es-ES"/>
        </w:rPr>
        <w:t>El Capital</w:t>
      </w:r>
      <w:r w:rsidRPr="00F77235">
        <w:rPr>
          <w:rFonts w:ascii="Times New Roman" w:eastAsia="Times New Roman" w:hAnsi="Times New Roman" w:cs="Times New Roman"/>
          <w:sz w:val="24"/>
          <w:szCs w:val="24"/>
          <w:lang w:eastAsia="es-ES"/>
        </w:rPr>
        <w:t xml:space="preserve"> I, Edit. de Ciencias Sociales, La Habana 1973, p. 278.</w:t>
      </w:r>
    </w:p>
    <w:p w:rsidR="00F77235" w:rsidRPr="00F77235" w:rsidRDefault="00F77235" w:rsidP="00F77235">
      <w:pPr>
        <w:spacing w:before="100" w:beforeAutospacing="1" w:after="100" w:afterAutospacing="1" w:line="240" w:lineRule="auto"/>
        <w:rPr>
          <w:rFonts w:ascii="Times New Roman" w:eastAsia="Times New Roman" w:hAnsi="Times New Roman" w:cs="Times New Roman"/>
          <w:sz w:val="24"/>
          <w:szCs w:val="24"/>
          <w:lang w:eastAsia="es-ES"/>
        </w:rPr>
      </w:pPr>
      <w:bookmarkStart w:id="28" w:name="_ftn10"/>
      <w:r w:rsidRPr="00F77235">
        <w:rPr>
          <w:rFonts w:ascii="Times New Roman" w:eastAsia="Times New Roman" w:hAnsi="Times New Roman" w:cs="Times New Roman"/>
          <w:sz w:val="24"/>
          <w:szCs w:val="24"/>
          <w:lang w:eastAsia="es-ES"/>
        </w:rPr>
        <w:t>[10]</w:t>
      </w:r>
      <w:bookmarkEnd w:id="28"/>
      <w:r w:rsidRPr="00F77235">
        <w:rPr>
          <w:rFonts w:ascii="Times New Roman" w:eastAsia="Times New Roman" w:hAnsi="Times New Roman" w:cs="Times New Roman"/>
          <w:sz w:val="24"/>
          <w:szCs w:val="24"/>
          <w:lang w:eastAsia="es-ES"/>
        </w:rPr>
        <w:t xml:space="preserve"> Marx, C.: </w:t>
      </w:r>
      <w:r w:rsidRPr="00F77235">
        <w:rPr>
          <w:rFonts w:ascii="Times New Roman" w:eastAsia="Times New Roman" w:hAnsi="Times New Roman" w:cs="Times New Roman"/>
          <w:i/>
          <w:iCs/>
          <w:sz w:val="24"/>
          <w:szCs w:val="24"/>
          <w:lang w:eastAsia="es-ES"/>
        </w:rPr>
        <w:t xml:space="preserve">El Capital </w:t>
      </w:r>
      <w:r w:rsidRPr="00F77235">
        <w:rPr>
          <w:rFonts w:ascii="Times New Roman" w:eastAsia="Times New Roman" w:hAnsi="Times New Roman" w:cs="Times New Roman"/>
          <w:sz w:val="24"/>
          <w:szCs w:val="24"/>
          <w:lang w:eastAsia="es-ES"/>
        </w:rPr>
        <w:t>I,</w:t>
      </w:r>
      <w:r w:rsidRPr="00F77235">
        <w:rPr>
          <w:rFonts w:ascii="Times New Roman" w:eastAsia="Times New Roman" w:hAnsi="Times New Roman" w:cs="Times New Roman"/>
          <w:i/>
          <w:iCs/>
          <w:sz w:val="24"/>
          <w:szCs w:val="24"/>
          <w:lang w:eastAsia="es-ES"/>
        </w:rPr>
        <w:t xml:space="preserve"> </w:t>
      </w:r>
      <w:r w:rsidRPr="00F77235">
        <w:rPr>
          <w:rFonts w:ascii="Times New Roman" w:eastAsia="Times New Roman" w:hAnsi="Times New Roman" w:cs="Times New Roman"/>
          <w:sz w:val="24"/>
          <w:szCs w:val="24"/>
          <w:lang w:eastAsia="es-ES"/>
        </w:rPr>
        <w:t>Edit. De Ciencias Sociales, La Habana, 1973 p. 286.</w:t>
      </w:r>
    </w:p>
    <w:p w:rsidR="00F77235" w:rsidRPr="00F77235" w:rsidRDefault="00F77235" w:rsidP="00F77235">
      <w:pPr>
        <w:spacing w:before="100" w:beforeAutospacing="1" w:after="100" w:afterAutospacing="1" w:line="240" w:lineRule="auto"/>
        <w:jc w:val="both"/>
        <w:rPr>
          <w:rFonts w:ascii="Times New Roman" w:eastAsia="Times New Roman" w:hAnsi="Times New Roman" w:cs="Times New Roman"/>
          <w:sz w:val="24"/>
          <w:szCs w:val="24"/>
          <w:lang w:eastAsia="es-ES"/>
        </w:rPr>
      </w:pPr>
      <w:bookmarkStart w:id="29" w:name="_ftn11"/>
      <w:r w:rsidRPr="00F77235">
        <w:rPr>
          <w:rFonts w:ascii="Times New Roman" w:eastAsia="Times New Roman" w:hAnsi="Times New Roman" w:cs="Times New Roman"/>
          <w:sz w:val="24"/>
          <w:szCs w:val="24"/>
          <w:lang w:eastAsia="es-ES"/>
        </w:rPr>
        <w:t>[11]</w:t>
      </w:r>
      <w:bookmarkEnd w:id="29"/>
      <w:r w:rsidRPr="00F77235">
        <w:rPr>
          <w:rFonts w:ascii="Times New Roman" w:eastAsia="Times New Roman" w:hAnsi="Times New Roman" w:cs="Times New Roman"/>
          <w:sz w:val="24"/>
          <w:szCs w:val="24"/>
          <w:lang w:eastAsia="es-ES"/>
        </w:rPr>
        <w:t xml:space="preserve"> Un grupo de investigadores cubanos ha presentado una propuesta un acercamiento a la propiedad como sistema, que va más allá de la posesión de los medios de producción, abarcando los momentos de la producción–apropiación–reproducción, dadas en la interacción individuo-naturaleza cuyo eje es la contradicción individuo–sociedad; por lo que incluye los procesos objetivos y subjetivos que actúan en la totalidad social (desde los relacionados con el proceso de trabajo hasta las manifestaciones a nivel de grupos sociales, familiares y políticos). Ver, García </w:t>
      </w:r>
      <w:proofErr w:type="spellStart"/>
      <w:r w:rsidRPr="00F77235">
        <w:rPr>
          <w:rFonts w:ascii="Times New Roman" w:eastAsia="Times New Roman" w:hAnsi="Times New Roman" w:cs="Times New Roman"/>
          <w:sz w:val="24"/>
          <w:szCs w:val="24"/>
          <w:lang w:eastAsia="es-ES"/>
        </w:rPr>
        <w:t>Brigos</w:t>
      </w:r>
      <w:proofErr w:type="spellEnd"/>
      <w:r w:rsidRPr="00F77235">
        <w:rPr>
          <w:rFonts w:ascii="Times New Roman" w:eastAsia="Times New Roman" w:hAnsi="Times New Roman" w:cs="Times New Roman"/>
          <w:sz w:val="24"/>
          <w:szCs w:val="24"/>
          <w:lang w:eastAsia="es-ES"/>
        </w:rPr>
        <w:t xml:space="preserve">, Jesús, Rafael Alhama, Roberto Lima y Daniel </w:t>
      </w:r>
      <w:proofErr w:type="spellStart"/>
      <w:r w:rsidRPr="00F77235">
        <w:rPr>
          <w:rFonts w:ascii="Times New Roman" w:eastAsia="Times New Roman" w:hAnsi="Times New Roman" w:cs="Times New Roman"/>
          <w:sz w:val="24"/>
          <w:szCs w:val="24"/>
          <w:lang w:eastAsia="es-ES"/>
        </w:rPr>
        <w:t>Rafuls</w:t>
      </w:r>
      <w:proofErr w:type="spellEnd"/>
      <w:r w:rsidRPr="00F77235">
        <w:rPr>
          <w:rFonts w:ascii="Times New Roman" w:eastAsia="Times New Roman" w:hAnsi="Times New Roman" w:cs="Times New Roman"/>
          <w:sz w:val="24"/>
          <w:szCs w:val="24"/>
          <w:lang w:eastAsia="es-ES"/>
        </w:rPr>
        <w:t xml:space="preserve">: </w:t>
      </w:r>
      <w:r w:rsidRPr="00F77235">
        <w:rPr>
          <w:rFonts w:ascii="Times New Roman" w:eastAsia="Times New Roman" w:hAnsi="Times New Roman" w:cs="Times New Roman"/>
          <w:i/>
          <w:iCs/>
          <w:sz w:val="24"/>
          <w:szCs w:val="24"/>
          <w:lang w:eastAsia="es-ES"/>
        </w:rPr>
        <w:t>Cuba: propiedad social y construcción socialista</w:t>
      </w:r>
      <w:r w:rsidRPr="00F77235">
        <w:rPr>
          <w:rFonts w:ascii="Times New Roman" w:eastAsia="Times New Roman" w:hAnsi="Times New Roman" w:cs="Times New Roman"/>
          <w:sz w:val="24"/>
          <w:szCs w:val="24"/>
          <w:lang w:eastAsia="es-ES"/>
        </w:rPr>
        <w:t xml:space="preserve">, Edit. Centro Sindical de Investigaciones e Innovación Educativa. México, 2011, </w:t>
      </w:r>
      <w:proofErr w:type="spellStart"/>
      <w:r w:rsidRPr="00F77235">
        <w:rPr>
          <w:rFonts w:ascii="Times New Roman" w:eastAsia="Times New Roman" w:hAnsi="Times New Roman" w:cs="Times New Roman"/>
          <w:sz w:val="24"/>
          <w:szCs w:val="24"/>
          <w:lang w:eastAsia="es-ES"/>
        </w:rPr>
        <w:t>t.I</w:t>
      </w:r>
      <w:proofErr w:type="spellEnd"/>
      <w:r w:rsidRPr="00F77235">
        <w:rPr>
          <w:rFonts w:ascii="Times New Roman" w:eastAsia="Times New Roman" w:hAnsi="Times New Roman" w:cs="Times New Roman"/>
          <w:sz w:val="24"/>
          <w:szCs w:val="24"/>
          <w:lang w:eastAsia="es-ES"/>
        </w:rPr>
        <w:t>, pp. 227-229.</w:t>
      </w:r>
    </w:p>
    <w:p w:rsidR="00F77235" w:rsidRPr="00F77235" w:rsidRDefault="00F77235" w:rsidP="00F77235">
      <w:pPr>
        <w:spacing w:before="100" w:beforeAutospacing="1" w:after="100" w:afterAutospacing="1" w:line="240" w:lineRule="auto"/>
        <w:rPr>
          <w:rFonts w:ascii="Times New Roman" w:eastAsia="Times New Roman" w:hAnsi="Times New Roman" w:cs="Times New Roman"/>
          <w:sz w:val="24"/>
          <w:szCs w:val="24"/>
          <w:lang w:eastAsia="es-ES"/>
        </w:rPr>
      </w:pPr>
      <w:bookmarkStart w:id="30" w:name="_ftn12"/>
      <w:r w:rsidRPr="00F77235">
        <w:rPr>
          <w:rFonts w:ascii="Times New Roman" w:eastAsia="Times New Roman" w:hAnsi="Times New Roman" w:cs="Times New Roman"/>
          <w:sz w:val="24"/>
          <w:szCs w:val="24"/>
          <w:lang w:eastAsia="es-ES"/>
        </w:rPr>
        <w:t>[12]</w:t>
      </w:r>
      <w:bookmarkEnd w:id="30"/>
      <w:r w:rsidRPr="00F77235">
        <w:rPr>
          <w:rFonts w:ascii="Times New Roman" w:eastAsia="Times New Roman" w:hAnsi="Times New Roman" w:cs="Times New Roman"/>
          <w:sz w:val="24"/>
          <w:szCs w:val="24"/>
          <w:lang w:eastAsia="es-ES"/>
        </w:rPr>
        <w:t xml:space="preserve"> Marx y Engels abordan este tema desde sus obras tempranas, tales como la </w:t>
      </w:r>
      <w:r w:rsidRPr="00F77235">
        <w:rPr>
          <w:rFonts w:ascii="Times New Roman" w:eastAsia="Times New Roman" w:hAnsi="Times New Roman" w:cs="Times New Roman"/>
          <w:i/>
          <w:iCs/>
          <w:sz w:val="24"/>
          <w:szCs w:val="24"/>
          <w:lang w:eastAsia="es-ES"/>
        </w:rPr>
        <w:t>Cuestión Judía,</w:t>
      </w:r>
      <w:r w:rsidRPr="00F77235">
        <w:rPr>
          <w:rFonts w:ascii="Times New Roman" w:eastAsia="Times New Roman" w:hAnsi="Times New Roman" w:cs="Times New Roman"/>
          <w:sz w:val="24"/>
          <w:szCs w:val="24"/>
          <w:lang w:eastAsia="es-ES"/>
        </w:rPr>
        <w:t xml:space="preserve"> los </w:t>
      </w:r>
      <w:r w:rsidRPr="00F77235">
        <w:rPr>
          <w:rFonts w:ascii="Times New Roman" w:eastAsia="Times New Roman" w:hAnsi="Times New Roman" w:cs="Times New Roman"/>
          <w:i/>
          <w:iCs/>
          <w:sz w:val="24"/>
          <w:szCs w:val="24"/>
          <w:lang w:eastAsia="es-ES"/>
        </w:rPr>
        <w:t>Manuscritos económicos filosóficos de 1844</w:t>
      </w:r>
      <w:r w:rsidRPr="00F77235">
        <w:rPr>
          <w:rFonts w:ascii="Times New Roman" w:eastAsia="Times New Roman" w:hAnsi="Times New Roman" w:cs="Times New Roman"/>
          <w:sz w:val="24"/>
          <w:szCs w:val="24"/>
          <w:lang w:eastAsia="es-ES"/>
        </w:rPr>
        <w:t xml:space="preserve">, los </w:t>
      </w:r>
      <w:r w:rsidRPr="00F77235">
        <w:rPr>
          <w:rFonts w:ascii="Times New Roman" w:eastAsia="Times New Roman" w:hAnsi="Times New Roman" w:cs="Times New Roman"/>
          <w:i/>
          <w:iCs/>
          <w:sz w:val="24"/>
          <w:szCs w:val="24"/>
          <w:lang w:eastAsia="es-ES"/>
        </w:rPr>
        <w:t>Manuscritos de 1857-58 (</w:t>
      </w:r>
      <w:proofErr w:type="spellStart"/>
      <w:r w:rsidRPr="00F77235">
        <w:rPr>
          <w:rFonts w:ascii="Times New Roman" w:eastAsia="Times New Roman" w:hAnsi="Times New Roman" w:cs="Times New Roman"/>
          <w:i/>
          <w:iCs/>
          <w:sz w:val="24"/>
          <w:szCs w:val="24"/>
          <w:lang w:eastAsia="es-ES"/>
        </w:rPr>
        <w:t>Grundisisse</w:t>
      </w:r>
      <w:proofErr w:type="spellEnd"/>
      <w:proofErr w:type="gramStart"/>
      <w:r w:rsidRPr="00F77235">
        <w:rPr>
          <w:rFonts w:ascii="Times New Roman" w:eastAsia="Times New Roman" w:hAnsi="Times New Roman" w:cs="Times New Roman"/>
          <w:i/>
          <w:iCs/>
          <w:sz w:val="24"/>
          <w:szCs w:val="24"/>
          <w:lang w:eastAsia="es-ES"/>
        </w:rPr>
        <w:t>),</w:t>
      </w:r>
      <w:r w:rsidRPr="00F77235">
        <w:rPr>
          <w:rFonts w:ascii="Times New Roman" w:eastAsia="Times New Roman" w:hAnsi="Times New Roman" w:cs="Times New Roman"/>
          <w:sz w:val="24"/>
          <w:szCs w:val="24"/>
          <w:lang w:eastAsia="es-ES"/>
        </w:rPr>
        <w:t>─</w:t>
      </w:r>
      <w:proofErr w:type="gramEnd"/>
      <w:r w:rsidRPr="00F77235">
        <w:rPr>
          <w:rFonts w:ascii="Times New Roman" w:eastAsia="Times New Roman" w:hAnsi="Times New Roman" w:cs="Times New Roman"/>
          <w:sz w:val="24"/>
          <w:szCs w:val="24"/>
          <w:lang w:eastAsia="es-ES"/>
        </w:rPr>
        <w:t xml:space="preserve">mientras Engels lo hace en su </w:t>
      </w:r>
      <w:r w:rsidRPr="00F77235">
        <w:rPr>
          <w:rFonts w:ascii="Times New Roman" w:eastAsia="Times New Roman" w:hAnsi="Times New Roman" w:cs="Times New Roman"/>
          <w:i/>
          <w:iCs/>
          <w:sz w:val="24"/>
          <w:szCs w:val="24"/>
          <w:lang w:eastAsia="es-ES"/>
        </w:rPr>
        <w:t>Esbozo de una crítica a la Economía Política─</w:t>
      </w:r>
      <w:r w:rsidRPr="00F77235">
        <w:rPr>
          <w:rFonts w:ascii="Times New Roman" w:eastAsia="Times New Roman" w:hAnsi="Times New Roman" w:cs="Times New Roman"/>
          <w:sz w:val="24"/>
          <w:szCs w:val="24"/>
          <w:lang w:eastAsia="es-ES"/>
        </w:rPr>
        <w:t xml:space="preserve">, y posteriormente en </w:t>
      </w:r>
      <w:r w:rsidRPr="00F77235">
        <w:rPr>
          <w:rFonts w:ascii="Times New Roman" w:eastAsia="Times New Roman" w:hAnsi="Times New Roman" w:cs="Times New Roman"/>
          <w:i/>
          <w:iCs/>
          <w:sz w:val="24"/>
          <w:szCs w:val="24"/>
          <w:lang w:eastAsia="es-ES"/>
        </w:rPr>
        <w:t>El Capital</w:t>
      </w:r>
      <w:r w:rsidRPr="00F77235">
        <w:rPr>
          <w:rFonts w:ascii="Times New Roman" w:eastAsia="Times New Roman" w:hAnsi="Times New Roman" w:cs="Times New Roman"/>
          <w:sz w:val="24"/>
          <w:szCs w:val="24"/>
          <w:lang w:eastAsia="es-ES"/>
        </w:rPr>
        <w:t>, determinando el origen de la enajenación en el fundamento material de la vida económica que trasciende a las diversas esferas de la vida social.</w:t>
      </w:r>
    </w:p>
    <w:p w:rsidR="00F77235" w:rsidRPr="00F77235" w:rsidRDefault="00F77235" w:rsidP="00F77235">
      <w:pPr>
        <w:spacing w:before="100" w:beforeAutospacing="1" w:after="100" w:afterAutospacing="1" w:line="240" w:lineRule="auto"/>
        <w:rPr>
          <w:rFonts w:ascii="Times New Roman" w:eastAsia="Times New Roman" w:hAnsi="Times New Roman" w:cs="Times New Roman"/>
          <w:sz w:val="24"/>
          <w:szCs w:val="24"/>
          <w:lang w:eastAsia="es-ES"/>
        </w:rPr>
      </w:pPr>
      <w:bookmarkStart w:id="31" w:name="_ftn13"/>
      <w:r w:rsidRPr="00F77235">
        <w:rPr>
          <w:rFonts w:ascii="Times New Roman" w:eastAsia="Times New Roman" w:hAnsi="Times New Roman" w:cs="Times New Roman"/>
          <w:sz w:val="24"/>
          <w:szCs w:val="24"/>
          <w:lang w:eastAsia="es-ES"/>
        </w:rPr>
        <w:t>[13]</w:t>
      </w:r>
      <w:bookmarkEnd w:id="31"/>
      <w:r w:rsidRPr="00F77235">
        <w:rPr>
          <w:rFonts w:ascii="Times New Roman" w:eastAsia="Times New Roman" w:hAnsi="Times New Roman" w:cs="Times New Roman"/>
          <w:sz w:val="24"/>
          <w:szCs w:val="24"/>
          <w:lang w:eastAsia="es-ES"/>
        </w:rPr>
        <w:t xml:space="preserve"> Marx, C.: </w:t>
      </w:r>
      <w:r w:rsidRPr="00F77235">
        <w:rPr>
          <w:rFonts w:ascii="Times New Roman" w:eastAsia="Times New Roman" w:hAnsi="Times New Roman" w:cs="Times New Roman"/>
          <w:i/>
          <w:iCs/>
          <w:sz w:val="24"/>
          <w:szCs w:val="24"/>
          <w:lang w:eastAsia="es-ES"/>
        </w:rPr>
        <w:t>La Ideología Alemana</w:t>
      </w:r>
      <w:r w:rsidRPr="00F77235">
        <w:rPr>
          <w:rFonts w:ascii="Times New Roman" w:eastAsia="Times New Roman" w:hAnsi="Times New Roman" w:cs="Times New Roman"/>
          <w:sz w:val="24"/>
          <w:szCs w:val="24"/>
          <w:lang w:eastAsia="es-ES"/>
        </w:rPr>
        <w:t>, Edición Revolucionaria, La Habana, 1966 p. 36.</w:t>
      </w:r>
    </w:p>
    <w:p w:rsidR="00F77235" w:rsidRPr="00F77235" w:rsidRDefault="00F77235" w:rsidP="00F77235">
      <w:pPr>
        <w:spacing w:before="100" w:beforeAutospacing="1" w:after="100" w:afterAutospacing="1" w:line="240" w:lineRule="auto"/>
        <w:rPr>
          <w:rFonts w:ascii="Times New Roman" w:eastAsia="Times New Roman" w:hAnsi="Times New Roman" w:cs="Times New Roman"/>
          <w:sz w:val="24"/>
          <w:szCs w:val="24"/>
          <w:lang w:eastAsia="es-ES"/>
        </w:rPr>
      </w:pPr>
      <w:bookmarkStart w:id="32" w:name="_ftn14"/>
      <w:r w:rsidRPr="00F77235">
        <w:rPr>
          <w:rFonts w:ascii="Times New Roman" w:eastAsia="Times New Roman" w:hAnsi="Times New Roman" w:cs="Times New Roman"/>
          <w:sz w:val="24"/>
          <w:szCs w:val="24"/>
          <w:lang w:eastAsia="es-ES"/>
        </w:rPr>
        <w:t>[14]</w:t>
      </w:r>
      <w:bookmarkEnd w:id="32"/>
      <w:r w:rsidRPr="00F77235">
        <w:rPr>
          <w:rFonts w:ascii="Times New Roman" w:eastAsia="Times New Roman" w:hAnsi="Times New Roman" w:cs="Times New Roman"/>
          <w:sz w:val="24"/>
          <w:szCs w:val="24"/>
          <w:lang w:eastAsia="es-ES"/>
        </w:rPr>
        <w:t xml:space="preserve"> Ver al respecto las observaciones que hace Orlando Borrego en su libro </w:t>
      </w:r>
      <w:r w:rsidRPr="00F77235">
        <w:rPr>
          <w:rFonts w:ascii="Times New Roman" w:eastAsia="Times New Roman" w:hAnsi="Times New Roman" w:cs="Times New Roman"/>
          <w:i/>
          <w:iCs/>
          <w:sz w:val="24"/>
          <w:szCs w:val="24"/>
          <w:lang w:eastAsia="es-ES"/>
        </w:rPr>
        <w:t>El Camino del fuego</w:t>
      </w:r>
      <w:r w:rsidRPr="00F77235">
        <w:rPr>
          <w:rFonts w:ascii="Times New Roman" w:eastAsia="Times New Roman" w:hAnsi="Times New Roman" w:cs="Times New Roman"/>
          <w:sz w:val="24"/>
          <w:szCs w:val="24"/>
          <w:lang w:eastAsia="es-ES"/>
        </w:rPr>
        <w:t>, Ed. C. Sociales, La Habana, 2011.</w:t>
      </w:r>
    </w:p>
    <w:p w:rsidR="00F77235" w:rsidRPr="00F77235" w:rsidRDefault="00F77235" w:rsidP="00F77235">
      <w:pPr>
        <w:spacing w:before="100" w:beforeAutospacing="1" w:after="100" w:afterAutospacing="1" w:line="240" w:lineRule="auto"/>
        <w:rPr>
          <w:rFonts w:ascii="Times New Roman" w:eastAsia="Times New Roman" w:hAnsi="Times New Roman" w:cs="Times New Roman"/>
          <w:sz w:val="24"/>
          <w:szCs w:val="24"/>
          <w:lang w:eastAsia="es-ES"/>
        </w:rPr>
      </w:pPr>
      <w:bookmarkStart w:id="33" w:name="_ftn15"/>
      <w:r w:rsidRPr="00F77235">
        <w:rPr>
          <w:rFonts w:ascii="Times New Roman" w:eastAsia="Times New Roman" w:hAnsi="Times New Roman" w:cs="Times New Roman"/>
          <w:sz w:val="24"/>
          <w:szCs w:val="24"/>
          <w:lang w:eastAsia="es-ES"/>
        </w:rPr>
        <w:t>[15]</w:t>
      </w:r>
      <w:bookmarkEnd w:id="33"/>
      <w:r w:rsidRPr="00F77235">
        <w:rPr>
          <w:rFonts w:ascii="Times New Roman" w:eastAsia="Times New Roman" w:hAnsi="Times New Roman" w:cs="Times New Roman"/>
          <w:sz w:val="24"/>
          <w:szCs w:val="24"/>
          <w:lang w:eastAsia="es-ES"/>
        </w:rPr>
        <w:t xml:space="preserve"> Al respecto puede consultarse el libro de Juan Valdés Paz:</w:t>
      </w:r>
      <w:r w:rsidRPr="00F77235">
        <w:rPr>
          <w:rFonts w:ascii="Times New Roman" w:eastAsia="Times New Roman" w:hAnsi="Times New Roman" w:cs="Times New Roman"/>
          <w:i/>
          <w:iCs/>
          <w:sz w:val="24"/>
          <w:szCs w:val="24"/>
          <w:lang w:eastAsia="es-ES"/>
        </w:rPr>
        <w:t xml:space="preserve"> Los procesos de organización agraria en Cuba 1959 – 2006</w:t>
      </w:r>
      <w:r w:rsidRPr="00F77235">
        <w:rPr>
          <w:rFonts w:ascii="Times New Roman" w:eastAsia="Times New Roman" w:hAnsi="Times New Roman" w:cs="Times New Roman"/>
          <w:sz w:val="24"/>
          <w:szCs w:val="24"/>
          <w:lang w:eastAsia="es-ES"/>
        </w:rPr>
        <w:t>. Editorial Fundación Antonio Núñez Jiménez de la naturaleza y el hombre. La Habana, 2010</w:t>
      </w:r>
    </w:p>
    <w:p w:rsidR="00F77235" w:rsidRPr="00F77235" w:rsidRDefault="00F77235" w:rsidP="00F77235">
      <w:pPr>
        <w:spacing w:before="100" w:beforeAutospacing="1" w:after="100" w:afterAutospacing="1" w:line="240" w:lineRule="auto"/>
        <w:jc w:val="both"/>
        <w:rPr>
          <w:rFonts w:ascii="Times New Roman" w:eastAsia="Times New Roman" w:hAnsi="Times New Roman" w:cs="Times New Roman"/>
          <w:sz w:val="24"/>
          <w:szCs w:val="24"/>
          <w:lang w:eastAsia="es-ES"/>
        </w:rPr>
      </w:pPr>
      <w:bookmarkStart w:id="34" w:name="_ftn16"/>
      <w:r w:rsidRPr="00F77235">
        <w:rPr>
          <w:rFonts w:ascii="Times New Roman" w:eastAsia="Times New Roman" w:hAnsi="Times New Roman" w:cs="Times New Roman"/>
          <w:sz w:val="24"/>
          <w:szCs w:val="24"/>
          <w:lang w:eastAsia="es-ES"/>
        </w:rPr>
        <w:t>[16]</w:t>
      </w:r>
      <w:bookmarkEnd w:id="34"/>
      <w:r w:rsidRPr="00F77235">
        <w:rPr>
          <w:rFonts w:ascii="Times New Roman" w:eastAsia="Times New Roman" w:hAnsi="Times New Roman" w:cs="Times New Roman"/>
          <w:sz w:val="24"/>
          <w:szCs w:val="24"/>
          <w:lang w:eastAsia="es-ES"/>
        </w:rPr>
        <w:t xml:space="preserve"> Ver Informe de investigación: </w:t>
      </w:r>
      <w:r w:rsidRPr="00F77235">
        <w:rPr>
          <w:rFonts w:ascii="Times New Roman" w:eastAsia="Times New Roman" w:hAnsi="Times New Roman" w:cs="Times New Roman"/>
          <w:i/>
          <w:iCs/>
          <w:sz w:val="24"/>
          <w:szCs w:val="24"/>
          <w:lang w:eastAsia="es-ES"/>
        </w:rPr>
        <w:t>La agresividad del gobierno de los Estados Unidos y su impacto sobre la dirección de la economía en Cuba: 1959-1966</w:t>
      </w:r>
      <w:r w:rsidRPr="00F77235">
        <w:rPr>
          <w:rFonts w:ascii="Times New Roman" w:eastAsia="Times New Roman" w:hAnsi="Times New Roman" w:cs="Times New Roman"/>
          <w:sz w:val="24"/>
          <w:szCs w:val="24"/>
          <w:lang w:eastAsia="es-ES"/>
        </w:rPr>
        <w:t xml:space="preserve">. Orlando Benítez </w:t>
      </w:r>
      <w:proofErr w:type="spellStart"/>
      <w:r w:rsidRPr="00F77235">
        <w:rPr>
          <w:rFonts w:ascii="Times New Roman" w:eastAsia="Times New Roman" w:hAnsi="Times New Roman" w:cs="Times New Roman"/>
          <w:sz w:val="24"/>
          <w:szCs w:val="24"/>
          <w:lang w:eastAsia="es-ES"/>
        </w:rPr>
        <w:t>Víctores</w:t>
      </w:r>
      <w:proofErr w:type="spellEnd"/>
      <w:r w:rsidRPr="00F77235">
        <w:rPr>
          <w:rFonts w:ascii="Times New Roman" w:eastAsia="Times New Roman" w:hAnsi="Times New Roman" w:cs="Times New Roman"/>
          <w:sz w:val="24"/>
          <w:szCs w:val="24"/>
          <w:lang w:eastAsia="es-ES"/>
        </w:rPr>
        <w:t>, Instituto de historia de Cuba, 2012.</w:t>
      </w:r>
    </w:p>
    <w:p w:rsidR="00F77235" w:rsidRPr="00F77235" w:rsidRDefault="00F77235" w:rsidP="00F77235">
      <w:pPr>
        <w:spacing w:before="100" w:beforeAutospacing="1" w:after="100" w:afterAutospacing="1" w:line="240" w:lineRule="auto"/>
        <w:jc w:val="both"/>
        <w:rPr>
          <w:rFonts w:ascii="Times New Roman" w:eastAsia="Times New Roman" w:hAnsi="Times New Roman" w:cs="Times New Roman"/>
          <w:sz w:val="24"/>
          <w:szCs w:val="24"/>
          <w:lang w:eastAsia="es-ES"/>
        </w:rPr>
      </w:pPr>
      <w:bookmarkStart w:id="35" w:name="_ftn17"/>
      <w:r w:rsidRPr="00F77235">
        <w:rPr>
          <w:rFonts w:ascii="Times New Roman" w:eastAsia="Times New Roman" w:hAnsi="Times New Roman" w:cs="Times New Roman"/>
          <w:sz w:val="24"/>
          <w:szCs w:val="24"/>
          <w:lang w:eastAsia="es-ES"/>
        </w:rPr>
        <w:t>[17]</w:t>
      </w:r>
      <w:bookmarkEnd w:id="35"/>
      <w:r w:rsidRPr="00F77235">
        <w:rPr>
          <w:rFonts w:ascii="Times New Roman" w:eastAsia="Times New Roman" w:hAnsi="Times New Roman" w:cs="Times New Roman"/>
          <w:sz w:val="24"/>
          <w:szCs w:val="24"/>
          <w:lang w:eastAsia="es-ES"/>
        </w:rPr>
        <w:t xml:space="preserve"> “Las revoluciones suelen tener sus periodos de utopía en que sus protagonistas, consagrados a la noble tarea de convertir en realidad sus sueños y llevar a la práctica sus ideales, creen que las metas históricas están mucho más próximas y que la voluntad, los deseos y las intenciones de los hombres por encima de los hechos objetivos lo pueden todo.” Informe Central al I Congreso del PCC, p. 102.</w:t>
      </w:r>
    </w:p>
    <w:p w:rsidR="00F77235" w:rsidRPr="00F77235" w:rsidRDefault="00F77235" w:rsidP="00F77235">
      <w:pPr>
        <w:spacing w:before="100" w:beforeAutospacing="1" w:after="100" w:afterAutospacing="1" w:line="240" w:lineRule="auto"/>
        <w:rPr>
          <w:rFonts w:ascii="Times New Roman" w:eastAsia="Times New Roman" w:hAnsi="Times New Roman" w:cs="Times New Roman"/>
          <w:sz w:val="24"/>
          <w:szCs w:val="24"/>
          <w:lang w:eastAsia="es-ES"/>
        </w:rPr>
      </w:pPr>
      <w:bookmarkStart w:id="36" w:name="_ftn18"/>
      <w:r w:rsidRPr="00F77235">
        <w:rPr>
          <w:rFonts w:ascii="Times New Roman" w:eastAsia="Times New Roman" w:hAnsi="Times New Roman" w:cs="Times New Roman"/>
          <w:sz w:val="24"/>
          <w:szCs w:val="24"/>
          <w:lang w:eastAsia="es-ES"/>
        </w:rPr>
        <w:t>[18]</w:t>
      </w:r>
      <w:bookmarkEnd w:id="36"/>
      <w:r w:rsidRPr="00F77235">
        <w:rPr>
          <w:rFonts w:ascii="Times New Roman" w:eastAsia="Times New Roman" w:hAnsi="Times New Roman" w:cs="Times New Roman"/>
          <w:sz w:val="24"/>
          <w:szCs w:val="24"/>
          <w:lang w:eastAsia="es-ES"/>
        </w:rPr>
        <w:t xml:space="preserve"> Che: </w:t>
      </w:r>
      <w:r w:rsidRPr="00F77235">
        <w:rPr>
          <w:rFonts w:ascii="Times New Roman" w:eastAsia="Times New Roman" w:hAnsi="Times New Roman" w:cs="Times New Roman"/>
          <w:i/>
          <w:iCs/>
          <w:sz w:val="24"/>
          <w:szCs w:val="24"/>
          <w:lang w:eastAsia="es-ES"/>
        </w:rPr>
        <w:t xml:space="preserve">Apuntes críticos a la economía política, </w:t>
      </w:r>
      <w:r w:rsidRPr="00F77235">
        <w:rPr>
          <w:rFonts w:ascii="Times New Roman" w:eastAsia="Times New Roman" w:hAnsi="Times New Roman" w:cs="Times New Roman"/>
          <w:sz w:val="24"/>
          <w:szCs w:val="24"/>
          <w:lang w:eastAsia="es-ES"/>
        </w:rPr>
        <w:t xml:space="preserve">Ed. de Ciencias Sociales, La Habana, 2006. p.15 </w:t>
      </w:r>
    </w:p>
    <w:p w:rsidR="00181A4D" w:rsidRPr="00F77235" w:rsidRDefault="00181A4D" w:rsidP="00F77235"/>
    <w:sectPr w:rsidR="00181A4D" w:rsidRPr="00F7723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7235"/>
    <w:rsid w:val="00000046"/>
    <w:rsid w:val="00176F5C"/>
    <w:rsid w:val="00181A4D"/>
    <w:rsid w:val="0021192D"/>
    <w:rsid w:val="005B4C44"/>
    <w:rsid w:val="0077766F"/>
    <w:rsid w:val="00A52EB3"/>
    <w:rsid w:val="00BD1F96"/>
    <w:rsid w:val="00C134C9"/>
    <w:rsid w:val="00F77235"/>
    <w:rsid w:val="00FC4B4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ED5803E"/>
  <w15:docId w15:val="{8FC7EB9D-0738-4FFC-AAB5-51EAA2757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F77235"/>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bodytext21">
    <w:name w:val="bodytext21"/>
    <w:basedOn w:val="Normal"/>
    <w:rsid w:val="00F77235"/>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notapie">
    <w:name w:val="footnote text"/>
    <w:basedOn w:val="Normal"/>
    <w:link w:val="TextonotapieCar"/>
    <w:uiPriority w:val="99"/>
    <w:semiHidden/>
    <w:unhideWhenUsed/>
    <w:rsid w:val="00F77235"/>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TextonotapieCar">
    <w:name w:val="Texto nota pie Car"/>
    <w:basedOn w:val="Fuentedeprrafopredeter"/>
    <w:link w:val="Textonotapie"/>
    <w:uiPriority w:val="99"/>
    <w:semiHidden/>
    <w:rsid w:val="00F77235"/>
    <w:rPr>
      <w:rFonts w:ascii="Times New Roman" w:eastAsia="Times New Roman" w:hAnsi="Times New Roman" w:cs="Times New Roman"/>
      <w:sz w:val="24"/>
      <w:szCs w:val="24"/>
      <w:lang w:eastAsia="es-ES"/>
    </w:rPr>
  </w:style>
  <w:style w:type="paragraph" w:styleId="Textoindependiente">
    <w:name w:val="Body Text"/>
    <w:basedOn w:val="Normal"/>
    <w:link w:val="TextoindependienteCar"/>
    <w:uiPriority w:val="99"/>
    <w:semiHidden/>
    <w:unhideWhenUsed/>
    <w:rsid w:val="00F77235"/>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TextoindependienteCar">
    <w:name w:val="Texto independiente Car"/>
    <w:basedOn w:val="Fuentedeprrafopredeter"/>
    <w:link w:val="Textoindependiente"/>
    <w:uiPriority w:val="99"/>
    <w:semiHidden/>
    <w:rsid w:val="00F77235"/>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0743778">
      <w:bodyDiv w:val="1"/>
      <w:marLeft w:val="0"/>
      <w:marRight w:val="0"/>
      <w:marTop w:val="0"/>
      <w:marBottom w:val="0"/>
      <w:divBdr>
        <w:top w:val="none" w:sz="0" w:space="0" w:color="auto"/>
        <w:left w:val="none" w:sz="0" w:space="0" w:color="auto"/>
        <w:bottom w:val="none" w:sz="0" w:space="0" w:color="auto"/>
        <w:right w:val="none" w:sz="0" w:space="0" w:color="auto"/>
      </w:divBdr>
      <w:divsChild>
        <w:div w:id="269899161">
          <w:marLeft w:val="0"/>
          <w:marRight w:val="0"/>
          <w:marTop w:val="0"/>
          <w:marBottom w:val="0"/>
          <w:divBdr>
            <w:top w:val="none" w:sz="0" w:space="0" w:color="auto"/>
            <w:left w:val="none" w:sz="0" w:space="0" w:color="auto"/>
            <w:bottom w:val="none" w:sz="0" w:space="0" w:color="auto"/>
            <w:right w:val="none" w:sz="0" w:space="0" w:color="auto"/>
          </w:divBdr>
        </w:div>
        <w:div w:id="1628004817">
          <w:marLeft w:val="0"/>
          <w:marRight w:val="0"/>
          <w:marTop w:val="0"/>
          <w:marBottom w:val="0"/>
          <w:divBdr>
            <w:top w:val="none" w:sz="0" w:space="0" w:color="auto"/>
            <w:left w:val="none" w:sz="0" w:space="0" w:color="auto"/>
            <w:bottom w:val="none" w:sz="0" w:space="0" w:color="auto"/>
            <w:right w:val="none" w:sz="0" w:space="0" w:color="auto"/>
          </w:divBdr>
        </w:div>
        <w:div w:id="685987015">
          <w:marLeft w:val="0"/>
          <w:marRight w:val="0"/>
          <w:marTop w:val="0"/>
          <w:marBottom w:val="0"/>
          <w:divBdr>
            <w:top w:val="none" w:sz="0" w:space="0" w:color="auto"/>
            <w:left w:val="none" w:sz="0" w:space="0" w:color="auto"/>
            <w:bottom w:val="none" w:sz="0" w:space="0" w:color="auto"/>
            <w:right w:val="none" w:sz="0" w:space="0" w:color="auto"/>
          </w:divBdr>
        </w:div>
        <w:div w:id="78597582">
          <w:marLeft w:val="0"/>
          <w:marRight w:val="0"/>
          <w:marTop w:val="0"/>
          <w:marBottom w:val="0"/>
          <w:divBdr>
            <w:top w:val="none" w:sz="0" w:space="0" w:color="auto"/>
            <w:left w:val="none" w:sz="0" w:space="0" w:color="auto"/>
            <w:bottom w:val="none" w:sz="0" w:space="0" w:color="auto"/>
            <w:right w:val="none" w:sz="0" w:space="0" w:color="auto"/>
          </w:divBdr>
        </w:div>
        <w:div w:id="1993093677">
          <w:marLeft w:val="0"/>
          <w:marRight w:val="0"/>
          <w:marTop w:val="0"/>
          <w:marBottom w:val="0"/>
          <w:divBdr>
            <w:top w:val="none" w:sz="0" w:space="0" w:color="auto"/>
            <w:left w:val="none" w:sz="0" w:space="0" w:color="auto"/>
            <w:bottom w:val="none" w:sz="0" w:space="0" w:color="auto"/>
            <w:right w:val="none" w:sz="0" w:space="0" w:color="auto"/>
          </w:divBdr>
        </w:div>
        <w:div w:id="64226456">
          <w:marLeft w:val="0"/>
          <w:marRight w:val="0"/>
          <w:marTop w:val="0"/>
          <w:marBottom w:val="0"/>
          <w:divBdr>
            <w:top w:val="none" w:sz="0" w:space="0" w:color="auto"/>
            <w:left w:val="none" w:sz="0" w:space="0" w:color="auto"/>
            <w:bottom w:val="none" w:sz="0" w:space="0" w:color="auto"/>
            <w:right w:val="none" w:sz="0" w:space="0" w:color="auto"/>
          </w:divBdr>
        </w:div>
        <w:div w:id="1218708936">
          <w:marLeft w:val="0"/>
          <w:marRight w:val="0"/>
          <w:marTop w:val="0"/>
          <w:marBottom w:val="0"/>
          <w:divBdr>
            <w:top w:val="none" w:sz="0" w:space="0" w:color="auto"/>
            <w:left w:val="none" w:sz="0" w:space="0" w:color="auto"/>
            <w:bottom w:val="none" w:sz="0" w:space="0" w:color="auto"/>
            <w:right w:val="none" w:sz="0" w:space="0" w:color="auto"/>
          </w:divBdr>
        </w:div>
        <w:div w:id="1521627466">
          <w:marLeft w:val="0"/>
          <w:marRight w:val="0"/>
          <w:marTop w:val="0"/>
          <w:marBottom w:val="0"/>
          <w:divBdr>
            <w:top w:val="none" w:sz="0" w:space="0" w:color="auto"/>
            <w:left w:val="none" w:sz="0" w:space="0" w:color="auto"/>
            <w:bottom w:val="none" w:sz="0" w:space="0" w:color="auto"/>
            <w:right w:val="none" w:sz="0" w:space="0" w:color="auto"/>
          </w:divBdr>
        </w:div>
        <w:div w:id="2025595822">
          <w:marLeft w:val="0"/>
          <w:marRight w:val="0"/>
          <w:marTop w:val="0"/>
          <w:marBottom w:val="0"/>
          <w:divBdr>
            <w:top w:val="none" w:sz="0" w:space="0" w:color="auto"/>
            <w:left w:val="none" w:sz="0" w:space="0" w:color="auto"/>
            <w:bottom w:val="none" w:sz="0" w:space="0" w:color="auto"/>
            <w:right w:val="none" w:sz="0" w:space="0" w:color="auto"/>
          </w:divBdr>
        </w:div>
        <w:div w:id="1340502091">
          <w:marLeft w:val="0"/>
          <w:marRight w:val="0"/>
          <w:marTop w:val="0"/>
          <w:marBottom w:val="0"/>
          <w:divBdr>
            <w:top w:val="none" w:sz="0" w:space="0" w:color="auto"/>
            <w:left w:val="none" w:sz="0" w:space="0" w:color="auto"/>
            <w:bottom w:val="none" w:sz="0" w:space="0" w:color="auto"/>
            <w:right w:val="none" w:sz="0" w:space="0" w:color="auto"/>
          </w:divBdr>
        </w:div>
        <w:div w:id="564340888">
          <w:marLeft w:val="0"/>
          <w:marRight w:val="0"/>
          <w:marTop w:val="0"/>
          <w:marBottom w:val="0"/>
          <w:divBdr>
            <w:top w:val="none" w:sz="0" w:space="0" w:color="auto"/>
            <w:left w:val="none" w:sz="0" w:space="0" w:color="auto"/>
            <w:bottom w:val="none" w:sz="0" w:space="0" w:color="auto"/>
            <w:right w:val="none" w:sz="0" w:space="0" w:color="auto"/>
          </w:divBdr>
        </w:div>
        <w:div w:id="1616904370">
          <w:marLeft w:val="0"/>
          <w:marRight w:val="0"/>
          <w:marTop w:val="0"/>
          <w:marBottom w:val="0"/>
          <w:divBdr>
            <w:top w:val="none" w:sz="0" w:space="0" w:color="auto"/>
            <w:left w:val="none" w:sz="0" w:space="0" w:color="auto"/>
            <w:bottom w:val="none" w:sz="0" w:space="0" w:color="auto"/>
            <w:right w:val="none" w:sz="0" w:space="0" w:color="auto"/>
          </w:divBdr>
        </w:div>
        <w:div w:id="797532324">
          <w:marLeft w:val="0"/>
          <w:marRight w:val="0"/>
          <w:marTop w:val="0"/>
          <w:marBottom w:val="0"/>
          <w:divBdr>
            <w:top w:val="none" w:sz="0" w:space="0" w:color="auto"/>
            <w:left w:val="none" w:sz="0" w:space="0" w:color="auto"/>
            <w:bottom w:val="none" w:sz="0" w:space="0" w:color="auto"/>
            <w:right w:val="none" w:sz="0" w:space="0" w:color="auto"/>
          </w:divBdr>
        </w:div>
        <w:div w:id="710233043">
          <w:marLeft w:val="0"/>
          <w:marRight w:val="0"/>
          <w:marTop w:val="0"/>
          <w:marBottom w:val="0"/>
          <w:divBdr>
            <w:top w:val="none" w:sz="0" w:space="0" w:color="auto"/>
            <w:left w:val="none" w:sz="0" w:space="0" w:color="auto"/>
            <w:bottom w:val="none" w:sz="0" w:space="0" w:color="auto"/>
            <w:right w:val="none" w:sz="0" w:space="0" w:color="auto"/>
          </w:divBdr>
        </w:div>
        <w:div w:id="1894344839">
          <w:marLeft w:val="0"/>
          <w:marRight w:val="0"/>
          <w:marTop w:val="0"/>
          <w:marBottom w:val="0"/>
          <w:divBdr>
            <w:top w:val="none" w:sz="0" w:space="0" w:color="auto"/>
            <w:left w:val="none" w:sz="0" w:space="0" w:color="auto"/>
            <w:bottom w:val="none" w:sz="0" w:space="0" w:color="auto"/>
            <w:right w:val="none" w:sz="0" w:space="0" w:color="auto"/>
          </w:divBdr>
        </w:div>
        <w:div w:id="1027101195">
          <w:marLeft w:val="0"/>
          <w:marRight w:val="0"/>
          <w:marTop w:val="0"/>
          <w:marBottom w:val="0"/>
          <w:divBdr>
            <w:top w:val="none" w:sz="0" w:space="0" w:color="auto"/>
            <w:left w:val="none" w:sz="0" w:space="0" w:color="auto"/>
            <w:bottom w:val="none" w:sz="0" w:space="0" w:color="auto"/>
            <w:right w:val="none" w:sz="0" w:space="0" w:color="auto"/>
          </w:divBdr>
        </w:div>
        <w:div w:id="29846188">
          <w:marLeft w:val="0"/>
          <w:marRight w:val="0"/>
          <w:marTop w:val="0"/>
          <w:marBottom w:val="0"/>
          <w:divBdr>
            <w:top w:val="none" w:sz="0" w:space="0" w:color="auto"/>
            <w:left w:val="none" w:sz="0" w:space="0" w:color="auto"/>
            <w:bottom w:val="none" w:sz="0" w:space="0" w:color="auto"/>
            <w:right w:val="none" w:sz="0" w:space="0" w:color="auto"/>
          </w:divBdr>
        </w:div>
        <w:div w:id="1956404823">
          <w:marLeft w:val="0"/>
          <w:marRight w:val="0"/>
          <w:marTop w:val="0"/>
          <w:marBottom w:val="0"/>
          <w:divBdr>
            <w:top w:val="none" w:sz="0" w:space="0" w:color="auto"/>
            <w:left w:val="none" w:sz="0" w:space="0" w:color="auto"/>
            <w:bottom w:val="none" w:sz="0" w:space="0" w:color="auto"/>
            <w:right w:val="none" w:sz="0" w:space="0" w:color="auto"/>
          </w:divBdr>
        </w:div>
        <w:div w:id="11302431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TotalTime>
  <Pages>11</Pages>
  <Words>5338</Words>
  <Characters>29360</Characters>
  <Application>Microsoft Office Word</Application>
  <DocSecurity>0</DocSecurity>
  <Lines>244</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Josue Gómez Perdomo</dc:creator>
  <cp:lastModifiedBy>pc5</cp:lastModifiedBy>
  <cp:revision>2</cp:revision>
  <dcterms:created xsi:type="dcterms:W3CDTF">2015-10-07T18:29:00Z</dcterms:created>
  <dcterms:modified xsi:type="dcterms:W3CDTF">2009-01-01T01:14:00Z</dcterms:modified>
</cp:coreProperties>
</file>