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DB6974A">
      <w:pPr>
        <w:keepNext w:val="0"/>
        <w:keepLines w:val="0"/>
        <w:pageBreakBefore w:val="0"/>
        <w:widowControl/>
        <w:kinsoku/>
        <w:wordWrap/>
        <w:overflowPunct/>
        <w:topLinePunct w:val="0"/>
        <w:autoSpaceDE/>
        <w:autoSpaceDN/>
        <w:bidi w:val="0"/>
        <w:adjustRightInd/>
        <w:snapToGrid/>
        <w:spacing w:after="0" w:line="240" w:lineRule="auto"/>
        <w:textAlignment w:val="auto"/>
        <w:rPr>
          <w:rFonts w:ascii="Arial" w:hAnsi="Arial" w:cs="Arial"/>
          <w:sz w:val="24"/>
          <w:szCs w:val="24"/>
        </w:rPr>
      </w:pPr>
    </w:p>
    <w:p w14:paraId="50D6C79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Arial" w:hAnsi="Arial" w:cs="Arial"/>
          <w:sz w:val="24"/>
          <w:szCs w:val="24"/>
          <w:lang w:val="zh-CN"/>
        </w:rPr>
      </w:pPr>
      <w:r>
        <w:rPr>
          <w:rFonts w:ascii="Arial" w:hAnsi="Arial" w:cs="Arial"/>
          <w:sz w:val="24"/>
          <w:szCs w:val="24"/>
          <w:lang w:val="zh-CN"/>
        </w:rPr>
        <w:t>Universidad Artemisa</w:t>
      </w:r>
    </w:p>
    <w:p w14:paraId="5AB430F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lang w:val="es-ES"/>
        </w:rPr>
      </w:pPr>
      <w:r>
        <w:rPr>
          <w:rFonts w:ascii="Arial" w:hAnsi="Arial" w:cs="Arial"/>
          <w:sz w:val="24"/>
          <w:szCs w:val="24"/>
          <w:lang w:val="zh-CN"/>
        </w:rPr>
        <w:t>Facultad de Ciencias Socia</w:t>
      </w:r>
      <w:bookmarkStart w:id="0" w:name="_GoBack"/>
      <w:bookmarkEnd w:id="0"/>
      <w:r>
        <w:rPr>
          <w:rFonts w:ascii="Arial" w:hAnsi="Arial" w:cs="Arial"/>
          <w:sz w:val="24"/>
          <w:szCs w:val="24"/>
          <w:lang w:val="zh-CN"/>
        </w:rPr>
        <w:t>les</w:t>
      </w:r>
      <w:r>
        <w:rPr>
          <w:rFonts w:hint="default" w:ascii="Arial" w:hAnsi="Arial" w:cs="Arial"/>
          <w:sz w:val="24"/>
          <w:szCs w:val="24"/>
          <w:lang w:val="es-ES"/>
        </w:rPr>
        <w:t xml:space="preserve"> y </w:t>
      </w:r>
      <w:r>
        <w:rPr>
          <w:rFonts w:ascii="Arial" w:hAnsi="Arial" w:cs="Arial"/>
          <w:sz w:val="24"/>
          <w:szCs w:val="24"/>
          <w:lang w:val="zh-CN"/>
        </w:rPr>
        <w:t>Human</w:t>
      </w:r>
      <w:r>
        <w:rPr>
          <w:rFonts w:hint="default" w:ascii="Arial" w:hAnsi="Arial" w:cs="Arial"/>
          <w:sz w:val="24"/>
          <w:szCs w:val="24"/>
          <w:lang w:val="es-ES"/>
        </w:rPr>
        <w:t>ísticas</w:t>
      </w:r>
    </w:p>
    <w:p w14:paraId="4AB9CA7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Arial" w:hAnsi="Arial" w:cs="Arial"/>
          <w:sz w:val="24"/>
          <w:szCs w:val="24"/>
          <w:lang w:val="en-US"/>
        </w:rPr>
      </w:pPr>
      <w:r>
        <w:rPr>
          <w:rFonts w:ascii="Arial" w:hAnsi="Arial" w:cs="Arial"/>
          <w:sz w:val="24"/>
          <w:szCs w:val="24"/>
          <w:lang w:val="en-US"/>
        </w:rPr>
        <w:t>Departamento de Lenguas Extranjeras</w:t>
      </w:r>
    </w:p>
    <w:p w14:paraId="54980B6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Arial" w:hAnsi="Arial" w:cs="Arial"/>
          <w:sz w:val="24"/>
          <w:szCs w:val="24"/>
          <w:lang w:val="en-US"/>
        </w:rPr>
      </w:pPr>
    </w:p>
    <w:p w14:paraId="3924FEB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lang w:val="es-ES"/>
        </w:rPr>
      </w:pPr>
      <w:r>
        <w:rPr>
          <w:rFonts w:ascii="Arial" w:hAnsi="Arial" w:cs="Arial"/>
          <w:sz w:val="24"/>
          <w:szCs w:val="24"/>
          <w:lang w:val="en-US"/>
        </w:rPr>
        <w:t xml:space="preserve">  </w:t>
      </w:r>
      <w:r>
        <w:rPr>
          <w:rFonts w:hint="default" w:ascii="Arial" w:hAnsi="Arial" w:cs="Arial"/>
          <w:sz w:val="24"/>
          <w:szCs w:val="24"/>
          <w:lang w:val="es-ES"/>
        </w:rPr>
        <w:t>PONENCIA</w:t>
      </w:r>
    </w:p>
    <w:p w14:paraId="218ED3D0">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TÍTULO:</w:t>
      </w:r>
      <w:r>
        <w:rPr>
          <w:rFonts w:hint="default" w:ascii="Arial" w:hAnsi="Arial" w:cs="Arial"/>
          <w:sz w:val="24"/>
          <w:szCs w:val="24"/>
          <w:lang w:val="es-ES"/>
        </w:rPr>
        <w:t xml:space="preserve"> </w:t>
      </w:r>
      <w:r>
        <w:rPr>
          <w:rFonts w:ascii="Arial" w:hAnsi="Arial" w:cs="Arial"/>
          <w:sz w:val="24"/>
          <w:szCs w:val="24"/>
          <w:lang w:val="zh-CN"/>
        </w:rPr>
        <w:t>EL DESARROLLO DE LAS HABILIDADES ORALES EN LAS CLASES DE INGLÉS PARA ALUMNOS DE 9º GRADO EN LA ESCUELA SECUNDARIA CARLOS GUTIÉRREZ MENOYO EN EL MUNICIPIO DE CAIMITO.</w:t>
      </w:r>
    </w:p>
    <w:p w14:paraId="386FB7DC">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ascii="Arial" w:hAnsi="Arial" w:eastAsia="Times New Roman" w:cs="Arial"/>
          <w:sz w:val="24"/>
          <w:szCs w:val="24"/>
          <w:lang w:val="zh-CN"/>
        </w:rPr>
      </w:pPr>
      <w:r>
        <w:rPr>
          <w:rFonts w:ascii="Arial" w:hAnsi="Arial" w:eastAsia="Times New Roman" w:cs="Arial"/>
          <w:sz w:val="24"/>
          <w:szCs w:val="24"/>
        </w:rPr>
        <w:t xml:space="preserve">                                                    Autor: Darian Bello Placeres.</w:t>
      </w:r>
    </w:p>
    <w:p w14:paraId="30ED5574">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ascii="Arial" w:hAnsi="Arial" w:eastAsia="Times New Roman" w:cs="Arial"/>
          <w:sz w:val="24"/>
          <w:szCs w:val="24"/>
          <w:lang w:val="zh-CN"/>
        </w:rPr>
      </w:pPr>
      <w:r>
        <w:rPr>
          <w:rFonts w:ascii="Arial" w:hAnsi="Arial" w:eastAsia="Times New Roman" w:cs="Arial"/>
          <w:sz w:val="24"/>
          <w:szCs w:val="24"/>
          <w:lang w:val="zh-CN"/>
        </w:rPr>
        <w:t>Asesora:Dania Del Carmen Fariñas Hernández, M.Sc. y profesor asociado</w:t>
      </w:r>
    </w:p>
    <w:p w14:paraId="1BF41783">
      <w:pPr>
        <w:keepNext w:val="0"/>
        <w:keepLines w:val="0"/>
        <w:pageBreakBefore w:val="0"/>
        <w:widowControl/>
        <w:kinsoku/>
        <w:wordWrap/>
        <w:overflowPunct/>
        <w:topLinePunct w:val="0"/>
        <w:autoSpaceDE/>
        <w:autoSpaceDN/>
        <w:bidi w:val="0"/>
        <w:adjustRightInd/>
        <w:snapToGrid/>
        <w:spacing w:after="0" w:line="240" w:lineRule="auto"/>
        <w:textAlignment w:val="auto"/>
        <w:rPr>
          <w:rFonts w:ascii="Arial" w:hAnsi="Arial" w:eastAsia="Times New Roman" w:cs="Arial"/>
          <w:sz w:val="24"/>
          <w:szCs w:val="24"/>
          <w:lang w:val="zh-CN"/>
        </w:rPr>
      </w:pPr>
      <w:r>
        <w:rPr>
          <w:rFonts w:ascii="Arial" w:hAnsi="Arial" w:eastAsia="Times New Roman" w:cs="Arial"/>
          <w:sz w:val="24"/>
          <w:szCs w:val="24"/>
          <w:lang w:val="zh-CN"/>
        </w:rPr>
        <w:t xml:space="preserve">                                                                   Artemisa</w:t>
      </w:r>
    </w:p>
    <w:p w14:paraId="7E36C44B">
      <w:pPr>
        <w:keepNext w:val="0"/>
        <w:keepLines w:val="0"/>
        <w:pageBreakBefore w:val="0"/>
        <w:widowControl/>
        <w:tabs>
          <w:tab w:val="left" w:pos="7119"/>
        </w:tabs>
        <w:kinsoku/>
        <w:wordWrap/>
        <w:overflowPunct/>
        <w:topLinePunct w:val="0"/>
        <w:autoSpaceDE/>
        <w:autoSpaceDN/>
        <w:bidi w:val="0"/>
        <w:adjustRightInd/>
        <w:snapToGrid/>
        <w:spacing w:after="0" w:line="240" w:lineRule="auto"/>
        <w:textAlignment w:val="auto"/>
        <w:rPr>
          <w:rFonts w:ascii="Arial" w:hAnsi="Arial" w:eastAsia="Times New Roman" w:cs="Arial"/>
          <w:sz w:val="24"/>
          <w:szCs w:val="24"/>
          <w:lang w:val="zh-CN"/>
        </w:rPr>
      </w:pPr>
      <w:r>
        <w:rPr>
          <w:rFonts w:ascii="Arial" w:hAnsi="Arial" w:eastAsia="Times New Roman" w:cs="Arial"/>
          <w:sz w:val="24"/>
          <w:szCs w:val="24"/>
          <w:lang w:val="zh-CN"/>
        </w:rPr>
        <w:tab/>
      </w:r>
    </w:p>
    <w:p w14:paraId="16156AEF">
      <w:pPr>
        <w:keepNext w:val="0"/>
        <w:keepLines w:val="0"/>
        <w:pageBreakBefore w:val="0"/>
        <w:widowControl/>
        <w:kinsoku/>
        <w:wordWrap/>
        <w:overflowPunct/>
        <w:topLinePunct w:val="0"/>
        <w:autoSpaceDE/>
        <w:autoSpaceDN/>
        <w:bidi w:val="0"/>
        <w:adjustRightInd/>
        <w:snapToGrid/>
        <w:spacing w:after="0" w:line="240" w:lineRule="auto"/>
        <w:textAlignment w:val="auto"/>
        <w:rPr>
          <w:rFonts w:ascii="Arial" w:hAnsi="Arial" w:eastAsia="Times New Roman" w:cs="Arial"/>
          <w:sz w:val="24"/>
          <w:szCs w:val="24"/>
          <w:lang w:val="zh-CN"/>
        </w:rPr>
      </w:pPr>
      <w:r>
        <w:rPr>
          <w:rFonts w:ascii="Arial" w:hAnsi="Arial" w:eastAsia="Times New Roman" w:cs="Arial"/>
          <w:sz w:val="24"/>
          <w:szCs w:val="24"/>
          <w:lang w:val="zh-CN"/>
        </w:rPr>
        <w:t xml:space="preserve">                                                                  2025-2026</w:t>
      </w:r>
    </w:p>
    <w:p w14:paraId="4EB405B3">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Arial" w:hAnsi="Arial" w:eastAsia="Times New Roman" w:cs="Arial"/>
          <w:sz w:val="24"/>
          <w:szCs w:val="24"/>
          <w:lang w:val="es-ES"/>
        </w:rPr>
      </w:pPr>
      <w:r>
        <w:rPr>
          <w:rFonts w:ascii="Arial" w:hAnsi="Arial" w:eastAsia="Times New Roman" w:cs="Arial"/>
          <w:sz w:val="24"/>
          <w:szCs w:val="24"/>
          <w:lang w:val="zh-CN"/>
        </w:rPr>
        <w:t xml:space="preserve">                              “</w:t>
      </w:r>
      <w:r>
        <w:rPr>
          <w:rFonts w:hint="default" w:ascii="Arial" w:hAnsi="Arial" w:eastAsia="Times New Roman" w:cs="Arial"/>
          <w:sz w:val="24"/>
          <w:szCs w:val="24"/>
          <w:lang w:val="es-ES"/>
        </w:rPr>
        <w:t>Año del Centenario del Comandante en Jefe Fidel Castro Ruz¨</w:t>
      </w:r>
    </w:p>
    <w:p w14:paraId="6B4B8AAD">
      <w:pPr>
        <w:keepNext w:val="0"/>
        <w:keepLines w:val="0"/>
        <w:pageBreakBefore w:val="0"/>
        <w:widowControl/>
        <w:kinsoku/>
        <w:wordWrap/>
        <w:overflowPunct/>
        <w:topLinePunct w:val="0"/>
        <w:autoSpaceDE/>
        <w:autoSpaceDN/>
        <w:bidi w:val="0"/>
        <w:adjustRightInd/>
        <w:snapToGrid/>
        <w:spacing w:after="0" w:line="240" w:lineRule="auto"/>
        <w:textAlignment w:val="auto"/>
        <w:rPr>
          <w:rFonts w:ascii="Arial" w:hAnsi="Arial" w:cs="Arial"/>
          <w:sz w:val="24"/>
          <w:szCs w:val="24"/>
          <w:lang w:val="zh-CN"/>
        </w:rPr>
      </w:pPr>
      <w:r>
        <w:rPr>
          <w:rFonts w:ascii="Arial" w:hAnsi="Arial" w:cs="Arial"/>
          <w:sz w:val="24"/>
          <w:szCs w:val="24"/>
          <w:lang w:val="zh-CN"/>
        </w:rPr>
        <w:br w:type="page"/>
      </w:r>
    </w:p>
    <w:p w14:paraId="2EEC113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Arial" w:hAnsi="Arial" w:cs="Arial"/>
          <w:sz w:val="24"/>
          <w:szCs w:val="24"/>
          <w:lang w:val="zh-CN"/>
        </w:rPr>
      </w:pPr>
      <w:r>
        <w:rPr>
          <w:rFonts w:ascii="Arial" w:hAnsi="Arial" w:cs="Arial"/>
          <w:sz w:val="24"/>
          <w:szCs w:val="24"/>
          <w:lang w:val="zh-CN"/>
        </w:rPr>
        <w:t>Resumen:</w:t>
      </w:r>
    </w:p>
    <w:p w14:paraId="315DD86E">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El desarrollo de las habilidades orales ocupa un papel fundamental en el proceso de aprendizaje del idioma inglés como lengua extranjera, especialmente en la enseñanza secundaria. Sin embargo, muchos estudiantes de noveno grado enfrentan dificultades al intentar expresar sus ideas de forma oral, debido a un vocabulario limitado, falta de confianza y escasas oportunidades de práctica en situaciones comunicativas reales. Esta investigación aborda el problema de cómo desarrollar las habilidades orales en los estudiantes de noveno grado, en la escuela secundaria básica Carlos Gutiérrez Menoyo en el municipio de caimito. El objetivo de la investigación es proponer un conjunto de actividades para el desarrollo de las habilidades del habla en los estudiantes de noveno grado en la secundaria básica Carlos Gutiérrez Menoyo en el municipio de caimito. Los métodos que se utilizaron para la investigación se caracterizan de dos tipos: empíricos y teóricos: los teóricos: inductivo -deductivo,histórico -logico , analítico -</w:t>
      </w:r>
      <w:r>
        <w:rPr>
          <w:rFonts w:ascii="Arial" w:hAnsi="Arial" w:cs="Arial"/>
          <w:sz w:val="24"/>
          <w:szCs w:val="24"/>
          <w:lang w:val="es-ES"/>
        </w:rPr>
        <w:t>sintético</w:t>
      </w:r>
      <w:r>
        <w:rPr>
          <w:rFonts w:ascii="Arial" w:hAnsi="Arial" w:cs="Arial"/>
          <w:sz w:val="24"/>
          <w:szCs w:val="24"/>
          <w:lang w:val="zh-CN"/>
        </w:rPr>
        <w:t>,el enfoque sistémico ,y los empíricos:la guía de observación,la encuesta y la prueba pedagógica.</w:t>
      </w:r>
      <w:r>
        <w:rPr>
          <w:rFonts w:hint="default" w:ascii="Arial" w:hAnsi="Arial" w:cs="Arial"/>
          <w:sz w:val="24"/>
          <w:szCs w:val="24"/>
          <w:lang w:val="es-ES"/>
        </w:rPr>
        <w:t xml:space="preserve"> S</w:t>
      </w:r>
      <w:r>
        <w:rPr>
          <w:rFonts w:ascii="Arial" w:hAnsi="Arial" w:cs="Arial"/>
          <w:sz w:val="24"/>
          <w:szCs w:val="24"/>
          <w:lang w:val="zh-CN"/>
        </w:rPr>
        <w:t>e identificó que los estudiantes de octavo grado en la escuela Carlos Gutierrez Menoyo presentan dificultades para expresarse en inglés, especialmente al hablar. A partir de este diagnóstico, se diseñan actividades interactivas y participativas que responden a sus necesidades, con el objetivo de mejorar sus habilidades comunicativas de manera efectiva y motivadora, fomentando un aprendizaje más significativo del idioma. Los resultados obtenidos evidencian una mejora significativa en la participación oral de los estudiantes, un aumento del vocabulario activo y una mayor confianza al comunicarse en inglés. Además, las actividades diseñadas demostraron ser efectivas para fomentar la interacción y el aprendizaje colaborativo dentro del aula, generando un ambiente más motivador y propicio para el desarrollo de la expresión oral. En conclusión, la propuesta contribuye de manera positiva al fortalecimiento de las competencias comunicativas en inglés de los estudiantes de noveno grado.</w:t>
      </w:r>
    </w:p>
    <w:p w14:paraId="7844BF30">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Palabras claves: Habilidades orales, enseñanza e inglés,</w:t>
      </w:r>
    </w:p>
    <w:p w14:paraId="00677C5E">
      <w:pPr>
        <w:keepNext w:val="0"/>
        <w:keepLines w:val="0"/>
        <w:pageBreakBefore w:val="0"/>
        <w:widowControl/>
        <w:kinsoku/>
        <w:wordWrap/>
        <w:overflowPunct/>
        <w:topLinePunct w:val="0"/>
        <w:autoSpaceDE/>
        <w:autoSpaceDN/>
        <w:bidi w:val="0"/>
        <w:adjustRightInd/>
        <w:snapToGrid/>
        <w:spacing w:after="0" w:line="240" w:lineRule="auto"/>
        <w:textAlignment w:val="auto"/>
        <w:rPr>
          <w:rFonts w:ascii="Arial" w:hAnsi="Arial" w:cs="Arial"/>
          <w:sz w:val="24"/>
          <w:szCs w:val="24"/>
          <w:lang w:val="zh-CN"/>
        </w:rPr>
      </w:pPr>
    </w:p>
    <w:p w14:paraId="1D1AD33B">
      <w:pPr>
        <w:keepNext w:val="0"/>
        <w:keepLines w:val="0"/>
        <w:pageBreakBefore w:val="0"/>
        <w:widowControl/>
        <w:kinsoku/>
        <w:wordWrap/>
        <w:overflowPunct/>
        <w:topLinePunct w:val="0"/>
        <w:autoSpaceDE/>
        <w:autoSpaceDN/>
        <w:bidi w:val="0"/>
        <w:adjustRightInd/>
        <w:snapToGrid/>
        <w:spacing w:after="0" w:line="240" w:lineRule="auto"/>
        <w:textAlignment w:val="auto"/>
        <w:rPr>
          <w:rFonts w:ascii="Arial" w:hAnsi="Arial" w:cs="Arial"/>
          <w:sz w:val="24"/>
          <w:szCs w:val="24"/>
          <w:lang w:val="zh-CN"/>
        </w:rPr>
      </w:pPr>
    </w:p>
    <w:p w14:paraId="292630F0">
      <w:pPr>
        <w:keepNext w:val="0"/>
        <w:keepLines w:val="0"/>
        <w:pageBreakBefore w:val="0"/>
        <w:widowControl/>
        <w:kinsoku/>
        <w:wordWrap/>
        <w:overflowPunct/>
        <w:topLinePunct w:val="0"/>
        <w:autoSpaceDE/>
        <w:autoSpaceDN/>
        <w:bidi w:val="0"/>
        <w:adjustRightInd/>
        <w:snapToGrid/>
        <w:spacing w:after="0" w:line="240" w:lineRule="auto"/>
        <w:textAlignment w:val="auto"/>
        <w:rPr>
          <w:rFonts w:ascii="Arial" w:hAnsi="Arial" w:cs="Arial"/>
          <w:sz w:val="24"/>
          <w:szCs w:val="24"/>
          <w:lang w:val="zh-CN"/>
        </w:rPr>
      </w:pPr>
    </w:p>
    <w:p w14:paraId="39303962">
      <w:pPr>
        <w:keepNext w:val="0"/>
        <w:keepLines w:val="0"/>
        <w:pageBreakBefore w:val="0"/>
        <w:widowControl/>
        <w:kinsoku/>
        <w:wordWrap/>
        <w:overflowPunct/>
        <w:topLinePunct w:val="0"/>
        <w:autoSpaceDE/>
        <w:autoSpaceDN/>
        <w:bidi w:val="0"/>
        <w:adjustRightInd/>
        <w:snapToGrid/>
        <w:spacing w:after="0" w:line="240" w:lineRule="auto"/>
        <w:textAlignment w:val="auto"/>
        <w:rPr>
          <w:rFonts w:ascii="Arial" w:hAnsi="Arial" w:cs="Arial"/>
          <w:sz w:val="24"/>
          <w:szCs w:val="24"/>
          <w:lang w:val="zh-CN"/>
        </w:rPr>
      </w:pPr>
    </w:p>
    <w:p w14:paraId="0A164869">
      <w:pPr>
        <w:keepNext w:val="0"/>
        <w:keepLines w:val="0"/>
        <w:pageBreakBefore w:val="0"/>
        <w:widowControl/>
        <w:kinsoku/>
        <w:wordWrap/>
        <w:overflowPunct/>
        <w:topLinePunct w:val="0"/>
        <w:autoSpaceDE/>
        <w:autoSpaceDN/>
        <w:bidi w:val="0"/>
        <w:adjustRightInd/>
        <w:snapToGrid/>
        <w:spacing w:after="0" w:line="240" w:lineRule="auto"/>
        <w:textAlignment w:val="auto"/>
        <w:rPr>
          <w:rFonts w:ascii="Arial" w:hAnsi="Arial" w:cs="Arial"/>
          <w:sz w:val="24"/>
          <w:szCs w:val="24"/>
          <w:lang w:val="zh-CN"/>
        </w:rPr>
      </w:pPr>
    </w:p>
    <w:p w14:paraId="13E49586">
      <w:pPr>
        <w:keepNext w:val="0"/>
        <w:keepLines w:val="0"/>
        <w:pageBreakBefore w:val="0"/>
        <w:widowControl/>
        <w:kinsoku/>
        <w:wordWrap/>
        <w:overflowPunct/>
        <w:topLinePunct w:val="0"/>
        <w:autoSpaceDE/>
        <w:autoSpaceDN/>
        <w:bidi w:val="0"/>
        <w:adjustRightInd/>
        <w:snapToGrid/>
        <w:spacing w:after="0" w:line="240" w:lineRule="auto"/>
        <w:textAlignment w:val="auto"/>
        <w:rPr>
          <w:rFonts w:ascii="Arial" w:hAnsi="Arial" w:cs="Arial"/>
          <w:sz w:val="24"/>
          <w:szCs w:val="24"/>
          <w:lang w:val="zh-CN"/>
        </w:rPr>
      </w:pPr>
    </w:p>
    <w:p w14:paraId="4349040E">
      <w:pPr>
        <w:keepNext w:val="0"/>
        <w:keepLines w:val="0"/>
        <w:pageBreakBefore w:val="0"/>
        <w:widowControl/>
        <w:kinsoku/>
        <w:wordWrap/>
        <w:overflowPunct/>
        <w:topLinePunct w:val="0"/>
        <w:autoSpaceDE/>
        <w:autoSpaceDN/>
        <w:bidi w:val="0"/>
        <w:adjustRightInd/>
        <w:snapToGrid/>
        <w:spacing w:after="0" w:line="240" w:lineRule="auto"/>
        <w:textAlignment w:val="auto"/>
        <w:rPr>
          <w:rFonts w:ascii="Arial" w:hAnsi="Arial" w:cs="Arial"/>
          <w:sz w:val="24"/>
          <w:szCs w:val="24"/>
          <w:lang w:val="zh-CN"/>
        </w:rPr>
      </w:pPr>
      <w:r>
        <w:rPr>
          <w:rFonts w:ascii="Arial" w:hAnsi="Arial" w:cs="Arial"/>
          <w:sz w:val="24"/>
          <w:szCs w:val="24"/>
          <w:lang w:val="zh-CN"/>
        </w:rPr>
        <w:t>Introducción</w:t>
      </w:r>
    </w:p>
    <w:p w14:paraId="632D66C6">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El inglés se ha convertido en uno de los idiomas más utilizados en todo el mundo para diversos fines, como la comunicación internacional, el fortalecimiento de las relaciones entre países, el comercio y el acceso a nuevos conocimientos y tecnologías; además, se ha convertido en un tema estratégico en nuestro sistema educativo.</w:t>
      </w:r>
    </w:p>
    <w:p w14:paraId="5FCCA40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El principal objetivo del Sistema Educativo Cubano siempre ha sido brindar una educación de calidad, es decir, integral. Nuestro invicto Comandante en Jefe Fidel Castro Ruz siempre abogó por el estudio de una lengua extranjera; desde el inicio de la Revolución Cubana, en uno de sus discursos expresó:</w:t>
      </w:r>
    </w:p>
    <w:p w14:paraId="48BD822D">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i/>
          <w:iCs/>
          <w:sz w:val="24"/>
          <w:szCs w:val="24"/>
          <w:lang w:val="zh-CN"/>
        </w:rPr>
      </w:pPr>
      <w:r>
        <w:rPr>
          <w:rFonts w:ascii="Arial" w:hAnsi="Arial" w:cs="Arial"/>
          <w:i/>
          <w:iCs/>
          <w:sz w:val="24"/>
          <w:szCs w:val="24"/>
          <w:lang w:val="zh-CN"/>
        </w:rPr>
        <w:t>"...Estudiamos inglés. Es muy bueno estudiar inglés, es correcto estudiar inglés, es necesario estudiar inglés, debido a la gran cantidad de libros, conocimientos y avances que se pueden estudiar en ese idioma, debido a las ventajas y beneficios que esto conlleva, debido a las relaciones con técnicos angloparlantes; y, además, porque en el futuro también habrá cambios sociales en los países de habla inglesa y algún día tendremos que hablar en inglés con los revolucionarios norteamericanos..."</w:t>
      </w:r>
    </w:p>
    <w:p w14:paraId="2937C5D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i/>
          <w:iCs/>
          <w:sz w:val="24"/>
          <w:szCs w:val="24"/>
          <w:lang w:val="zh-CN"/>
        </w:rPr>
      </w:pPr>
      <w:r>
        <w:rPr>
          <w:rFonts w:ascii="Arial" w:hAnsi="Arial" w:cs="Arial"/>
          <w:i/>
          <w:iCs/>
          <w:sz w:val="24"/>
          <w:szCs w:val="24"/>
          <w:lang w:val="zh-CN"/>
        </w:rPr>
        <w:t>(Fidel Castro Ruz, 5 de septiembre de 1961)</w:t>
      </w:r>
    </w:p>
    <w:p w14:paraId="2B9DB57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Situación problemática:</w:t>
      </w:r>
    </w:p>
    <w:p w14:paraId="5C46C708">
      <w:pPr>
        <w:pStyle w:val="16"/>
        <w:keepNext w:val="0"/>
        <w:keepLines w:val="0"/>
        <w:pageBreakBefore w:val="0"/>
        <w:widowControl/>
        <w:kinsoku/>
        <w:wordWrap/>
        <w:overflowPunct/>
        <w:topLinePunct w:val="0"/>
        <w:autoSpaceDE/>
        <w:autoSpaceDN/>
        <w:bidi w:val="0"/>
        <w:adjustRightInd/>
        <w:snapToGrid/>
        <w:spacing w:after="0" w:line="240" w:lineRule="auto"/>
        <w:ind w:left="770"/>
        <w:jc w:val="both"/>
        <w:textAlignment w:val="auto"/>
        <w:rPr>
          <w:rFonts w:ascii="Arial" w:hAnsi="Arial" w:cs="Arial"/>
          <w:sz w:val="24"/>
          <w:szCs w:val="24"/>
          <w:lang w:val="zh-CN"/>
        </w:rPr>
      </w:pPr>
      <w:r>
        <w:rPr>
          <w:rFonts w:ascii="Arial" w:hAnsi="Arial" w:cs="Arial"/>
          <w:sz w:val="24"/>
          <w:szCs w:val="24"/>
          <w:lang w:val="zh-CN"/>
        </w:rPr>
        <w:t>Estado ideal:</w:t>
      </w:r>
    </w:p>
    <w:p w14:paraId="224E57F9">
      <w:pPr>
        <w:pStyle w:val="16"/>
        <w:keepNext w:val="0"/>
        <w:keepLines w:val="0"/>
        <w:pageBreakBefore w:val="0"/>
        <w:widowControl/>
        <w:kinsoku/>
        <w:wordWrap/>
        <w:overflowPunct/>
        <w:topLinePunct w:val="0"/>
        <w:autoSpaceDE/>
        <w:autoSpaceDN/>
        <w:bidi w:val="0"/>
        <w:adjustRightInd/>
        <w:snapToGrid/>
        <w:spacing w:after="0" w:line="240" w:lineRule="auto"/>
        <w:ind w:left="770"/>
        <w:jc w:val="both"/>
        <w:textAlignment w:val="auto"/>
        <w:rPr>
          <w:rFonts w:ascii="Arial" w:hAnsi="Arial" w:cs="Arial"/>
          <w:sz w:val="24"/>
          <w:szCs w:val="24"/>
          <w:lang w:val="zh-CN"/>
        </w:rPr>
      </w:pPr>
      <w:r>
        <w:rPr>
          <w:rFonts w:ascii="Arial" w:hAnsi="Arial" w:cs="Arial"/>
          <w:sz w:val="24"/>
          <w:szCs w:val="24"/>
          <w:lang w:val="zh-CN"/>
        </w:rPr>
        <w:t>Objetivos del programa de estudios – 9.º grado:</w:t>
      </w:r>
    </w:p>
    <w:p w14:paraId="3291ABAC">
      <w:pPr>
        <w:pStyle w:val="16"/>
        <w:keepNext w:val="0"/>
        <w:keepLines w:val="0"/>
        <w:pageBreakBefore w:val="0"/>
        <w:widowControl/>
        <w:kinsoku/>
        <w:wordWrap/>
        <w:overflowPunct/>
        <w:topLinePunct w:val="0"/>
        <w:autoSpaceDE/>
        <w:autoSpaceDN/>
        <w:bidi w:val="0"/>
        <w:adjustRightInd/>
        <w:snapToGrid/>
        <w:spacing w:after="0" w:line="240" w:lineRule="auto"/>
        <w:ind w:left="770"/>
        <w:jc w:val="both"/>
        <w:textAlignment w:val="auto"/>
        <w:rPr>
          <w:rFonts w:ascii="Arial" w:hAnsi="Arial" w:cs="Arial"/>
          <w:sz w:val="24"/>
          <w:szCs w:val="24"/>
          <w:lang w:val="zh-CN"/>
        </w:rPr>
      </w:pPr>
      <w:r>
        <w:rPr>
          <w:rFonts w:ascii="Arial" w:hAnsi="Arial" w:cs="Arial"/>
          <w:sz w:val="24"/>
          <w:szCs w:val="24"/>
          <w:lang w:val="zh-CN"/>
        </w:rPr>
        <w:t>1. Comprender la idea principal y algunos detalles específicos en conversaciones, grabaciones y diálogos sobre temas familiares, escolares y sociales.</w:t>
      </w:r>
    </w:p>
    <w:p w14:paraId="1973B283">
      <w:pPr>
        <w:pStyle w:val="16"/>
        <w:keepNext w:val="0"/>
        <w:keepLines w:val="0"/>
        <w:pageBreakBefore w:val="0"/>
        <w:widowControl/>
        <w:kinsoku/>
        <w:wordWrap/>
        <w:overflowPunct/>
        <w:topLinePunct w:val="0"/>
        <w:autoSpaceDE/>
        <w:autoSpaceDN/>
        <w:bidi w:val="0"/>
        <w:adjustRightInd/>
        <w:snapToGrid/>
        <w:spacing w:after="0" w:line="240" w:lineRule="auto"/>
        <w:ind w:left="770"/>
        <w:jc w:val="both"/>
        <w:textAlignment w:val="auto"/>
        <w:rPr>
          <w:rFonts w:ascii="Arial" w:hAnsi="Arial" w:cs="Arial"/>
          <w:sz w:val="24"/>
          <w:szCs w:val="24"/>
          <w:lang w:val="zh-CN"/>
        </w:rPr>
      </w:pPr>
      <w:r>
        <w:rPr>
          <w:rFonts w:ascii="Arial" w:hAnsi="Arial" w:cs="Arial"/>
          <w:sz w:val="24"/>
          <w:szCs w:val="24"/>
          <w:lang w:val="zh-CN"/>
        </w:rPr>
        <w:t>2. Seguir instrucciones orales sencillas relacionadas con actividades cotidianas y contextos escolares, demostrando comprensión del mensaje principal.</w:t>
      </w:r>
    </w:p>
    <w:p w14:paraId="06941AF1">
      <w:pPr>
        <w:pStyle w:val="16"/>
        <w:keepNext w:val="0"/>
        <w:keepLines w:val="0"/>
        <w:pageBreakBefore w:val="0"/>
        <w:widowControl/>
        <w:kinsoku/>
        <w:wordWrap/>
        <w:overflowPunct/>
        <w:topLinePunct w:val="0"/>
        <w:autoSpaceDE/>
        <w:autoSpaceDN/>
        <w:bidi w:val="0"/>
        <w:adjustRightInd/>
        <w:snapToGrid/>
        <w:spacing w:after="0" w:line="240" w:lineRule="auto"/>
        <w:ind w:left="770"/>
        <w:jc w:val="both"/>
        <w:textAlignment w:val="auto"/>
        <w:rPr>
          <w:rFonts w:ascii="Arial" w:hAnsi="Arial" w:cs="Arial"/>
          <w:sz w:val="24"/>
          <w:szCs w:val="24"/>
          <w:lang w:val="zh-CN"/>
        </w:rPr>
      </w:pPr>
      <w:r>
        <w:rPr>
          <w:rFonts w:ascii="Arial" w:hAnsi="Arial" w:cs="Arial"/>
          <w:sz w:val="24"/>
          <w:szCs w:val="24"/>
          <w:lang w:val="zh-CN"/>
        </w:rPr>
        <w:t>3. Expresarse de forma clara y coherente sobre experiencias personales, familiares y escolares, utilizando estructuras básicas de los tiempos presente, pasado y futuro.</w:t>
      </w:r>
    </w:p>
    <w:p w14:paraId="7ADA50BC">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 xml:space="preserve">           4. Participar en breves intercambios comunicativos, demostrando una pronunciación correcta, expresiones sociales apropiadas y fluidez en la interacción oral.</w:t>
      </w:r>
    </w:p>
    <w:p w14:paraId="24583D8D">
      <w:pPr>
        <w:pStyle w:val="16"/>
        <w:keepNext w:val="0"/>
        <w:keepLines w:val="0"/>
        <w:pageBreakBefore w:val="0"/>
        <w:widowControl/>
        <w:kinsoku/>
        <w:wordWrap/>
        <w:overflowPunct/>
        <w:topLinePunct w:val="0"/>
        <w:autoSpaceDE/>
        <w:autoSpaceDN/>
        <w:bidi w:val="0"/>
        <w:adjustRightInd/>
        <w:snapToGrid/>
        <w:spacing w:after="0" w:line="240" w:lineRule="auto"/>
        <w:ind w:left="770"/>
        <w:jc w:val="both"/>
        <w:textAlignment w:val="auto"/>
        <w:rPr>
          <w:rFonts w:ascii="Arial" w:hAnsi="Arial" w:cs="Arial"/>
          <w:sz w:val="24"/>
          <w:szCs w:val="24"/>
          <w:lang w:val="zh-CN"/>
        </w:rPr>
      </w:pPr>
      <w:r>
        <w:rPr>
          <w:rFonts w:ascii="Arial" w:hAnsi="Arial" w:cs="Arial"/>
          <w:sz w:val="24"/>
          <w:szCs w:val="24"/>
          <w:lang w:val="zh-CN"/>
        </w:rPr>
        <w:t>5. Lee textos cortos y adaptados para identificar las ideas principales, los detalles relevantes y la intención comunicativa del autor.</w:t>
      </w:r>
    </w:p>
    <w:p w14:paraId="683E0A6F">
      <w:pPr>
        <w:pStyle w:val="16"/>
        <w:keepNext w:val="0"/>
        <w:keepLines w:val="0"/>
        <w:pageBreakBefore w:val="0"/>
        <w:widowControl/>
        <w:kinsoku/>
        <w:wordWrap/>
        <w:overflowPunct/>
        <w:topLinePunct w:val="0"/>
        <w:autoSpaceDE/>
        <w:autoSpaceDN/>
        <w:bidi w:val="0"/>
        <w:adjustRightInd/>
        <w:snapToGrid/>
        <w:spacing w:after="0" w:line="240" w:lineRule="auto"/>
        <w:ind w:left="770"/>
        <w:jc w:val="both"/>
        <w:textAlignment w:val="auto"/>
        <w:rPr>
          <w:rFonts w:ascii="Arial" w:hAnsi="Arial" w:cs="Arial"/>
          <w:sz w:val="24"/>
          <w:szCs w:val="24"/>
          <w:lang w:val="zh-CN"/>
        </w:rPr>
      </w:pPr>
      <w:r>
        <w:rPr>
          <w:rFonts w:ascii="Arial" w:hAnsi="Arial" w:cs="Arial"/>
          <w:sz w:val="24"/>
          <w:szCs w:val="24"/>
          <w:lang w:val="zh-CN"/>
        </w:rPr>
        <w:t xml:space="preserve">6. Inferir el significado de palabras o expresiones desconocidas a partir del contexto, lo que fortalece la comprensión lectora general.        </w:t>
      </w:r>
    </w:p>
    <w:p w14:paraId="2F2337B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 xml:space="preserve">              7. Redactar textos breves y coherentes —como descripciones, narraciones o cartas personales— utilizando vocabulario y estructuras gramaticales adecuadas.</w:t>
      </w:r>
    </w:p>
    <w:p w14:paraId="751D36D4">
      <w:pPr>
        <w:pStyle w:val="16"/>
        <w:keepNext w:val="0"/>
        <w:keepLines w:val="0"/>
        <w:pageBreakBefore w:val="0"/>
        <w:widowControl/>
        <w:kinsoku/>
        <w:wordWrap/>
        <w:overflowPunct/>
        <w:topLinePunct w:val="0"/>
        <w:autoSpaceDE/>
        <w:autoSpaceDN/>
        <w:bidi w:val="0"/>
        <w:adjustRightInd/>
        <w:snapToGrid/>
        <w:spacing w:after="0" w:line="240" w:lineRule="auto"/>
        <w:ind w:left="770"/>
        <w:jc w:val="both"/>
        <w:textAlignment w:val="auto"/>
        <w:rPr>
          <w:rFonts w:ascii="Arial" w:hAnsi="Arial" w:cs="Arial"/>
          <w:sz w:val="24"/>
          <w:szCs w:val="24"/>
          <w:lang w:val="zh-CN"/>
        </w:rPr>
      </w:pPr>
      <w:r>
        <w:rPr>
          <w:rFonts w:ascii="Arial" w:hAnsi="Arial" w:cs="Arial"/>
          <w:sz w:val="24"/>
          <w:szCs w:val="24"/>
          <w:lang w:val="zh-CN"/>
        </w:rPr>
        <w:t>8. Aplicar correctamente los tiempos verbales básicos y respetar las reglas elementales de ortografía y puntuación en la producción escrita.</w:t>
      </w:r>
    </w:p>
    <w:p w14:paraId="7CCD4A90">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hint="default" w:ascii="Arial" w:hAnsi="Arial" w:cs="Arial"/>
          <w:sz w:val="24"/>
          <w:szCs w:val="24"/>
          <w:lang w:val="es-ES"/>
        </w:rPr>
        <w:t>Estado</w:t>
      </w:r>
      <w:r>
        <w:rPr>
          <w:rFonts w:ascii="Arial" w:hAnsi="Arial" w:cs="Arial"/>
          <w:sz w:val="24"/>
          <w:szCs w:val="24"/>
          <w:lang w:val="zh-CN"/>
        </w:rPr>
        <w:t xml:space="preserve"> real:</w:t>
      </w:r>
    </w:p>
    <w:p w14:paraId="6AB277B6">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La realidad observada en los estudiantes de noveno grado de la Escuela Secundaria Carlos Gutiérrez Menoyo muestra varias dificultades concretas que limitan el cumplimiento de los objetivos de expresión oral establecidos en el programa de inglés de noveno grado. Las principales dificultades identificadas son:</w:t>
      </w:r>
    </w:p>
    <w:p w14:paraId="5BA775A1">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1. Dominio insuficiente de las funciones comunicativas básicas incluidas en el programa de estudios (como expresar gustos y disgustos, dar información personal, describir rutinas diarias y hablar sobre eventos pasados), lo que impide que los estudiantes participen eficazmente en intercambios orales sencillos.</w:t>
      </w:r>
    </w:p>
    <w:p w14:paraId="42588CA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2. Pronunciación incorrecta de vocabulario clave del programa, especialmente palabras relacionadas con las unidades temáticas de 9.º grado (familia, salud, vida escolar, medio ambiente, preferencias personales), lo que reduce la claridad en la comunicación.</w:t>
      </w:r>
    </w:p>
    <w:p w14:paraId="5A181950">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3. Sustitución de fonemas ingleses no presentes en español, en particular /</w:t>
      </w:r>
      <w:r>
        <w:rPr>
          <w:rFonts w:ascii="Arial" w:hAnsi="Arial" w:cs="Arial"/>
          <w:sz w:val="24"/>
          <w:szCs w:val="24"/>
          <w:lang w:val="en-US"/>
        </w:rPr>
        <w:t>θ</w:t>
      </w:r>
      <w:r>
        <w:rPr>
          <w:rFonts w:ascii="Arial" w:hAnsi="Arial" w:cs="Arial"/>
          <w:sz w:val="24"/>
          <w:szCs w:val="24"/>
          <w:lang w:val="zh-CN"/>
        </w:rPr>
        <w:t>/ y /ð/, que son esenciales para el vocabulario y las expresiones que se practican en el grado.</w:t>
      </w:r>
    </w:p>
    <w:p w14:paraId="698FF291">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4. Omisión de consonantes finales, especialmente en verbos regulares en pasado (trabajó, visitó, ayudó) y formas plurales que terminan en -s, las cuales son necesarias para expresar acciones pasadas y describir actividades diarias o habituales.</w:t>
      </w:r>
    </w:p>
    <w:p w14:paraId="5259A314">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5. Control limitado de los patrones de entonación utilizados para hacer y responder preguntas de Sí/No y preguntas con Wh-, que son estructuras interactivas fundamentales que se enfatizan en la práctica comunicativa de noveno grado.</w:t>
      </w:r>
    </w:p>
    <w:p w14:paraId="3F363129">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6. Dificultad para producir oraciones completas al responder a las indicaciones relacionadas con el contenido de cada unidad, limitando a menudo sus respuestas a palabras sueltas o frases cortas en lugar de expresiones simples pero significativas.</w:t>
      </w:r>
    </w:p>
    <w:p w14:paraId="1D08B721">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7. Baja fluidez y frecuentes vacilaciones al participar en actividades de trabajo en parejas y en grupo recomendadas por el programa de estudios para fomentar la interacción y la confianza comunicativa.</w:t>
      </w:r>
    </w:p>
    <w:p w14:paraId="72664088">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8. Capacidad limitada para mantener conversaciones breves, como se requiere en las tareas del libro de texto (entrevistas entre compañeros, juegos de rol, diálogos, intercambios breves), debido a la falta de recuperación de vocabulario y a la práctica insuficiente en el habla espontánea.</w:t>
      </w:r>
    </w:p>
    <w:p w14:paraId="57C68F8D">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9. Baja autoconfianza al hablar, lo que conlleva una menor participación durante las tareas orales, como los ejercicios de calentamiento, las conversaciones y los juegos comunicativos sugeridos en las directrices metodológicas.</w:t>
      </w:r>
    </w:p>
    <w:p w14:paraId="777DEEA8">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10. Dependencia del apoyo del profesor para construir expresiones sencillas e interactuar, especialmente durante las tareas orales diseñadas para promover la independencia y la autonomía comunicativa.</w:t>
      </w:r>
    </w:p>
    <w:p w14:paraId="6CAB0B1F">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Surge una contradicción entre el estado ideal, que requiere que los estudiantes de noveno grado participen en intercambios orales sencillos, utilicen funciones comunicativas básicas, produzcan enunciados comprensibles con pronunciación e entonación adecuadas e interactúen con confianza durante las clases de inglés, y el estado real, en el que los estudiantes muestran problemas notables de pronunciación, control limitado de la entonación, dominio insuficiente de las funciones comunicativas, baja fluidez, enunciados incompletos y falta de confianza para participar en interacciones orales.</w:t>
      </w:r>
    </w:p>
    <w:p w14:paraId="5CB508C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Según Amin (2020), hablar se considera la habilidad más esencial para el aprendizaje y el éxito académico. Se cree que la interacción oral está significativamente relacionada con los logros de una persona tanto en el ámbito personal como profesional.</w:t>
      </w:r>
    </w:p>
    <w:p w14:paraId="4E3CB8C4">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Por lo tanto, es fundamental que los estudiantes dominen esta habilidad, ya que les permite acceder a información científica e intelectual disponible únicamente en inglés, enriqueciendo su vocabulario y ampliando su competencia comunicativa.</w:t>
      </w:r>
    </w:p>
    <w:p w14:paraId="652D970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Según Benavides, Sanhueza Henríquez, Aroca Toloza, Shepelytska y Maldonado García (2025), la comunicación oral es un medio fundamental para la interacción y el aprendizaje en contextos educativos. Los autores afirman que el proceso de enseñanza-aprendizaje de la comunicación oral debe basarse en la interacción significativa, las prácticas colaborativas y las actividades reflexivas que involucren activamente a los estudiantes. Enfatizan que el desarrollo efectivo de la habilidad oral requiere estrategias pedagógicas que integren las dimensiones cognitiva, social y emocional, permitiendo a los estudiantes mejorar progresivamente su fluidez, precisión y confianza comunicativa.</w:t>
      </w:r>
    </w:p>
    <w:p w14:paraId="009996B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Esta discrepancia entre las exigencias comunicativas establecidas por el programa de estudios de inglés de noveno grado y el desempeño oral real de los estudiantes constituye la contradicción central de la investigación.</w:t>
      </w:r>
    </w:p>
    <w:p w14:paraId="1F37A34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En consecuencia, se plantea un problema científico: ¿cómo desarrollar las habilidades orales en los estudiantes de noveno grado de la asignatura de inglés en la Escuela Secundaria Carlos Gutiérrez Menoyo en el municipio de Caimito?</w:t>
      </w:r>
    </w:p>
    <w:p w14:paraId="347FA87F">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Objeto de investigación: El proceso de enseñanza-aprendizaje en la asignatura de inglés.</w:t>
      </w:r>
    </w:p>
    <w:p w14:paraId="206FDCFA">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hint="default" w:ascii="Arial" w:hAnsi="Arial" w:cs="Arial"/>
          <w:sz w:val="24"/>
          <w:szCs w:val="24"/>
          <w:lang w:val="es-ES"/>
        </w:rPr>
        <w:t>Objeto de investigación</w:t>
      </w:r>
      <w:r>
        <w:rPr>
          <w:rFonts w:ascii="Arial" w:hAnsi="Arial" w:cs="Arial"/>
          <w:sz w:val="24"/>
          <w:szCs w:val="24"/>
          <w:lang w:val="zh-CN"/>
        </w:rPr>
        <w:t>: El desarrollo de las habilidades orales en el noveno grado de la asignatura de inglés en la escuela secundaria Carlos Gutiérrez Menoyo en el municipio de Caimito.</w:t>
      </w:r>
    </w:p>
    <w:p w14:paraId="7E7D33ED">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Objetivo: Proponer un conjunto de actividades para el desarrollo de las habilidades orales en el noveno grado de la asignatura de inglés en la escuela secundaria Carlos Gutiérrez Menoyo en el municipio de Caimito.</w:t>
      </w:r>
    </w:p>
    <w:p w14:paraId="243E1023">
      <w:pPr>
        <w:keepNext w:val="0"/>
        <w:keepLines w:val="0"/>
        <w:pageBreakBefore w:val="0"/>
        <w:widowControl/>
        <w:kinsoku/>
        <w:wordWrap/>
        <w:overflowPunct/>
        <w:topLinePunct w:val="0"/>
        <w:autoSpaceDE/>
        <w:autoSpaceDN/>
        <w:bidi w:val="0"/>
        <w:adjustRightInd/>
        <w:snapToGrid/>
        <w:spacing w:after="0" w:line="240" w:lineRule="auto"/>
        <w:textAlignment w:val="auto"/>
        <w:rPr>
          <w:rFonts w:ascii="Arial" w:hAnsi="Arial" w:cs="Arial"/>
          <w:sz w:val="24"/>
          <w:szCs w:val="24"/>
          <w:lang w:val="zh-CN"/>
        </w:rPr>
      </w:pPr>
      <w:r>
        <w:rPr>
          <w:rFonts w:ascii="Arial" w:hAnsi="Arial" w:cs="Arial"/>
          <w:sz w:val="24"/>
          <w:szCs w:val="24"/>
          <w:lang w:val="zh-CN"/>
        </w:rPr>
        <w:t>Teniendo en cuenta el análisis previo, se formularon las siguientes preguntas científicas:</w:t>
      </w:r>
    </w:p>
    <w:p w14:paraId="7BFDC256">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1-¿Cuáles son las referencias teóricas y metodológicas para el desarrollo de las habilidades orales en los estudiantes de noveno grado?</w:t>
      </w:r>
    </w:p>
    <w:p w14:paraId="5115633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2-¿Cuál es la caracterización del estado inicial para el desarrollo de las habilidades orales en los estudiantes de noveno grado de la escuela secundaria Carlos Gutiérrez Menoyo en el municipio de Caimito?</w:t>
      </w:r>
    </w:p>
    <w:p w14:paraId="3C8C0621">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3-¿Cómo proponer un conjunto de actividades para el desarrollo de las habilidades orales en estudiantes de noveno grado de la escuela secundaria Carlos Gutiérrez Menoyo en el municipio de Caimito?</w:t>
      </w:r>
    </w:p>
    <w:p w14:paraId="62D3EEF6">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4-¿Qué resultados podrían obtenerse tras la aplicación de un conjunto de actividades para el desarrollo de las habilidades orales en alumnos de noveno grado de la escuela secundaria Carlos Gutiérrez Menoyo, en el municipio de Caimito?</w:t>
      </w:r>
    </w:p>
    <w:p w14:paraId="77833E70">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Para responder a las preguntas científicas, se establecieron las siguientes tareas científicas:</w:t>
      </w:r>
    </w:p>
    <w:p w14:paraId="00FF3E2F">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1-Determinación de las referencias teórico-metodológicas para el desarrollo de las habilidades orales en estudiantes de 9º grado.</w:t>
      </w:r>
    </w:p>
    <w:p w14:paraId="5B014F5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2-Caracterización del estado inicial para el desarrollo de habilidades orales en estudiantes de 9º grado de la escuela secundaria Carlos Gutiérrez Menoyo en el municipio de Caimito.</w:t>
      </w:r>
    </w:p>
    <w:p w14:paraId="5C4D9445">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3-Elaboración de un conjunto de actividades para el desarrollo de habilidades orales en estudiantes de noveno grado de la escuela secundaria Carlos Gutiérrez Menoyo en el municipio de Caimito.</w:t>
      </w:r>
    </w:p>
    <w:p w14:paraId="273E144D">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4-Resultados obtenidos tras la aplicación de un conjunto de actividades para el desarrollo de habilidades orales en estudiantes de noveno grado de la escuela secundaria Carlos Gutiérrez Menoyo en el municipio de Caimito.</w:t>
      </w:r>
    </w:p>
    <w:p w14:paraId="139DA3C5">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Para llevar a cabo estas tareas científicas, se utilizaron varios métodos científicos, tales como:</w:t>
      </w:r>
    </w:p>
    <w:p w14:paraId="21A06F38">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en-US"/>
        </w:rPr>
      </w:pPr>
      <w:r>
        <w:rPr>
          <w:rFonts w:ascii="Arial" w:hAnsi="Arial" w:cs="Arial"/>
          <w:sz w:val="24"/>
          <w:szCs w:val="24"/>
          <w:lang w:val="en-US"/>
        </w:rPr>
        <w:t>Métodos teóricos:</w:t>
      </w:r>
    </w:p>
    <w:p w14:paraId="22D78918">
      <w:pPr>
        <w:pStyle w:val="16"/>
        <w:keepNext w:val="0"/>
        <w:keepLines w:val="0"/>
        <w:pageBreakBefore w:val="0"/>
        <w:widowControl/>
        <w:numPr>
          <w:ilvl w:val="0"/>
          <w:numId w:val="1"/>
        </w:numPr>
        <w:kinsoku/>
        <w:wordWrap/>
        <w:overflowPunct/>
        <w:topLinePunct w:val="0"/>
        <w:autoSpaceDE/>
        <w:autoSpaceDN/>
        <w:bidi w:val="0"/>
        <w:adjustRightInd/>
        <w:snapToGrid/>
        <w:spacing w:after="0" w:line="240" w:lineRule="auto"/>
        <w:jc w:val="both"/>
        <w:textAlignment w:val="auto"/>
        <w:rPr>
          <w:rFonts w:ascii="Arial" w:hAnsi="Arial" w:cs="Arial"/>
          <w:sz w:val="24"/>
          <w:szCs w:val="24"/>
          <w:lang w:val="en-US"/>
        </w:rPr>
      </w:pPr>
      <w:r>
        <w:rPr>
          <w:rFonts w:ascii="Arial" w:hAnsi="Arial" w:cs="Arial"/>
          <w:sz w:val="24"/>
          <w:szCs w:val="24"/>
          <w:lang w:val="en-US"/>
        </w:rPr>
        <w:t>Inductivo-deductivo.</w:t>
      </w:r>
    </w:p>
    <w:p w14:paraId="41B317B7">
      <w:pPr>
        <w:pStyle w:val="16"/>
        <w:keepNext w:val="0"/>
        <w:keepLines w:val="0"/>
        <w:pageBreakBefore w:val="0"/>
        <w:widowControl/>
        <w:numPr>
          <w:ilvl w:val="0"/>
          <w:numId w:val="1"/>
        </w:numPr>
        <w:kinsoku/>
        <w:wordWrap/>
        <w:overflowPunct/>
        <w:topLinePunct w:val="0"/>
        <w:autoSpaceDE/>
        <w:autoSpaceDN/>
        <w:bidi w:val="0"/>
        <w:adjustRightInd/>
        <w:snapToGrid/>
        <w:spacing w:after="0" w:line="240" w:lineRule="auto"/>
        <w:jc w:val="both"/>
        <w:textAlignment w:val="auto"/>
        <w:rPr>
          <w:rFonts w:ascii="Arial" w:hAnsi="Arial" w:cs="Arial"/>
          <w:sz w:val="24"/>
          <w:szCs w:val="24"/>
          <w:lang w:val="en-US"/>
        </w:rPr>
      </w:pPr>
      <w:r>
        <w:rPr>
          <w:rFonts w:ascii="Arial" w:hAnsi="Arial" w:cs="Arial"/>
          <w:sz w:val="24"/>
          <w:szCs w:val="24"/>
          <w:lang w:val="en-US"/>
        </w:rPr>
        <w:t>Histórico-lógico.</w:t>
      </w:r>
    </w:p>
    <w:p w14:paraId="0EA19196">
      <w:pPr>
        <w:pStyle w:val="16"/>
        <w:keepNext w:val="0"/>
        <w:keepLines w:val="0"/>
        <w:pageBreakBefore w:val="0"/>
        <w:widowControl/>
        <w:numPr>
          <w:ilvl w:val="0"/>
          <w:numId w:val="1"/>
        </w:numPr>
        <w:kinsoku/>
        <w:wordWrap/>
        <w:overflowPunct/>
        <w:topLinePunct w:val="0"/>
        <w:autoSpaceDE/>
        <w:autoSpaceDN/>
        <w:bidi w:val="0"/>
        <w:adjustRightInd/>
        <w:snapToGrid/>
        <w:spacing w:after="0" w:line="240" w:lineRule="auto"/>
        <w:jc w:val="both"/>
        <w:textAlignment w:val="auto"/>
        <w:rPr>
          <w:rFonts w:ascii="Arial" w:hAnsi="Arial" w:cs="Arial"/>
          <w:sz w:val="24"/>
          <w:szCs w:val="24"/>
          <w:lang w:val="en-US"/>
        </w:rPr>
      </w:pPr>
      <w:r>
        <w:rPr>
          <w:rFonts w:ascii="Arial" w:hAnsi="Arial" w:cs="Arial"/>
          <w:sz w:val="24"/>
          <w:szCs w:val="24"/>
          <w:lang w:val="en-US"/>
        </w:rPr>
        <w:t>Analítico-sintético.</w:t>
      </w:r>
    </w:p>
    <w:p w14:paraId="675AF39E">
      <w:pPr>
        <w:pStyle w:val="16"/>
        <w:keepNext w:val="0"/>
        <w:keepLines w:val="0"/>
        <w:pageBreakBefore w:val="0"/>
        <w:widowControl/>
        <w:numPr>
          <w:ilvl w:val="0"/>
          <w:numId w:val="1"/>
        </w:numPr>
        <w:kinsoku/>
        <w:wordWrap/>
        <w:overflowPunct/>
        <w:topLinePunct w:val="0"/>
        <w:autoSpaceDE/>
        <w:autoSpaceDN/>
        <w:bidi w:val="0"/>
        <w:adjustRightInd/>
        <w:snapToGrid/>
        <w:spacing w:after="0" w:line="240" w:lineRule="auto"/>
        <w:jc w:val="both"/>
        <w:textAlignment w:val="auto"/>
        <w:rPr>
          <w:rFonts w:ascii="Arial" w:hAnsi="Arial" w:cs="Arial"/>
          <w:sz w:val="24"/>
          <w:szCs w:val="24"/>
          <w:lang w:val="en-US"/>
        </w:rPr>
      </w:pPr>
      <w:r>
        <w:rPr>
          <w:rFonts w:ascii="Arial" w:hAnsi="Arial" w:cs="Arial"/>
          <w:sz w:val="24"/>
          <w:szCs w:val="24"/>
          <w:lang w:val="en-US"/>
        </w:rPr>
        <w:t>Enfoque sistémico.</w:t>
      </w:r>
    </w:p>
    <w:p w14:paraId="2740E338">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en-US"/>
        </w:rPr>
      </w:pPr>
      <w:r>
        <w:rPr>
          <w:rFonts w:ascii="Arial" w:hAnsi="Arial" w:cs="Arial"/>
          <w:sz w:val="24"/>
          <w:szCs w:val="24"/>
          <w:lang w:val="en-US"/>
        </w:rPr>
        <w:t>Métodos empíricos:</w:t>
      </w:r>
    </w:p>
    <w:p w14:paraId="7F59A79E">
      <w:pPr>
        <w:pStyle w:val="16"/>
        <w:keepNext w:val="0"/>
        <w:keepLines w:val="0"/>
        <w:pageBreakBefore w:val="0"/>
        <w:widowControl/>
        <w:numPr>
          <w:ilvl w:val="0"/>
          <w:numId w:val="2"/>
        </w:numPr>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Guía de observación-Instrumento: Guía de observación.</w:t>
      </w:r>
    </w:p>
    <w:p w14:paraId="2D805528">
      <w:pPr>
        <w:pStyle w:val="16"/>
        <w:keepNext w:val="0"/>
        <w:keepLines w:val="0"/>
        <w:pageBreakBefore w:val="0"/>
        <w:widowControl/>
        <w:numPr>
          <w:ilvl w:val="0"/>
          <w:numId w:val="2"/>
        </w:numPr>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Instrumento de encuesta: Cuestionario de la encuesta.</w:t>
      </w:r>
    </w:p>
    <w:p w14:paraId="2F4FA3A4">
      <w:pPr>
        <w:pStyle w:val="16"/>
        <w:keepNext w:val="0"/>
        <w:keepLines w:val="0"/>
        <w:pageBreakBefore w:val="0"/>
        <w:widowControl/>
        <w:numPr>
          <w:ilvl w:val="0"/>
          <w:numId w:val="2"/>
        </w:numPr>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Instrumento de prueba pedagógica: Cuestionario para la prueba pedagógica.</w:t>
      </w:r>
    </w:p>
    <w:p w14:paraId="0C6837A8">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La población seleccionada para el desarrollo de esta investigación está compuesta por 195 estudiantes de noveno grado de la Escuela Secundaria Carlos Gutiérrez Menoyo en el municipio de Caimito.</w:t>
      </w:r>
    </w:p>
    <w:p w14:paraId="50068B16">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La muestra seleccionada para esta investigación es intencional. Está compuesta por 38 estudiantes del grupo 9.º-2, que representan el 56 % de la población total. Este grupo fue elegido debido al interés que muestran los estudiantes por la asignatura de inglés. Se caracterizan por un buen nivel de desempeño al hablar sobre información personal y diversos temas relacionados con el desarrollo de la expresión oral. Los estudiantes suelen ayudarse mutuamente cuando tienen dificultades en las actividades asignadas por el profesor, como diálogos, tareas de motivación y otros ejercicios comunicativos.</w:t>
      </w:r>
    </w:p>
    <w:p w14:paraId="1F28B9DC">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Arial" w:hAnsi="Arial" w:cs="Arial"/>
          <w:sz w:val="24"/>
          <w:szCs w:val="24"/>
          <w:lang w:val="es-ES"/>
        </w:rPr>
      </w:pPr>
      <w:r>
        <w:rPr>
          <w:rFonts w:hint="default" w:ascii="Arial" w:hAnsi="Arial" w:cs="Arial"/>
          <w:sz w:val="24"/>
          <w:szCs w:val="24"/>
          <w:lang w:val="es-ES"/>
        </w:rPr>
        <w:t>Desarrollo</w:t>
      </w:r>
    </w:p>
    <w:p w14:paraId="0C071541">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 xml:space="preserve">Resultados de la prueba pedagógica </w:t>
      </w:r>
    </w:p>
    <w:p w14:paraId="517632F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La prueba pedagógica fue evaluada a los estudiantes mediante tres preguntas:</w:t>
      </w:r>
    </w:p>
    <w:p w14:paraId="3E8D66D9">
      <w:pPr>
        <w:keepNext w:val="0"/>
        <w:keepLines w:val="0"/>
        <w:pageBreakBefore w:val="0"/>
        <w:widowControl/>
        <w:suppressAutoHyphens/>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Articulación de los sonidos:</w:t>
      </w:r>
    </w:p>
    <w:p w14:paraId="52E00909">
      <w:pPr>
        <w:keepNext w:val="0"/>
        <w:keepLines w:val="0"/>
        <w:pageBreakBefore w:val="0"/>
        <w:widowControl/>
        <w:suppressAutoHyphens/>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Bueno: 11 (31%)</w:t>
      </w:r>
      <w:r>
        <w:rPr>
          <w:rFonts w:hint="default" w:ascii="Arial" w:hAnsi="Arial" w:cs="Arial"/>
          <w:sz w:val="24"/>
          <w:szCs w:val="24"/>
          <w:lang w:val="es-ES"/>
        </w:rPr>
        <w:t xml:space="preserve">: </w:t>
      </w:r>
      <w:r>
        <w:rPr>
          <w:rFonts w:ascii="Arial" w:hAnsi="Arial" w:cs="Arial"/>
          <w:sz w:val="24"/>
          <w:szCs w:val="24"/>
          <w:lang w:val="zh-CN"/>
        </w:rPr>
        <w:t>Estos estudiantes completaron con éxito todas las tareas de forma sistemática, demostrando una sólida comprensión del tema en las tres actividades. Sus respuestas reflejaron precisión y un dominio profundo del material.</w:t>
      </w:r>
    </w:p>
    <w:p w14:paraId="38E7AC66">
      <w:pPr>
        <w:keepNext w:val="0"/>
        <w:keepLines w:val="0"/>
        <w:pageBreakBefore w:val="0"/>
        <w:widowControl/>
        <w:suppressAutoHyphens/>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Malo: 16 (46%)</w:t>
      </w:r>
      <w:r>
        <w:rPr>
          <w:rFonts w:hint="default" w:ascii="Arial" w:hAnsi="Arial" w:cs="Arial"/>
          <w:sz w:val="24"/>
          <w:szCs w:val="24"/>
          <w:lang w:val="es-ES"/>
        </w:rPr>
        <w:t xml:space="preserve">: </w:t>
      </w:r>
      <w:r>
        <w:rPr>
          <w:rFonts w:ascii="Arial" w:hAnsi="Arial" w:cs="Arial"/>
          <w:sz w:val="24"/>
          <w:szCs w:val="24"/>
          <w:lang w:val="zh-CN"/>
        </w:rPr>
        <w:t>Este grupo solo logró responder la mitad de las preguntas. Su desempeño demuestra una comprensión parcial del contenido y pone de manifiesto la necesidad de práctica adicional y refuerzo didáctico.</w:t>
      </w:r>
    </w:p>
    <w:p w14:paraId="2BDA19F0">
      <w:pPr>
        <w:keepNext w:val="0"/>
        <w:keepLines w:val="0"/>
        <w:pageBreakBefore w:val="0"/>
        <w:widowControl/>
        <w:suppressAutoHyphens/>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Malo: 8 (23%)</w:t>
      </w:r>
      <w:r>
        <w:rPr>
          <w:rFonts w:hint="default" w:ascii="Arial" w:hAnsi="Arial" w:cs="Arial"/>
          <w:sz w:val="24"/>
          <w:szCs w:val="24"/>
          <w:lang w:val="es-ES"/>
        </w:rPr>
        <w:t xml:space="preserve">: </w:t>
      </w:r>
      <w:r>
        <w:rPr>
          <w:rFonts w:ascii="Arial" w:hAnsi="Arial" w:cs="Arial"/>
          <w:sz w:val="24"/>
          <w:szCs w:val="24"/>
          <w:lang w:val="zh-CN"/>
        </w:rPr>
        <w:t>Estos estudiantes no intentaron realizar las tareas o las dejaron incompletas. Su escasa participación evidencia la necesidad de brindarles apoyo específico para que alcancen los objetivos de aprendizaje.</w:t>
      </w:r>
    </w:p>
    <w:p w14:paraId="6921C61B">
      <w:pPr>
        <w:keepNext w:val="0"/>
        <w:keepLines w:val="0"/>
        <w:pageBreakBefore w:val="0"/>
        <w:widowControl/>
        <w:suppressAutoHyphens/>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Entonación de la voz:</w:t>
      </w:r>
    </w:p>
    <w:p w14:paraId="29521DF3">
      <w:pPr>
        <w:keepNext w:val="0"/>
        <w:keepLines w:val="0"/>
        <w:pageBreakBefore w:val="0"/>
        <w:widowControl/>
        <w:suppressAutoHyphens/>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Bueno: 13 (37%)</w:t>
      </w:r>
      <w:r>
        <w:rPr>
          <w:rFonts w:hint="default" w:ascii="Arial" w:hAnsi="Arial" w:cs="Arial"/>
          <w:sz w:val="24"/>
          <w:szCs w:val="24"/>
          <w:lang w:val="es-ES"/>
        </w:rPr>
        <w:t xml:space="preserve">: </w:t>
      </w:r>
      <w:r>
        <w:rPr>
          <w:rFonts w:ascii="Arial" w:hAnsi="Arial" w:cs="Arial"/>
          <w:sz w:val="24"/>
          <w:szCs w:val="24"/>
          <w:lang w:val="zh-CN"/>
        </w:rPr>
        <w:t>Estos estudiantes demostraron un profundo conocimiento de la entonación vocal al completar todas las tareas correctamente de forma sistemática. Su uso de la entonación fue apropiado y controlado.</w:t>
      </w:r>
    </w:p>
    <w:p w14:paraId="7D478838">
      <w:pPr>
        <w:keepNext w:val="0"/>
        <w:keepLines w:val="0"/>
        <w:pageBreakBefore w:val="0"/>
        <w:widowControl/>
        <w:suppressAutoHyphens/>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Malo: 15 (43%</w:t>
      </w:r>
      <w:r>
        <w:rPr>
          <w:rFonts w:hint="default" w:ascii="Arial" w:hAnsi="Arial" w:cs="Arial"/>
          <w:sz w:val="24"/>
          <w:szCs w:val="24"/>
          <w:lang w:val="es-ES"/>
        </w:rPr>
        <w:t xml:space="preserve">): </w:t>
      </w:r>
      <w:r>
        <w:rPr>
          <w:rFonts w:ascii="Arial" w:hAnsi="Arial" w:cs="Arial"/>
          <w:sz w:val="24"/>
          <w:szCs w:val="24"/>
          <w:lang w:val="zh-CN"/>
        </w:rPr>
        <w:t>Este grupo completó solo una parte de las tareas en las tres preguntas. Su desempeño sugiere un nivel de dominio en desarrollo, pero también la necesidad de instrucción continua y práctica guiada.</w:t>
      </w:r>
    </w:p>
    <w:p w14:paraId="40236D21">
      <w:pPr>
        <w:keepNext w:val="0"/>
        <w:keepLines w:val="0"/>
        <w:pageBreakBefore w:val="0"/>
        <w:widowControl/>
        <w:suppressAutoHyphens/>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Malo: 7 (20%)</w:t>
      </w:r>
      <w:r>
        <w:rPr>
          <w:rFonts w:hint="default" w:ascii="Arial" w:hAnsi="Arial" w:cs="Arial"/>
          <w:sz w:val="24"/>
          <w:szCs w:val="24"/>
          <w:lang w:val="es-ES"/>
        </w:rPr>
        <w:t xml:space="preserve">: </w:t>
      </w:r>
      <w:r>
        <w:rPr>
          <w:rFonts w:ascii="Arial" w:hAnsi="Arial" w:cs="Arial"/>
          <w:sz w:val="24"/>
          <w:szCs w:val="24"/>
          <w:lang w:val="zh-CN"/>
        </w:rPr>
        <w:t>Estos estudiantes no participaron en las actividades o mostraron una participación mínima. Sus resultados indican la necesidad de intervenciones específicas para apoyar su mejora en esta área.</w:t>
      </w:r>
    </w:p>
    <w:p w14:paraId="2A1E73BD">
      <w:pPr>
        <w:keepNext w:val="0"/>
        <w:keepLines w:val="0"/>
        <w:pageBreakBefore w:val="0"/>
        <w:widowControl/>
        <w:suppressAutoHyphens/>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Ritmo de la pronunciación:</w:t>
      </w:r>
    </w:p>
    <w:p w14:paraId="6F0A8B91">
      <w:pPr>
        <w:keepNext w:val="0"/>
        <w:keepLines w:val="0"/>
        <w:pageBreakBefore w:val="0"/>
        <w:widowControl/>
        <w:suppressAutoHyphens/>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Bueno: 18 (51%)</w:t>
      </w:r>
      <w:r>
        <w:rPr>
          <w:rFonts w:hint="default" w:ascii="Arial" w:hAnsi="Arial" w:cs="Arial"/>
          <w:sz w:val="24"/>
          <w:szCs w:val="24"/>
          <w:lang w:val="es-ES"/>
        </w:rPr>
        <w:t xml:space="preserve">: </w:t>
      </w:r>
      <w:r>
        <w:rPr>
          <w:rFonts w:ascii="Arial" w:hAnsi="Arial" w:cs="Arial"/>
          <w:sz w:val="24"/>
          <w:szCs w:val="24"/>
          <w:lang w:val="zh-CN"/>
        </w:rPr>
        <w:t>Estos estudiantes respondieron correctamente a todas las preguntas de forma sistemática. Su desempeño reflejó un uso claro y preciso del ritmo en la pronunciación, demostrando así su dominio de esta habilidad.</w:t>
      </w:r>
    </w:p>
    <w:p w14:paraId="493D5648">
      <w:pPr>
        <w:keepNext w:val="0"/>
        <w:keepLines w:val="0"/>
        <w:pageBreakBefore w:val="0"/>
        <w:widowControl/>
        <w:suppressAutoHyphens/>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Malo: 6 (17%)</w:t>
      </w:r>
      <w:r>
        <w:rPr>
          <w:rFonts w:hint="default" w:ascii="Arial" w:hAnsi="Arial" w:cs="Arial"/>
          <w:sz w:val="24"/>
          <w:szCs w:val="24"/>
          <w:lang w:val="es-ES"/>
        </w:rPr>
        <w:t xml:space="preserve">: </w:t>
      </w:r>
      <w:r>
        <w:rPr>
          <w:rFonts w:ascii="Arial" w:hAnsi="Arial" w:cs="Arial"/>
          <w:sz w:val="24"/>
          <w:szCs w:val="24"/>
          <w:lang w:val="zh-CN"/>
        </w:rPr>
        <w:t>Este grupo más pequeño completó solo la mitad de las tareas, lo que demuestra una comprensión parcial del ritmo. Si bien hay indicios de cierto conocimiento, se requiere práctica adicional para dominarlo por completo.</w:t>
      </w:r>
    </w:p>
    <w:p w14:paraId="68430094">
      <w:pPr>
        <w:keepNext w:val="0"/>
        <w:keepLines w:val="0"/>
        <w:pageBreakBefore w:val="0"/>
        <w:widowControl/>
        <w:suppressAutoHyphens/>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Malo: 11 (32%)</w:t>
      </w:r>
      <w:r>
        <w:rPr>
          <w:rFonts w:hint="default" w:ascii="Arial" w:hAnsi="Arial" w:cs="Arial"/>
          <w:sz w:val="24"/>
          <w:szCs w:val="24"/>
          <w:lang w:val="es-ES"/>
        </w:rPr>
        <w:t xml:space="preserve">: </w:t>
      </w:r>
      <w:r>
        <w:rPr>
          <w:rFonts w:ascii="Arial" w:hAnsi="Arial" w:cs="Arial"/>
          <w:sz w:val="24"/>
          <w:szCs w:val="24"/>
          <w:lang w:val="zh-CN"/>
        </w:rPr>
        <w:t>Estos estudiantes no participaron en las actividades o demostraron una comprensión insuficiente. Su constante falta de participación sugiere la necesidad de un apoyo didáctico más intensivo.</w:t>
      </w:r>
    </w:p>
    <w:p w14:paraId="6D7A12FE">
      <w:pPr>
        <w:keepNext w:val="0"/>
        <w:keepLines w:val="0"/>
        <w:pageBreakBefore w:val="0"/>
        <w:widowControl/>
        <w:suppressAutoHyphens/>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El ritmo de pronunciación de los estudiantes suele verse afectado por diversos factores a medida que desarrollan su fluidez en el idioma meta. Uno de los principales problemas es la falta de exposición a hablantes nativos, lo que dificulta que los estudiantes interioricen los patrones y la cadencia del habla natural. Además, a menudo se centran demasiado en la gramática y la estructura de las oraciones al hablar, lo que interrumpe la fluidez natural del habla y afecta su ritmo.</w:t>
      </w:r>
    </w:p>
    <w:p w14:paraId="7F378352">
      <w:pPr>
        <w:keepNext w:val="0"/>
        <w:keepLines w:val="0"/>
        <w:pageBreakBefore w:val="0"/>
        <w:widowControl/>
        <w:suppressAutoHyphens/>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Tras aplicar todos los instrumentos y evaluar cada parámetro, se identificó la articulación del sonido como la más comprometida. Los fonemas del inglés difieren significativamente de los fonemas del español nativo de los estudiantes, y los movimientos de la boca, la lengua y la mandíbula tienden a seguir los patrones de articulación del español. Esto dificulta la producción de sonidos del inglés que les resultan desconocidos. Este parámetro mostró el mayor nivel de dificultad en la prueba pedagógica, como se refleja en los resultados obtenidos con las preguntas diseñadas para esta etapa.</w:t>
      </w:r>
    </w:p>
    <w:p w14:paraId="4D59087F">
      <w:pPr>
        <w:keepNext w:val="0"/>
        <w:keepLines w:val="0"/>
        <w:pageBreakBefore w:val="0"/>
        <w:widowControl/>
        <w:suppressAutoHyphens/>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El programa de inglés de noveno grado prioriza el desarrollo de las habilidades comunicativas de los estudiantes, especialmente en contextos cotidianos. El objetivo es que los alumnos no solo comprendan las estructuras gramaticales, sino que también utilicen el inglés de manera eficaz y apropiada en diversas situaciones sociales.</w:t>
      </w:r>
    </w:p>
    <w:p w14:paraId="21329404">
      <w:pPr>
        <w:keepNext w:val="0"/>
        <w:keepLines w:val="0"/>
        <w:pageBreakBefore w:val="0"/>
        <w:widowControl/>
        <w:suppressAutoHyphens/>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Los estudiantes participan en diálogos formales e informales sobre temas como la familia, la escuela, las amistades, las celebraciones, las preferencias personales y las rutinas diarias. Estas actividades comunicativas les ayudan a expresarse con mayor fluidez y precisión, utilizando el vocabulario y las estructuras gramaticales adecuadas.</w:t>
      </w:r>
    </w:p>
    <w:p w14:paraId="410A154D">
      <w:pPr>
        <w:keepNext w:val="0"/>
        <w:keepLines w:val="0"/>
        <w:pageBreakBefore w:val="0"/>
        <w:widowControl/>
        <w:suppressAutoHyphens/>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La propuesta incorpora situaciones comunes en las que los estudiantes deben interactuar en inglés, como dar indicaciones, realizar compras, describir eventos, expresar opiniones u ofrecer y pedir ayuda. Estas tareas tienen como objetivo preparar a los estudiantes para desenvolverse con mayor confianza y claridad en la comunicación en situaciones reales.</w:t>
      </w:r>
    </w:p>
    <w:p w14:paraId="3ADFEF62">
      <w:pPr>
        <w:keepNext w:val="0"/>
        <w:keepLines w:val="0"/>
        <w:pageBreakBefore w:val="0"/>
        <w:widowControl/>
        <w:suppressAutoHyphens/>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El programa de inglés de noveno grado consta de nueve unidades e incluye tres lecciones semanales, lo que suma aproximadamente doce clases al mes. Cada clase dura una hora, ofreciendo una exposición constante al inglés y oportunidades para la práctica oral continua. Dentro de este marco, el investigador propone seis actividades de expresión oral diseñadas específicamente para alinearse con el contenido del programa y fortalecer la expresión oral de los estudiantes. Estas actividades se integran de forma natural en el horario regular de clases.</w:t>
      </w:r>
    </w:p>
    <w:p w14:paraId="3A15AA12">
      <w:pPr>
        <w:keepNext w:val="0"/>
        <w:keepLines w:val="0"/>
        <w:pageBreakBefore w:val="0"/>
        <w:widowControl/>
        <w:suppressAutoHyphens/>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Se consideran creativas porque incluyen juegos de rol, diálogos, juegos interactivos y situaciones de la vida real que captan el interés de los estudiantes. Además, son interactivas, ya que fomentan la participación activa, la colaboración entre compañeros y la comunicación significativa. Mediante estas actividades, se anima a los estudiantes a expresar ideas, emociones y opiniones, lo que fortalece tanto su fluidez como su confianza al hablar inglés.</w:t>
      </w:r>
    </w:p>
    <w:p w14:paraId="206E0662">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Actividad modelo para desarrollar las habilidades de expresión oral en estudiantes de 9.º grado: Unidad n.º 2</w:t>
      </w:r>
    </w:p>
    <w:p w14:paraId="37F7B02C">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Título de la actividad: ¿Qué vas a hacer este fin de semana?</w:t>
      </w:r>
    </w:p>
    <w:p w14:paraId="342E6845">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Tipo de actividad: Actividad de aplicación</w:t>
      </w:r>
    </w:p>
    <w:p w14:paraId="7362E23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Contenido de la actividad:</w:t>
      </w:r>
    </w:p>
    <w:p w14:paraId="338CB524">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 Vocabulario: Actividades comunes de fin de semana (jugar al fútbol, ​​ver la televisión, visitar a la abuela, hacer los deberes, ir al parque, montar en bicicleta, cocinar con mamá, ir de compras)</w:t>
      </w:r>
    </w:p>
    <w:p w14:paraId="380DEE3C">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 Gramática: Be going to (afirmativo y preguntas de sí/no)</w:t>
      </w:r>
    </w:p>
    <w:p w14:paraId="09794A91">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 Función comunicativa: Expresar planes futuros mediante expresiones fijas.</w:t>
      </w:r>
    </w:p>
    <w:p w14:paraId="0D2E5D31">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Objetivo de la actividad: Producir diálogos utilizando vocabulario relacionado con las actividades del fin de semana y la estructura gramatical "be going to" en breves intercambios orales para expresar planes futuros.</w:t>
      </w:r>
    </w:p>
    <w:p w14:paraId="46B9E356">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Método: Método práctico consciente</w:t>
      </w:r>
    </w:p>
    <w:p w14:paraId="64533F78">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Concepción metodológica: Enfoque comunicativo</w:t>
      </w:r>
    </w:p>
    <w:p w14:paraId="68B6C7A4">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Forma de organización: Trabajo en parejas e individual</w:t>
      </w:r>
    </w:p>
    <w:p w14:paraId="4715D1BE">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Forma de evaluación: Forma oral.</w:t>
      </w:r>
    </w:p>
    <w:p w14:paraId="2B1C46D5">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Nivel de asimilación: Producción</w:t>
      </w:r>
    </w:p>
    <w:p w14:paraId="76D626ED">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Material didáctico: Tarjetas con imágenes que ilustran actividades de fin de semana.</w:t>
      </w:r>
    </w:p>
    <w:p w14:paraId="10A0523A">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Procedimiento:</w:t>
      </w:r>
    </w:p>
    <w:p w14:paraId="717F45EC">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Primero, el profesor saluda a los alumnos y les hace preguntas sobre sus planes para el fin de semana, con el fin de activar sus conocimientos previos e introducir el tema. Los alumnos escuchan atentamente y responden con ideas sencillas sobre lo que suelen hacer los fines de semana. Estas preguntas les ayudan a reflexionar sobre sus propios planes y a prepararse para utilizar la estructura del futuro.</w:t>
      </w:r>
    </w:p>
    <w:p w14:paraId="3AAA5A2F">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Luego, la maestra explica que practicarán la estructura "be going to" para hablar de planes futuros. La maestra escribe oraciones de ejemplo en la pizarra y las lee en voz alta. Los alumnos repiten las oraciones en coro e individualmente para practicar la pronunciación y comprender la estructura.</w:t>
      </w:r>
    </w:p>
    <w:p w14:paraId="345282D5">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Tras la explicación, el profesor divide la clase en parejas y entrega a cada pareja un conjunto de tarjetas con imágenes. Cada tarjeta muestra una pregunta diferente sobre actividades de fin de semana. Los alumnos se turnan para preguntar a su compañero las preguntas de las tarjetas. El compañero debe responder usando la estructura "Voy a..." y explicar su plan. Si un alumno no entiende una pregunta, puede pedirle a su compañero que la repita o que se la explique con palabras sencillas.</w:t>
      </w:r>
    </w:p>
    <w:p w14:paraId="5C720356">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Los alumnos también deben intentar usar vocabulario nuevo relacionado con las actividades del fin de semana, como salir, quedarse en casa, invitar a amigos, hacer la tarea, descansar o levantarse temprano o tarde. Después de completar todas las tarjetas, las parejas comparten una o dos respuestas con la clase.</w:t>
      </w:r>
    </w:p>
    <w:p w14:paraId="1CF6F1E8">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Preguntas:</w:t>
      </w:r>
    </w:p>
    <w:p w14:paraId="48AB07D4">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¿Qué vas a hacer este fin de semana?</w:t>
      </w:r>
    </w:p>
    <w:p w14:paraId="645832D8">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¿Vas a salir con tu familia?</w:t>
      </w:r>
    </w:p>
    <w:p w14:paraId="26A378B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¿Te vas a quedar en casa o vas a ir al parque?</w:t>
      </w:r>
    </w:p>
    <w:p w14:paraId="685ABBB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¿Qué vas a comer el domingo?</w:t>
      </w:r>
    </w:p>
    <w:p w14:paraId="7BDFBD35">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¿Vas a descansar o a estudiar este fin de semana?</w:t>
      </w:r>
    </w:p>
    <w:p w14:paraId="516A8BC5">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¿Vas a realizar más de una actividad?</w:t>
      </w:r>
    </w:p>
    <w:p w14:paraId="15184C4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en-US"/>
        </w:rPr>
      </w:pPr>
      <w:r>
        <w:rPr>
          <w:rFonts w:ascii="Arial" w:hAnsi="Arial" w:cs="Arial"/>
          <w:sz w:val="24"/>
          <w:szCs w:val="24"/>
          <w:lang w:val="zh-CN"/>
        </w:rPr>
        <w:t>Estas preguntas están diseñadas para guiar a los estudiantes en el uso de la estructura "be going to" en un contexto comunicativo real. Les ayudan a practicar la expresión oral y a comunicar planes futuros con naturalidad. Además, fomentan la interacción entre compañeros, promueven el uso de vocabulario relacionado con las rutinas de fin de semana y ayudan a los estudiantes a elaborar respuestas más extensas y detalladas. Asimismo, les permiten comparar opciones, expresar preferencias y practicar la planificación, lo que favorece la fluidez y la confianza al hablar inglés</w:t>
      </w:r>
    </w:p>
    <w:p w14:paraId="60326102">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c) Vamos a ver una película:</w:t>
      </w:r>
    </w:p>
    <w:p w14:paraId="7C031479">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en-US"/>
        </w:rPr>
      </w:pPr>
      <w:r>
        <w:rPr>
          <w:rFonts w:ascii="Arial" w:hAnsi="Arial" w:cs="Arial"/>
          <w:sz w:val="24"/>
          <w:szCs w:val="24"/>
        </w:rPr>
        <w:drawing>
          <wp:inline distT="0" distB="0" distL="0" distR="0">
            <wp:extent cx="1677035" cy="1047750"/>
            <wp:effectExtent l="0" t="0" r="14605" b="3810"/>
            <wp:docPr id="1032" name="Image1"/>
            <wp:cNvGraphicFramePr/>
            <a:graphic xmlns:a="http://schemas.openxmlformats.org/drawingml/2006/main">
              <a:graphicData uri="http://schemas.openxmlformats.org/drawingml/2006/picture">
                <pic:pic xmlns:pic="http://schemas.openxmlformats.org/drawingml/2006/picture">
                  <pic:nvPicPr>
                    <pic:cNvPr id="1032" name="Image1"/>
                    <pic:cNvPicPr/>
                  </pic:nvPicPr>
                  <pic:blipFill>
                    <a:blip r:embed="rId6" cstate="print"/>
                    <a:srcRect/>
                    <a:stretch>
                      <a:fillRect/>
                    </a:stretch>
                  </pic:blipFill>
                  <pic:spPr>
                    <a:xfrm>
                      <a:off x="0" y="0"/>
                      <a:ext cx="1677035" cy="1047750"/>
                    </a:xfrm>
                    <a:prstGeom prst="rect">
                      <a:avLst/>
                    </a:prstGeom>
                  </pic:spPr>
                </pic:pic>
              </a:graphicData>
            </a:graphic>
          </wp:inline>
        </w:drawing>
      </w:r>
      <w:r>
        <w:rPr>
          <w:rFonts w:ascii="Arial" w:hAnsi="Arial" w:cs="Arial"/>
          <w:sz w:val="24"/>
          <w:szCs w:val="24"/>
        </w:rPr>
        <w:drawing>
          <wp:inline distT="0" distB="0" distL="0" distR="0">
            <wp:extent cx="1512570" cy="1043305"/>
            <wp:effectExtent l="0" t="0" r="11430" b="8255"/>
            <wp:docPr id="1033" name="Image1"/>
            <wp:cNvGraphicFramePr/>
            <a:graphic xmlns:a="http://schemas.openxmlformats.org/drawingml/2006/main">
              <a:graphicData uri="http://schemas.openxmlformats.org/drawingml/2006/picture">
                <pic:pic xmlns:pic="http://schemas.openxmlformats.org/drawingml/2006/picture">
                  <pic:nvPicPr>
                    <pic:cNvPr id="1033" name="Image1"/>
                    <pic:cNvPicPr/>
                  </pic:nvPicPr>
                  <pic:blipFill>
                    <a:blip r:embed="rId7" cstate="print"/>
                    <a:srcRect/>
                    <a:stretch>
                      <a:fillRect/>
                    </a:stretch>
                  </pic:blipFill>
                  <pic:spPr>
                    <a:xfrm>
                      <a:off x="0" y="0"/>
                      <a:ext cx="1512570" cy="1043305"/>
                    </a:xfrm>
                    <a:prstGeom prst="rect">
                      <a:avLst/>
                    </a:prstGeom>
                  </pic:spPr>
                </pic:pic>
              </a:graphicData>
            </a:graphic>
          </wp:inline>
        </w:drawing>
      </w:r>
    </w:p>
    <w:p w14:paraId="5714AC7C">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e) Van a cocinar con su mamá:</w:t>
      </w:r>
    </w:p>
    <w:p w14:paraId="14FCC576">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en-US"/>
        </w:rPr>
      </w:pPr>
      <w:r>
        <w:rPr>
          <w:rFonts w:ascii="Arial" w:hAnsi="Arial" w:cs="Arial"/>
          <w:sz w:val="24"/>
          <w:szCs w:val="24"/>
        </w:rPr>
        <w:drawing>
          <wp:inline distT="0" distB="0" distL="0" distR="0">
            <wp:extent cx="1172845" cy="990600"/>
            <wp:effectExtent l="0" t="0" r="635" b="0"/>
            <wp:docPr id="1036" name="Image1"/>
            <wp:cNvGraphicFramePr/>
            <a:graphic xmlns:a="http://schemas.openxmlformats.org/drawingml/2006/main">
              <a:graphicData uri="http://schemas.openxmlformats.org/drawingml/2006/picture">
                <pic:pic xmlns:pic="http://schemas.openxmlformats.org/drawingml/2006/picture">
                  <pic:nvPicPr>
                    <pic:cNvPr id="1036" name="Image1"/>
                    <pic:cNvPicPr/>
                  </pic:nvPicPr>
                  <pic:blipFill>
                    <a:blip r:embed="rId8" cstate="print"/>
                    <a:srcRect/>
                    <a:stretch>
                      <a:fillRect/>
                    </a:stretch>
                  </pic:blipFill>
                  <pic:spPr>
                    <a:xfrm>
                      <a:off x="0" y="0"/>
                      <a:ext cx="1172845" cy="990600"/>
                    </a:xfrm>
                    <a:prstGeom prst="rect">
                      <a:avLst/>
                    </a:prstGeom>
                  </pic:spPr>
                </pic:pic>
              </a:graphicData>
            </a:graphic>
          </wp:inline>
        </w:drawing>
      </w:r>
    </w:p>
    <w:p w14:paraId="402FF55E">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a) Él va a jugar al baloncesto:</w:t>
      </w:r>
    </w:p>
    <w:p w14:paraId="0AE4E52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en-US"/>
        </w:rPr>
      </w:pPr>
      <w:r>
        <w:rPr>
          <w:rFonts w:ascii="Arial" w:hAnsi="Arial" w:cs="Arial"/>
          <w:sz w:val="24"/>
          <w:szCs w:val="24"/>
        </w:rPr>
        <w:drawing>
          <wp:inline distT="0" distB="0" distL="0" distR="0">
            <wp:extent cx="1234440" cy="1017905"/>
            <wp:effectExtent l="0" t="0" r="0" b="3175"/>
            <wp:docPr id="1037" name="Image1"/>
            <wp:cNvGraphicFramePr/>
            <a:graphic xmlns:a="http://schemas.openxmlformats.org/drawingml/2006/main">
              <a:graphicData uri="http://schemas.openxmlformats.org/drawingml/2006/picture">
                <pic:pic xmlns:pic="http://schemas.openxmlformats.org/drawingml/2006/picture">
                  <pic:nvPicPr>
                    <pic:cNvPr id="1037" name="Image1"/>
                    <pic:cNvPicPr/>
                  </pic:nvPicPr>
                  <pic:blipFill>
                    <a:blip r:embed="rId9" cstate="print"/>
                    <a:srcRect/>
                    <a:stretch>
                      <a:fillRect/>
                    </a:stretch>
                  </pic:blipFill>
                  <pic:spPr>
                    <a:xfrm>
                      <a:off x="0" y="0"/>
                      <a:ext cx="1234440" cy="1017905"/>
                    </a:xfrm>
                    <a:prstGeom prst="rect">
                      <a:avLst/>
                    </a:prstGeom>
                  </pic:spPr>
                </pic:pic>
              </a:graphicData>
            </a:graphic>
          </wp:inline>
        </w:drawing>
      </w:r>
      <w:r>
        <w:rPr>
          <w:rFonts w:ascii="Arial" w:hAnsi="Arial" w:cs="Arial"/>
          <w:sz w:val="24"/>
          <w:szCs w:val="24"/>
        </w:rPr>
        <w:drawing>
          <wp:inline distT="0" distB="0" distL="0" distR="0">
            <wp:extent cx="1301750" cy="977900"/>
            <wp:effectExtent l="0" t="0" r="8890" b="12700"/>
            <wp:docPr id="1038" name="Image1"/>
            <wp:cNvGraphicFramePr/>
            <a:graphic xmlns:a="http://schemas.openxmlformats.org/drawingml/2006/main">
              <a:graphicData uri="http://schemas.openxmlformats.org/drawingml/2006/picture">
                <pic:pic xmlns:pic="http://schemas.openxmlformats.org/drawingml/2006/picture">
                  <pic:nvPicPr>
                    <pic:cNvPr id="1038" name="Image1"/>
                    <pic:cNvPicPr/>
                  </pic:nvPicPr>
                  <pic:blipFill>
                    <a:blip r:embed="rId10" cstate="print"/>
                    <a:srcRect/>
                    <a:stretch>
                      <a:fillRect/>
                    </a:stretch>
                  </pic:blipFill>
                  <pic:spPr>
                    <a:xfrm>
                      <a:off x="0" y="0"/>
                      <a:ext cx="1301750" cy="977900"/>
                    </a:xfrm>
                    <a:prstGeom prst="rect">
                      <a:avLst/>
                    </a:prstGeom>
                  </pic:spPr>
                </pic:pic>
              </a:graphicData>
            </a:graphic>
          </wp:inline>
        </w:drawing>
      </w:r>
    </w:p>
    <w:p w14:paraId="0A37C005">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en-US"/>
        </w:rPr>
      </w:pPr>
    </w:p>
    <w:p w14:paraId="610DEBF2">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b) Va a visitar a su abuela:</w:t>
      </w:r>
    </w:p>
    <w:p w14:paraId="189E888D">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en-US"/>
        </w:rPr>
      </w:pPr>
      <w:r>
        <w:rPr>
          <w:rFonts w:ascii="Arial" w:hAnsi="Arial" w:cs="Arial"/>
          <w:sz w:val="24"/>
          <w:szCs w:val="24"/>
        </w:rPr>
        <w:drawing>
          <wp:inline distT="0" distB="0" distL="0" distR="0">
            <wp:extent cx="950595" cy="800735"/>
            <wp:effectExtent l="0" t="0" r="9525" b="6985"/>
            <wp:docPr id="1039" name="Image1"/>
            <wp:cNvGraphicFramePr/>
            <a:graphic xmlns:a="http://schemas.openxmlformats.org/drawingml/2006/main">
              <a:graphicData uri="http://schemas.openxmlformats.org/drawingml/2006/picture">
                <pic:pic xmlns:pic="http://schemas.openxmlformats.org/drawingml/2006/picture">
                  <pic:nvPicPr>
                    <pic:cNvPr id="1039" name="Image1"/>
                    <pic:cNvPicPr/>
                  </pic:nvPicPr>
                  <pic:blipFill>
                    <a:blip r:embed="rId11" cstate="print"/>
                    <a:srcRect/>
                    <a:stretch>
                      <a:fillRect/>
                    </a:stretch>
                  </pic:blipFill>
                  <pic:spPr>
                    <a:xfrm>
                      <a:off x="0" y="0"/>
                      <a:ext cx="950595" cy="800735"/>
                    </a:xfrm>
                    <a:prstGeom prst="rect">
                      <a:avLst/>
                    </a:prstGeom>
                  </pic:spPr>
                </pic:pic>
              </a:graphicData>
            </a:graphic>
          </wp:inline>
        </w:drawing>
      </w:r>
      <w:r>
        <w:rPr>
          <w:rFonts w:ascii="Arial" w:hAnsi="Arial" w:cs="Arial"/>
          <w:sz w:val="24"/>
          <w:szCs w:val="24"/>
        </w:rPr>
        <w:drawing>
          <wp:inline distT="0" distB="0" distL="0" distR="0">
            <wp:extent cx="1732280" cy="800100"/>
            <wp:effectExtent l="0" t="0" r="5080" b="7620"/>
            <wp:docPr id="1040" name="Image1"/>
            <wp:cNvGraphicFramePr/>
            <a:graphic xmlns:a="http://schemas.openxmlformats.org/drawingml/2006/main">
              <a:graphicData uri="http://schemas.openxmlformats.org/drawingml/2006/picture">
                <pic:pic xmlns:pic="http://schemas.openxmlformats.org/drawingml/2006/picture">
                  <pic:nvPicPr>
                    <pic:cNvPr id="1040" name="Image1"/>
                    <pic:cNvPicPr/>
                  </pic:nvPicPr>
                  <pic:blipFill>
                    <a:blip r:embed="rId12" cstate="print"/>
                    <a:srcRect/>
                    <a:stretch>
                      <a:fillRect/>
                    </a:stretch>
                  </pic:blipFill>
                  <pic:spPr>
                    <a:xfrm>
                      <a:off x="0" y="0"/>
                      <a:ext cx="1732280" cy="800100"/>
                    </a:xfrm>
                    <a:prstGeom prst="rect">
                      <a:avLst/>
                    </a:prstGeom>
                  </pic:spPr>
                </pic:pic>
              </a:graphicData>
            </a:graphic>
          </wp:inline>
        </w:drawing>
      </w:r>
    </w:p>
    <w:p w14:paraId="14E94B6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c) Se va a quedar en casa a estudiar:</w:t>
      </w:r>
    </w:p>
    <w:p w14:paraId="293B6EFD">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en-US"/>
        </w:rPr>
      </w:pPr>
      <w:r>
        <w:rPr>
          <w:rFonts w:ascii="Arial" w:hAnsi="Arial" w:cs="Arial"/>
          <w:sz w:val="24"/>
          <w:szCs w:val="24"/>
        </w:rPr>
        <w:drawing>
          <wp:inline distT="0" distB="0" distL="0" distR="0">
            <wp:extent cx="1389380" cy="1110615"/>
            <wp:effectExtent l="0" t="0" r="12700" b="1905"/>
            <wp:docPr id="1041" name="Image1"/>
            <wp:cNvGraphicFramePr/>
            <a:graphic xmlns:a="http://schemas.openxmlformats.org/drawingml/2006/main">
              <a:graphicData uri="http://schemas.openxmlformats.org/drawingml/2006/picture">
                <pic:pic xmlns:pic="http://schemas.openxmlformats.org/drawingml/2006/picture">
                  <pic:nvPicPr>
                    <pic:cNvPr id="1041" name="Image1"/>
                    <pic:cNvPicPr/>
                  </pic:nvPicPr>
                  <pic:blipFill>
                    <a:blip r:embed="rId13" cstate="print"/>
                    <a:srcRect/>
                    <a:stretch>
                      <a:fillRect/>
                    </a:stretch>
                  </pic:blipFill>
                  <pic:spPr>
                    <a:xfrm>
                      <a:off x="0" y="0"/>
                      <a:ext cx="1389380" cy="1110615"/>
                    </a:xfrm>
                    <a:prstGeom prst="rect">
                      <a:avLst/>
                    </a:prstGeom>
                  </pic:spPr>
                </pic:pic>
              </a:graphicData>
            </a:graphic>
          </wp:inline>
        </w:drawing>
      </w:r>
      <w:r>
        <w:rPr>
          <w:rFonts w:ascii="Arial" w:hAnsi="Arial" w:cs="Arial"/>
          <w:sz w:val="24"/>
          <w:szCs w:val="24"/>
        </w:rPr>
        <w:drawing>
          <wp:inline distT="0" distB="0" distL="0" distR="0">
            <wp:extent cx="1626235" cy="1085850"/>
            <wp:effectExtent l="0" t="0" r="4445" b="11430"/>
            <wp:docPr id="1042" name="Image1"/>
            <wp:cNvGraphicFramePr/>
            <a:graphic xmlns:a="http://schemas.openxmlformats.org/drawingml/2006/main">
              <a:graphicData uri="http://schemas.openxmlformats.org/drawingml/2006/picture">
                <pic:pic xmlns:pic="http://schemas.openxmlformats.org/drawingml/2006/picture">
                  <pic:nvPicPr>
                    <pic:cNvPr id="1042" name="Image1"/>
                    <pic:cNvPicPr/>
                  </pic:nvPicPr>
                  <pic:blipFill>
                    <a:blip r:embed="rId14" cstate="print"/>
                    <a:srcRect/>
                    <a:stretch>
                      <a:fillRect/>
                    </a:stretch>
                  </pic:blipFill>
                  <pic:spPr>
                    <a:xfrm>
                      <a:off x="0" y="0"/>
                      <a:ext cx="1626235" cy="1085850"/>
                    </a:xfrm>
                    <a:prstGeom prst="rect">
                      <a:avLst/>
                    </a:prstGeom>
                  </pic:spPr>
                </pic:pic>
              </a:graphicData>
            </a:graphic>
          </wp:inline>
        </w:drawing>
      </w:r>
    </w:p>
    <w:p w14:paraId="57833E75">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Orden de la actividad:</w:t>
      </w:r>
    </w:p>
    <w:p w14:paraId="60FFF468">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1. En parejas, hagan y respondan preguntas sobre sus planes para el fin de semana utilizando la estructura "be going to".</w:t>
      </w:r>
    </w:p>
    <w:p w14:paraId="565014D1">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 xml:space="preserve">   Instrucciones:</w:t>
      </w:r>
    </w:p>
    <w:p w14:paraId="593B8A5D">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 xml:space="preserve">   (a) Habla con claridad usando oraciones completas: “Voy a…”</w:t>
      </w:r>
    </w:p>
    <w:p w14:paraId="5C37F5F6">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 xml:space="preserve">   b) Túrnense para hacer y responder preguntas.</w:t>
      </w:r>
    </w:p>
    <w:p w14:paraId="2F030132">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 xml:space="preserve">   (c) Comente una frase a la clase sobre lo que su compañero va a hacer.</w:t>
      </w:r>
    </w:p>
    <w:p w14:paraId="1662447C">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b/>
          <w:bCs/>
          <w:sz w:val="24"/>
          <w:szCs w:val="24"/>
          <w:lang w:val="zh-CN"/>
        </w:rPr>
      </w:pPr>
      <w:r>
        <w:rPr>
          <w:rFonts w:ascii="Arial" w:hAnsi="Arial" w:cs="Arial"/>
          <w:b/>
          <w:bCs/>
          <w:sz w:val="24"/>
          <w:szCs w:val="24"/>
          <w:lang w:val="zh-CN"/>
        </w:rPr>
        <w:t>Conclusiones:</w:t>
      </w:r>
    </w:p>
    <w:p w14:paraId="158D9636">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El conjunto de actividades desarrolladas tenía como objetivo ayudar a los estudiantes de noveno grado de la Escuela Secundaria Carlos Gutiérrez Menoyo, en el municipio de Caimito, a mejorar progresivamente sus habilidades para hablar inglés. Las actividades incluían ejercicios interactivos, juegos, diálogos y trabajo en grupo que fomentaban la participación activa de los estudiantes en clase. Estas actividades se basaban en principios educativos, sociales y pedagógicos bien establecidos. Fueron cuidadosamente diseñadas de acuerdo con las necesidades reales de los estudiantes para que el aprendizaje del inglés fuera más ameno y efectivo.</w:t>
      </w:r>
    </w:p>
    <w:p w14:paraId="6695BB0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Tras aplicar los instrumentos validados —la Guía de Observación, la Prueba Pedagógica y la Encuesta— se confirmó que el conjunto de actividades propuesto mejoró eficazmente las habilidades orales de los estudiantes. Los resultados mostraron que la interacción fue el parámetro más importante, ya que los estudiantes demostraron mayor motivación, participación y confianza durante las tareas comunicativas. Estos hallazgos indican que la interacción oral significativa facilita el desarrollo de la fluidez y la precisión de forma más natural, reforzando la importancia de la comunicación activa en el proceso de enseñanza-aprendizaje del inglés.</w:t>
      </w:r>
    </w:p>
    <w:p w14:paraId="6689254D">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Bibliografía:</w:t>
      </w:r>
    </w:p>
    <w:p w14:paraId="3668EC31">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Acosta, R. (26 de junio de 2015). Múltiples escenarios para el aprendizaje de lenguas extranjeras. Universidad de Pinar del Río. https://www.upr.edu.cu</w:t>
      </w:r>
    </w:p>
    <w:p w14:paraId="7239D8E2">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Acosta, R. (2020). Enseñanza de habilidades del idioma inglés y logro de la competencia comunicativa. Latitude: Multidisciplinary Research Journal, 1(13), 6–30. https://doi.org/10.55946/latitude.v1i13.106</w:t>
      </w:r>
    </w:p>
    <w:p w14:paraId="3042421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en-US"/>
        </w:rPr>
      </w:pPr>
      <w:r>
        <w:rPr>
          <w:rFonts w:ascii="Arial" w:hAnsi="Arial" w:cs="Arial"/>
          <w:sz w:val="24"/>
          <w:szCs w:val="24"/>
          <w:lang w:val="zh-CN"/>
        </w:rPr>
        <w:t xml:space="preserve">Akhmedovna Egamnazarova, F. (2021). Desarrollo de las habilidades comunicativas de los estudiantes en las clases de inglés. </w:t>
      </w:r>
      <w:r>
        <w:rPr>
          <w:rFonts w:ascii="Arial" w:hAnsi="Arial" w:cs="Arial"/>
          <w:sz w:val="24"/>
          <w:szCs w:val="24"/>
          <w:lang w:val="en-US"/>
        </w:rPr>
        <w:t>European Journal of Research and Reflection in Educational Sciences, 9(8), 112–120. https://www.idpublications.org/ejrres-vol-9-no-8-2021</w:t>
      </w:r>
    </w:p>
    <w:p w14:paraId="78EDA2FF">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Alonso-Betancourt, LA, Cruz-Cabeza, MA, &amp; Olaya-Reyes, JJ (2020). Dimensiones del proceso de enseñanza-aprendizaje para la formación profesional. Luz, 19(2), 17–29. Universidad de Holguín. https://www.redalyc.org/articulo.oa?id=589164533003</w:t>
      </w:r>
    </w:p>
    <w:p w14:paraId="4F931782">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Amin, S. (10 de marzo de 2022). El efecto del uso de habilidades comunicativas en el lenguaje. Revista Internacional de Investigación en Educación y Ciencias Sociales (IJESSR), 5(3), 45–56. https://ijessr.com/index.php/ijessr/article/view/2407</w:t>
      </w:r>
    </w:p>
    <w:p w14:paraId="58F9AE44">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Freire-Benítez, MB, &amp; Loor-Zambrano, KW (2020). Enfoque basado en tareas para promover las habilidades orales en la enseñanza en línea del inglés como lengua extranjera. Polo del Conocimiento, 5(10), 604–620. https://polodelconocimiento.com/ojs/index.php/es/article/view/2113</w:t>
      </w:r>
    </w:p>
    <w:p w14:paraId="7D9F50F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Guano-Merino, DF (2021). Diseño de actividades orales para entornos de aprendizaje electrónico en la enseñanza del idioma inglés [Tesis de licenciatura, Universidad Técnica de Ambato]. Repositorio Institucional de la Universidad Técnica de Ambato. https://repositorio.uta.edu.ec/handle/123456789/32956</w:t>
      </w:r>
    </w:p>
    <w:p w14:paraId="63F169D8">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Arial" w:hAnsi="Arial" w:cs="Arial"/>
          <w:sz w:val="24"/>
          <w:szCs w:val="24"/>
          <w:lang w:val="zh-CN"/>
        </w:rPr>
      </w:pPr>
      <w:r>
        <w:rPr>
          <w:rFonts w:ascii="Arial" w:hAnsi="Arial" w:cs="Arial"/>
          <w:sz w:val="24"/>
          <w:szCs w:val="24"/>
          <w:lang w:val="zh-CN"/>
        </w:rPr>
        <w:t>Hernández Manduca, A. (2017). El desarrollo de las habilidades orales en estudiantes de octavo grado desde un enfoque comunicativo [Tesis de maestría, Universidad de Cienfuegos]. Repositorio Institucional de la Universidad de Cienfuegos. https://repositorio.ucf.edu.cu/handle/123456789/1567</w:t>
      </w:r>
    </w:p>
    <w:p w14:paraId="788FC72B">
      <w:pPr>
        <w:spacing w:after="160" w:line="360" w:lineRule="auto"/>
        <w:jc w:val="both"/>
        <w:rPr>
          <w:rFonts w:ascii="Arial" w:hAnsi="Arial" w:cs="Arial"/>
          <w:sz w:val="24"/>
          <w:szCs w:val="24"/>
          <w:lang w:val="zh-CN"/>
        </w:rPr>
      </w:pPr>
    </w:p>
    <w:p w14:paraId="3ED8B39C">
      <w:pPr>
        <w:spacing w:after="160" w:line="360" w:lineRule="auto"/>
        <w:jc w:val="both"/>
        <w:rPr>
          <w:rFonts w:ascii="Arial" w:hAnsi="Arial" w:cs="Arial"/>
          <w:sz w:val="24"/>
          <w:szCs w:val="24"/>
          <w:lang w:val="zh-CN"/>
        </w:rPr>
      </w:pPr>
    </w:p>
    <w:p w14:paraId="1A6F2C3C">
      <w:pPr>
        <w:spacing w:after="160" w:line="360" w:lineRule="auto"/>
        <w:jc w:val="both"/>
        <w:rPr>
          <w:rFonts w:ascii="Arial" w:hAnsi="Arial" w:cs="Arial"/>
          <w:sz w:val="24"/>
          <w:szCs w:val="24"/>
          <w:lang w:val="zh-CN"/>
        </w:rPr>
      </w:pPr>
    </w:p>
    <w:p w14:paraId="3600B4FE">
      <w:pPr>
        <w:spacing w:after="160" w:line="360" w:lineRule="auto"/>
        <w:jc w:val="both"/>
        <w:rPr>
          <w:rFonts w:ascii="Arial" w:hAnsi="Arial" w:cs="Arial"/>
          <w:sz w:val="24"/>
          <w:szCs w:val="24"/>
          <w:lang w:val="zh-CN"/>
        </w:rPr>
      </w:pPr>
    </w:p>
    <w:p w14:paraId="542C3AC8">
      <w:pPr>
        <w:spacing w:after="160" w:line="360" w:lineRule="auto"/>
        <w:jc w:val="both"/>
        <w:rPr>
          <w:rFonts w:ascii="Arial" w:hAnsi="Arial" w:cs="Arial"/>
          <w:sz w:val="24"/>
          <w:szCs w:val="24"/>
          <w:lang w:val="zh-CN"/>
        </w:rPr>
      </w:pPr>
    </w:p>
    <w:p w14:paraId="3FD7E193">
      <w:pPr>
        <w:spacing w:after="160" w:line="360" w:lineRule="auto"/>
        <w:jc w:val="both"/>
        <w:rPr>
          <w:rFonts w:ascii="Arial" w:hAnsi="Arial" w:cs="Arial"/>
          <w:sz w:val="24"/>
          <w:szCs w:val="24"/>
          <w:lang w:val="zh-CN"/>
        </w:rPr>
      </w:pPr>
    </w:p>
    <w:p w14:paraId="57F592DA">
      <w:pPr>
        <w:spacing w:after="160" w:line="360" w:lineRule="auto"/>
        <w:jc w:val="both"/>
        <w:rPr>
          <w:rFonts w:ascii="Arial" w:hAnsi="Arial" w:cs="Arial"/>
          <w:sz w:val="24"/>
          <w:szCs w:val="24"/>
          <w:lang w:val="zh-CN"/>
        </w:rPr>
      </w:pPr>
    </w:p>
    <w:sectPr>
      <w:pgSz w:w="12240" w:h="15840"/>
      <w:pgMar w:top="1417" w:right="1701" w:bottom="1417" w:left="1701" w:header="0" w:footer="0" w:gutter="0"/>
      <w:pgNumType w:start="1"/>
      <w:cols w:space="720" w:num="1"/>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Nimbus Sans L">
    <w:altName w:val="Times New Roman"/>
    <w:panose1 w:val="00000000000000000000"/>
    <w:charset w:val="00"/>
    <w:family w:val="roman"/>
    <w:pitch w:val="default"/>
    <w:sig w:usb0="00000000" w:usb1="00000000" w:usb2="00000008" w:usb3="00000000" w:csb0="000001FF" w:csb1="00000000"/>
  </w:font>
  <w:font w:name="DejaVu Sans">
    <w:altName w:val="Times New Roman"/>
    <w:panose1 w:val="00000000000000000000"/>
    <w:charset w:val="00"/>
    <w:family w:val="roman"/>
    <w:pitch w:val="default"/>
    <w:sig w:usb0="00000000" w:usb1="00000000" w:usb2="00000008" w:usb3="00000000" w:csb0="000001FF" w:csb1="00000000"/>
  </w:font>
  <w:font w:name="FreeSans">
    <w:altName w:val="Times New Roman"/>
    <w:panose1 w:val="00000000000000000000"/>
    <w:charset w:val="00"/>
    <w:family w:val="roman"/>
    <w:pitch w:val="default"/>
    <w:sig w:usb0="00000000" w:usb1="00000000" w:usb2="00000008" w:usb3="00000000" w:csb0="0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053208E"/>
    <w:multiLevelType w:val="multilevel"/>
    <w:tmpl w:val="0053208E"/>
    <w:lvl w:ilvl="0" w:tentative="0">
      <w:start w:val="1"/>
      <w:numFmt w:val="bullet"/>
      <w:lvlText w:val=""/>
      <w:lvlJc w:val="left"/>
      <w:pPr>
        <w:ind w:left="786" w:hanging="360"/>
      </w:pPr>
      <w:rPr>
        <w:rFonts w:hint="default" w:ascii="Wingdings" w:hAnsi="Wingdings"/>
      </w:rPr>
    </w:lvl>
    <w:lvl w:ilvl="1" w:tentative="0">
      <w:start w:val="1"/>
      <w:numFmt w:val="bullet"/>
      <w:lvlText w:val="o"/>
      <w:lvlJc w:val="left"/>
      <w:pPr>
        <w:ind w:left="1506" w:hanging="360"/>
      </w:pPr>
      <w:rPr>
        <w:rFonts w:hint="default" w:ascii="Courier New" w:hAnsi="Courier New" w:cs="Courier New"/>
      </w:rPr>
    </w:lvl>
    <w:lvl w:ilvl="2" w:tentative="0">
      <w:start w:val="1"/>
      <w:numFmt w:val="bullet"/>
      <w:lvlText w:val=""/>
      <w:lvlJc w:val="left"/>
      <w:pPr>
        <w:ind w:left="2226" w:hanging="360"/>
      </w:pPr>
      <w:rPr>
        <w:rFonts w:hint="default" w:ascii="Wingdings" w:hAnsi="Wingdings"/>
      </w:rPr>
    </w:lvl>
    <w:lvl w:ilvl="3" w:tentative="0">
      <w:start w:val="1"/>
      <w:numFmt w:val="bullet"/>
      <w:lvlText w:val=""/>
      <w:lvlJc w:val="left"/>
      <w:pPr>
        <w:ind w:left="2946" w:hanging="360"/>
      </w:pPr>
      <w:rPr>
        <w:rFonts w:hint="default" w:ascii="Symbol" w:hAnsi="Symbol"/>
      </w:rPr>
    </w:lvl>
    <w:lvl w:ilvl="4" w:tentative="0">
      <w:start w:val="1"/>
      <w:numFmt w:val="bullet"/>
      <w:lvlText w:val="o"/>
      <w:lvlJc w:val="left"/>
      <w:pPr>
        <w:ind w:left="3666" w:hanging="360"/>
      </w:pPr>
      <w:rPr>
        <w:rFonts w:hint="default" w:ascii="Courier New" w:hAnsi="Courier New" w:cs="Courier New"/>
      </w:rPr>
    </w:lvl>
    <w:lvl w:ilvl="5" w:tentative="0">
      <w:start w:val="1"/>
      <w:numFmt w:val="bullet"/>
      <w:lvlText w:val=""/>
      <w:lvlJc w:val="left"/>
      <w:pPr>
        <w:ind w:left="4386" w:hanging="360"/>
      </w:pPr>
      <w:rPr>
        <w:rFonts w:hint="default" w:ascii="Wingdings" w:hAnsi="Wingdings"/>
      </w:rPr>
    </w:lvl>
    <w:lvl w:ilvl="6" w:tentative="0">
      <w:start w:val="1"/>
      <w:numFmt w:val="bullet"/>
      <w:lvlText w:val=""/>
      <w:lvlJc w:val="left"/>
      <w:pPr>
        <w:ind w:left="5106" w:hanging="360"/>
      </w:pPr>
      <w:rPr>
        <w:rFonts w:hint="default" w:ascii="Symbol" w:hAnsi="Symbol"/>
      </w:rPr>
    </w:lvl>
    <w:lvl w:ilvl="7" w:tentative="0">
      <w:start w:val="1"/>
      <w:numFmt w:val="bullet"/>
      <w:lvlText w:val="o"/>
      <w:lvlJc w:val="left"/>
      <w:pPr>
        <w:ind w:left="5826" w:hanging="360"/>
      </w:pPr>
      <w:rPr>
        <w:rFonts w:hint="default" w:ascii="Courier New" w:hAnsi="Courier New" w:cs="Courier New"/>
      </w:rPr>
    </w:lvl>
    <w:lvl w:ilvl="8" w:tentative="0">
      <w:start w:val="1"/>
      <w:numFmt w:val="bullet"/>
      <w:lvlText w:val=""/>
      <w:lvlJc w:val="left"/>
      <w:pPr>
        <w:ind w:left="6546"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67"/>
  <w:displayBackgroundShape w:val="1"/>
  <w:hideSpellingErrors/>
  <w:hideGrammaticalErrors/>
  <w:documentProtection w:enforcement="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2"/>
  </w:compat>
  <w:rsids>
    <w:rsidRoot w:val="009948CD"/>
    <w:rsid w:val="00336B15"/>
    <w:rsid w:val="004A37DB"/>
    <w:rsid w:val="005A2BDB"/>
    <w:rsid w:val="00763450"/>
    <w:rsid w:val="00936DD6"/>
    <w:rsid w:val="009948CD"/>
    <w:rsid w:val="00A50221"/>
    <w:rsid w:val="00D71FBE"/>
    <w:rsid w:val="01477CDE"/>
    <w:rsid w:val="041D47D5"/>
    <w:rsid w:val="0AB77B8E"/>
    <w:rsid w:val="10FD7E68"/>
    <w:rsid w:val="11952E8E"/>
    <w:rsid w:val="1EFE3F44"/>
    <w:rsid w:val="1F5C2B46"/>
    <w:rsid w:val="21827D5A"/>
    <w:rsid w:val="226202D0"/>
    <w:rsid w:val="25F216FF"/>
    <w:rsid w:val="310B1067"/>
    <w:rsid w:val="36537A39"/>
    <w:rsid w:val="381D07F8"/>
    <w:rsid w:val="4858452B"/>
    <w:rsid w:val="4DC43B24"/>
    <w:rsid w:val="57DB4A87"/>
    <w:rsid w:val="5B742D84"/>
    <w:rsid w:val="6A417366"/>
    <w:rsid w:val="72CC33D4"/>
    <w:rsid w:val="7B3F69FF"/>
  </w:rsids>
  <m:mathPr>
    <m:mathFont m:val="Cambria Math"/>
    <m:brkBin m:val="before"/>
    <m:brkBinSub m:val="--"/>
    <m:smallFrac m:val="1"/>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SimSu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uiPriority="99" w:name="annotation text"/>
    <w:lsdException w:unhideWhenUsed="0" w:uiPriority="0"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semiHidden="0" w:name="Balloon Text"/>
    <w:lsdException w:unhideWhenUsed="0" w:uiPriority="59" w:semiHidden="0" w:name="Table Grid"/>
    <w:lsdException w:uiPriority="99" w:name="Table Theme"/>
    <w:lsdException w:qFormat="1" w:unhideWhenUsed="0" w:uiPriority="1" w:semiHidden="0" w:name="No Spacing"/>
    <w:lsdException w:unhideWhenUsed="0" w:uiPriority="69" w:semiHidden="0" w:name="Medium Grid 3"/>
    <w:lsdException w:qFormat="1" w:unhideWhenUsed="0" w:uiPriority="34" w:semiHidden="0" w:name="List Paragraph"/>
    <w:lsdException w:unhideWhenUsed="0" w:uiPriority="69" w:semiHidden="0" w:name="Medium Grid 3 Accent 1"/>
    <w:lsdException w:unhideWhenUsed="0" w:uiPriority="69" w:semiHidden="0" w:name="Medium Grid 3 Accent 2"/>
    <w:lsdException w:unhideWhenUsed="0" w:uiPriority="69" w:semiHidden="0" w:name="Medium Grid 3 Accent 3"/>
    <w:lsdException w:unhideWhenUsed="0" w:uiPriority="69" w:semiHidden="0" w:name="Medium Grid 3 Accent 4"/>
    <w:lsdException w:unhideWhenUsed="0" w:uiPriority="69" w:semiHidden="0" w:name="Medium Grid 3 Accent 5"/>
    <w:lsdException w:unhideWhenUsed="0" w:uiPriority="69" w:semiHidden="0" w:name="Medium Grid 3 Accent 6"/>
  </w:latentStyles>
  <w:style w:type="paragraph" w:default="1" w:styleId="1">
    <w:name w:val="Normal"/>
    <w:qFormat/>
    <w:uiPriority w:val="0"/>
    <w:pPr>
      <w:spacing w:after="200" w:line="276" w:lineRule="auto"/>
    </w:pPr>
    <w:rPr>
      <w:rFonts w:ascii="Calibri" w:hAnsi="Calibri" w:eastAsia="Calibri" w:cs="SimSun"/>
      <w:sz w:val="22"/>
      <w:szCs w:val="22"/>
      <w:lang w:val="es-ES" w:eastAsia="en-US" w:bidi="ar-SA"/>
    </w:rPr>
  </w:style>
  <w:style w:type="paragraph" w:styleId="2">
    <w:name w:val="heading 1"/>
    <w:basedOn w:val="1"/>
    <w:next w:val="1"/>
    <w:link w:val="20"/>
    <w:qFormat/>
    <w:uiPriority w:val="9"/>
    <w:pPr>
      <w:keepNext/>
      <w:keepLines/>
      <w:spacing w:before="480" w:after="0"/>
      <w:outlineLvl w:val="0"/>
    </w:pPr>
    <w:rPr>
      <w:rFonts w:ascii="Cambria" w:hAnsi="Cambria" w:eastAsia="SimSun"/>
      <w:b/>
      <w:bCs/>
      <w:color w:val="365F91"/>
      <w:sz w:val="28"/>
      <w:szCs w:val="28"/>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footnote reference"/>
    <w:basedOn w:val="3"/>
    <w:link w:val="6"/>
    <w:uiPriority w:val="99"/>
    <w:rPr>
      <w:vertAlign w:val="superscript"/>
    </w:rPr>
  </w:style>
  <w:style w:type="paragraph" w:styleId="6">
    <w:name w:val="footnote text"/>
    <w:basedOn w:val="1"/>
    <w:next w:val="1"/>
    <w:link w:val="5"/>
    <w:qFormat/>
    <w:uiPriority w:val="99"/>
    <w:pPr>
      <w:snapToGrid w:val="0"/>
    </w:pPr>
    <w:rPr>
      <w:sz w:val="18"/>
      <w:szCs w:val="18"/>
    </w:rPr>
  </w:style>
  <w:style w:type="character" w:styleId="7">
    <w:name w:val="Hyperlink"/>
    <w:basedOn w:val="3"/>
    <w:uiPriority w:val="99"/>
    <w:rPr>
      <w:color w:val="0000FF"/>
      <w:u w:val="single"/>
    </w:rPr>
  </w:style>
  <w:style w:type="paragraph" w:styleId="8">
    <w:name w:val="Balloon Text"/>
    <w:basedOn w:val="1"/>
    <w:link w:val="15"/>
    <w:uiPriority w:val="99"/>
    <w:pPr>
      <w:spacing w:after="0" w:line="240" w:lineRule="auto"/>
    </w:pPr>
    <w:rPr>
      <w:rFonts w:ascii="Tahoma" w:hAnsi="Tahoma" w:cs="Tahoma"/>
      <w:sz w:val="16"/>
      <w:szCs w:val="16"/>
    </w:rPr>
  </w:style>
  <w:style w:type="paragraph" w:styleId="9">
    <w:name w:val="header"/>
    <w:basedOn w:val="1"/>
    <w:uiPriority w:val="0"/>
    <w:pPr>
      <w:keepNext/>
      <w:spacing w:before="240" w:after="120"/>
    </w:pPr>
    <w:rPr>
      <w:rFonts w:ascii="Nimbus Sans L" w:hAnsi="Nimbus Sans L" w:eastAsia="DejaVu Sans" w:cs="FreeSans"/>
      <w:sz w:val="28"/>
      <w:szCs w:val="28"/>
      <w:lang w:val="en-US" w:eastAsia="zh-CN"/>
    </w:rPr>
  </w:style>
  <w:style w:type="paragraph" w:styleId="10">
    <w:name w:val="Normal (Web)"/>
    <w:basedOn w:val="1"/>
    <w:uiPriority w:val="99"/>
    <w:pPr>
      <w:spacing w:before="100" w:beforeAutospacing="1" w:after="100" w:afterAutospacing="1" w:line="240" w:lineRule="auto"/>
    </w:pPr>
    <w:rPr>
      <w:rFonts w:ascii="Times New Roman" w:hAnsi="Times New Roman" w:eastAsia="Times New Roman" w:cs="Times New Roman"/>
      <w:sz w:val="24"/>
      <w:szCs w:val="24"/>
      <w:lang w:eastAsia="es-ES"/>
    </w:rPr>
  </w:style>
  <w:style w:type="paragraph" w:styleId="11">
    <w:name w:val="footer"/>
    <w:basedOn w:val="1"/>
    <w:link w:val="23"/>
    <w:uiPriority w:val="99"/>
    <w:pPr>
      <w:tabs>
        <w:tab w:val="center" w:pos="4252"/>
        <w:tab w:val="right" w:pos="8504"/>
      </w:tabs>
      <w:spacing w:after="0" w:line="240" w:lineRule="auto"/>
    </w:pPr>
  </w:style>
  <w:style w:type="paragraph" w:styleId="12">
    <w:name w:val="Title"/>
    <w:basedOn w:val="1"/>
    <w:next w:val="1"/>
    <w:link w:val="18"/>
    <w:qFormat/>
    <w:uiPriority w:val="10"/>
    <w:pPr>
      <w:pBdr>
        <w:bottom w:val="single" w:color="4F81BD" w:sz="8" w:space="4"/>
      </w:pBdr>
      <w:spacing w:after="300" w:line="240" w:lineRule="auto"/>
      <w:contextualSpacing/>
    </w:pPr>
    <w:rPr>
      <w:rFonts w:ascii="Cambria" w:hAnsi="Cambria" w:eastAsia="SimSun"/>
      <w:color w:val="17365D"/>
      <w:spacing w:val="5"/>
      <w:kern w:val="28"/>
      <w:sz w:val="52"/>
      <w:szCs w:val="52"/>
    </w:rPr>
  </w:style>
  <w:style w:type="table" w:styleId="13">
    <w:name w:val="Table Grid"/>
    <w:basedOn w:val="4"/>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Mención sin resolver1"/>
    <w:basedOn w:val="3"/>
    <w:uiPriority w:val="99"/>
    <w:rPr>
      <w:color w:val="605E5C"/>
      <w:shd w:val="clear" w:color="auto" w:fill="E1DFDD"/>
    </w:rPr>
  </w:style>
  <w:style w:type="character" w:customStyle="1" w:styleId="15">
    <w:name w:val="Texto de globo Car"/>
    <w:basedOn w:val="3"/>
    <w:link w:val="8"/>
    <w:uiPriority w:val="99"/>
    <w:rPr>
      <w:rFonts w:ascii="Tahoma" w:hAnsi="Tahoma" w:cs="Tahoma"/>
      <w:sz w:val="16"/>
      <w:szCs w:val="16"/>
    </w:rPr>
  </w:style>
  <w:style w:type="paragraph" w:styleId="16">
    <w:name w:val="List Paragraph"/>
    <w:basedOn w:val="1"/>
    <w:qFormat/>
    <w:uiPriority w:val="34"/>
    <w:pPr>
      <w:ind w:left="720"/>
      <w:contextualSpacing/>
    </w:pPr>
  </w:style>
  <w:style w:type="character" w:customStyle="1" w:styleId="17">
    <w:name w:val="Book Title"/>
    <w:basedOn w:val="3"/>
    <w:qFormat/>
    <w:uiPriority w:val="33"/>
    <w:rPr>
      <w:b/>
      <w:bCs/>
      <w:smallCaps/>
      <w:spacing w:val="5"/>
    </w:rPr>
  </w:style>
  <w:style w:type="character" w:customStyle="1" w:styleId="18">
    <w:name w:val="Título Car"/>
    <w:basedOn w:val="3"/>
    <w:link w:val="12"/>
    <w:uiPriority w:val="10"/>
    <w:rPr>
      <w:rFonts w:ascii="Cambria" w:hAnsi="Cambria" w:eastAsia="SimSun" w:cs="SimSun"/>
      <w:color w:val="17365D"/>
      <w:spacing w:val="5"/>
      <w:kern w:val="28"/>
      <w:sz w:val="52"/>
      <w:szCs w:val="52"/>
    </w:rPr>
  </w:style>
  <w:style w:type="paragraph" w:styleId="19">
    <w:name w:val="No Spacing"/>
    <w:qFormat/>
    <w:uiPriority w:val="1"/>
    <w:pPr>
      <w:spacing w:after="0" w:line="240" w:lineRule="auto"/>
    </w:pPr>
    <w:rPr>
      <w:rFonts w:ascii="Calibri" w:hAnsi="Calibri" w:eastAsia="Calibri" w:cs="SimSun"/>
      <w:sz w:val="22"/>
      <w:szCs w:val="22"/>
      <w:lang w:val="es-ES" w:eastAsia="en-US" w:bidi="ar-SA"/>
    </w:rPr>
  </w:style>
  <w:style w:type="character" w:customStyle="1" w:styleId="20">
    <w:name w:val="Título 1 Car"/>
    <w:basedOn w:val="3"/>
    <w:link w:val="2"/>
    <w:uiPriority w:val="9"/>
    <w:rPr>
      <w:rFonts w:ascii="Cambria" w:hAnsi="Cambria" w:eastAsia="SimSun" w:cs="SimSun"/>
      <w:b/>
      <w:bCs/>
      <w:color w:val="365F91"/>
      <w:sz w:val="28"/>
      <w:szCs w:val="28"/>
    </w:rPr>
  </w:style>
  <w:style w:type="character" w:customStyle="1" w:styleId="21">
    <w:name w:val="Ancla de nota al pie"/>
    <w:uiPriority w:val="0"/>
    <w:rPr>
      <w:vertAlign w:val="superscript"/>
    </w:rPr>
  </w:style>
  <w:style w:type="paragraph" w:customStyle="1" w:styleId="22">
    <w:name w:val="Nota al pie"/>
    <w:basedOn w:val="1"/>
    <w:uiPriority w:val="0"/>
    <w:pPr>
      <w:suppressAutoHyphens/>
    </w:pPr>
    <w:rPr>
      <w:rFonts w:eastAsia="SimSun" w:cs="Times New Roman"/>
      <w:lang w:val="en-US" w:eastAsia="zh-CN"/>
    </w:rPr>
  </w:style>
  <w:style w:type="character" w:customStyle="1" w:styleId="23">
    <w:name w:val="Pie de página Car"/>
    <w:basedOn w:val="3"/>
    <w:link w:val="11"/>
    <w:uiPriority w:val="99"/>
  </w:style>
  <w:style w:type="table" w:styleId="24">
    <w:name w:val="Medium Grid 3"/>
    <w:basedOn w:val="4"/>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C0C0C0"/>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000000"/>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000000"/>
      </w:tcPr>
    </w:tblStylePr>
    <w:tblStylePr w:type="firstCol">
      <w:rPr>
        <w:b/>
        <w:bCs/>
        <w:i w:val="0"/>
        <w:iCs w:val="0"/>
        <w:color w:val="CCE8CF"/>
      </w:rPr>
      <w:tcPr>
        <w:tcBorders>
          <w:left w:val="single" w:color="CCE8CF" w:sz="8" w:space="0"/>
          <w:right w:val="single" w:color="CCE8CF" w:sz="24" w:space="0"/>
          <w:insideH w:val="nil"/>
          <w:insideV w:val="nil"/>
        </w:tcBorders>
        <w:shd w:val="clear" w:color="auto" w:fill="000000"/>
      </w:tcPr>
    </w:tblStylePr>
    <w:tblStylePr w:type="lastCol">
      <w:rPr>
        <w:b/>
        <w:bCs/>
        <w:i w:val="0"/>
        <w:iCs w:val="0"/>
        <w:color w:val="CCE8CF"/>
      </w:rPr>
      <w:tcPr>
        <w:tcBorders>
          <w:top w:val="nil"/>
          <w:left w:val="single" w:color="CCE8CF" w:sz="24" w:space="0"/>
          <w:bottom w:val="nil"/>
          <w:right w:val="nil"/>
          <w:insideH w:val="nil"/>
          <w:insideV w:val="nil"/>
        </w:tcBorders>
        <w:shd w:val="clear" w:color="auto" w:fill="000000"/>
      </w:tcPr>
    </w:tblStylePr>
    <w:tblStylePr w:type="band1Vert">
      <w:tcPr>
        <w:tcBorders>
          <w:top w:val="single" w:color="CCE8CF" w:sz="8" w:space="0"/>
          <w:left w:val="single" w:color="CCE8CF" w:sz="8" w:space="0"/>
          <w:bottom w:val="single" w:color="CCE8CF" w:sz="8" w:space="0"/>
          <w:right w:val="single" w:color="CCE8CF" w:sz="8" w:space="0"/>
          <w:insideH w:val="nil"/>
          <w:insideV w:val="nil"/>
        </w:tcBorders>
        <w:shd w:val="clear" w:color="auto" w:fill="808080"/>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808080"/>
      </w:tcPr>
    </w:tblStylePr>
  </w:style>
  <w:style w:type="table" w:styleId="25">
    <w:name w:val="Medium Grid 3 Accent 1"/>
    <w:basedOn w:val="4"/>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3DFEE"/>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4F81BD"/>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4F81BD"/>
      </w:tcPr>
    </w:tblStylePr>
    <w:tblStylePr w:type="firstCol">
      <w:rPr>
        <w:b/>
        <w:bCs/>
        <w:i w:val="0"/>
        <w:iCs w:val="0"/>
        <w:color w:val="CCE8CF"/>
      </w:rPr>
      <w:tcPr>
        <w:tcBorders>
          <w:left w:val="single" w:color="CCE8CF" w:sz="8" w:space="0"/>
          <w:right w:val="single" w:color="CCE8CF" w:sz="24" w:space="0"/>
          <w:insideH w:val="nil"/>
          <w:insideV w:val="nil"/>
        </w:tcBorders>
        <w:shd w:val="clear" w:color="auto" w:fill="4F81BD"/>
      </w:tcPr>
    </w:tblStylePr>
    <w:tblStylePr w:type="lastCol">
      <w:rPr>
        <w:b/>
        <w:bCs/>
        <w:i w:val="0"/>
        <w:iCs w:val="0"/>
        <w:color w:val="CCE8CF"/>
      </w:rPr>
      <w:tcPr>
        <w:tcBorders>
          <w:top w:val="nil"/>
          <w:left w:val="single" w:color="CCE8CF" w:sz="24" w:space="0"/>
          <w:bottom w:val="nil"/>
          <w:right w:val="nil"/>
          <w:insideH w:val="nil"/>
          <w:insideV w:val="nil"/>
        </w:tcBorders>
        <w:shd w:val="clear" w:color="auto" w:fill="4F81BD"/>
      </w:tcPr>
    </w:tblStylePr>
    <w:tblStylePr w:type="band1Vert">
      <w:tcPr>
        <w:tcBorders>
          <w:top w:val="single" w:color="CCE8CF" w:sz="8" w:space="0"/>
          <w:left w:val="single" w:color="CCE8CF" w:sz="8" w:space="0"/>
          <w:bottom w:val="single" w:color="CCE8CF" w:sz="8" w:space="0"/>
          <w:right w:val="single" w:color="CCE8CF" w:sz="8" w:space="0"/>
          <w:insideH w:val="nil"/>
          <w:insideV w:val="nil"/>
        </w:tcBorders>
        <w:shd w:val="clear" w:color="auto" w:fill="A7BFDE"/>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A7BFDE"/>
      </w:tcPr>
    </w:tblStylePr>
  </w:style>
  <w:style w:type="table" w:styleId="26">
    <w:name w:val="Medium Grid 3 Accent 2"/>
    <w:basedOn w:val="4"/>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FD3D2"/>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C0504D"/>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C0504D"/>
      </w:tcPr>
    </w:tblStylePr>
    <w:tblStylePr w:type="firstCol">
      <w:rPr>
        <w:b/>
        <w:bCs/>
        <w:i w:val="0"/>
        <w:iCs w:val="0"/>
        <w:color w:val="CCE8CF"/>
      </w:rPr>
      <w:tcPr>
        <w:tcBorders>
          <w:left w:val="single" w:color="CCE8CF" w:sz="8" w:space="0"/>
          <w:right w:val="single" w:color="CCE8CF" w:sz="24" w:space="0"/>
          <w:insideH w:val="nil"/>
          <w:insideV w:val="nil"/>
        </w:tcBorders>
        <w:shd w:val="clear" w:color="auto" w:fill="C0504D"/>
      </w:tcPr>
    </w:tblStylePr>
    <w:tblStylePr w:type="lastCol">
      <w:rPr>
        <w:b/>
        <w:bCs/>
        <w:i w:val="0"/>
        <w:iCs w:val="0"/>
        <w:color w:val="CCE8CF"/>
      </w:rPr>
      <w:tcPr>
        <w:tcBorders>
          <w:top w:val="nil"/>
          <w:left w:val="single" w:color="CCE8CF" w:sz="24" w:space="0"/>
          <w:bottom w:val="nil"/>
          <w:right w:val="nil"/>
          <w:insideH w:val="nil"/>
          <w:insideV w:val="nil"/>
        </w:tcBorders>
        <w:shd w:val="clear" w:color="auto" w:fill="C0504D"/>
      </w:tcPr>
    </w:tblStylePr>
    <w:tblStylePr w:type="band1Vert">
      <w:tcPr>
        <w:tcBorders>
          <w:top w:val="single" w:color="CCE8CF" w:sz="8" w:space="0"/>
          <w:left w:val="single" w:color="CCE8CF" w:sz="8" w:space="0"/>
          <w:bottom w:val="single" w:color="CCE8CF" w:sz="8" w:space="0"/>
          <w:right w:val="single" w:color="CCE8CF" w:sz="8" w:space="0"/>
          <w:insideH w:val="nil"/>
          <w:insideV w:val="nil"/>
        </w:tcBorders>
        <w:shd w:val="clear" w:color="auto" w:fill="DFA7A6"/>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DFA7A6"/>
      </w:tcPr>
    </w:tblStylePr>
  </w:style>
  <w:style w:type="table" w:styleId="27">
    <w:name w:val="Medium Grid 3 Accent 3"/>
    <w:basedOn w:val="4"/>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6EED5"/>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9BBB59"/>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9BBB59"/>
      </w:tcPr>
    </w:tblStylePr>
    <w:tblStylePr w:type="firstCol">
      <w:rPr>
        <w:b/>
        <w:bCs/>
        <w:i w:val="0"/>
        <w:iCs w:val="0"/>
        <w:color w:val="CCE8CF"/>
      </w:rPr>
      <w:tcPr>
        <w:tcBorders>
          <w:left w:val="single" w:color="CCE8CF" w:sz="8" w:space="0"/>
          <w:right w:val="single" w:color="CCE8CF" w:sz="24" w:space="0"/>
          <w:insideH w:val="nil"/>
          <w:insideV w:val="nil"/>
        </w:tcBorders>
        <w:shd w:val="clear" w:color="auto" w:fill="9BBB59"/>
      </w:tcPr>
    </w:tblStylePr>
    <w:tblStylePr w:type="lastCol">
      <w:rPr>
        <w:b/>
        <w:bCs/>
        <w:i w:val="0"/>
        <w:iCs w:val="0"/>
        <w:color w:val="CCE8CF"/>
      </w:rPr>
      <w:tcPr>
        <w:tcBorders>
          <w:top w:val="nil"/>
          <w:left w:val="single" w:color="CCE8CF" w:sz="24" w:space="0"/>
          <w:bottom w:val="nil"/>
          <w:right w:val="nil"/>
          <w:insideH w:val="nil"/>
          <w:insideV w:val="nil"/>
        </w:tcBorders>
        <w:shd w:val="clear" w:color="auto" w:fill="9BBB59"/>
      </w:tcPr>
    </w:tblStylePr>
    <w:tblStylePr w:type="band1Vert">
      <w:tcPr>
        <w:tcBorders>
          <w:top w:val="single" w:color="CCE8CF" w:sz="8" w:space="0"/>
          <w:left w:val="single" w:color="CCE8CF" w:sz="8" w:space="0"/>
          <w:bottom w:val="single" w:color="CCE8CF" w:sz="8" w:space="0"/>
          <w:right w:val="single" w:color="CCE8CF" w:sz="8" w:space="0"/>
          <w:insideH w:val="nil"/>
          <w:insideV w:val="nil"/>
        </w:tcBorders>
        <w:shd w:val="clear" w:color="auto" w:fill="CDDDAC"/>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CDDDAC"/>
      </w:tcPr>
    </w:tblStylePr>
  </w:style>
  <w:style w:type="table" w:styleId="28">
    <w:name w:val="Medium Grid 3 Accent 4"/>
    <w:basedOn w:val="4"/>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FD8E8"/>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8064A2"/>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8064A2"/>
      </w:tcPr>
    </w:tblStylePr>
    <w:tblStylePr w:type="firstCol">
      <w:rPr>
        <w:b/>
        <w:bCs/>
        <w:i w:val="0"/>
        <w:iCs w:val="0"/>
        <w:color w:val="CCE8CF"/>
      </w:rPr>
      <w:tcPr>
        <w:tcBorders>
          <w:left w:val="single" w:color="CCE8CF" w:sz="8" w:space="0"/>
          <w:right w:val="single" w:color="CCE8CF" w:sz="24" w:space="0"/>
          <w:insideH w:val="nil"/>
          <w:insideV w:val="nil"/>
        </w:tcBorders>
        <w:shd w:val="clear" w:color="auto" w:fill="8064A2"/>
      </w:tcPr>
    </w:tblStylePr>
    <w:tblStylePr w:type="lastCol">
      <w:rPr>
        <w:b/>
        <w:bCs/>
        <w:i w:val="0"/>
        <w:iCs w:val="0"/>
        <w:color w:val="CCE8CF"/>
      </w:rPr>
      <w:tcPr>
        <w:tcBorders>
          <w:top w:val="nil"/>
          <w:left w:val="single" w:color="CCE8CF" w:sz="24" w:space="0"/>
          <w:bottom w:val="nil"/>
          <w:right w:val="nil"/>
          <w:insideH w:val="nil"/>
          <w:insideV w:val="nil"/>
        </w:tcBorders>
        <w:shd w:val="clear" w:color="auto" w:fill="8064A2"/>
      </w:tcPr>
    </w:tblStylePr>
    <w:tblStylePr w:type="band1Vert">
      <w:tcPr>
        <w:tcBorders>
          <w:top w:val="single" w:color="CCE8CF" w:sz="8" w:space="0"/>
          <w:left w:val="single" w:color="CCE8CF" w:sz="8" w:space="0"/>
          <w:bottom w:val="single" w:color="CCE8CF" w:sz="8" w:space="0"/>
          <w:right w:val="single" w:color="CCE8CF" w:sz="8" w:space="0"/>
          <w:insideH w:val="nil"/>
          <w:insideV w:val="nil"/>
        </w:tcBorders>
        <w:shd w:val="clear" w:color="auto" w:fill="BFB1D0"/>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BFB1D0"/>
      </w:tcPr>
    </w:tblStylePr>
  </w:style>
  <w:style w:type="table" w:styleId="29">
    <w:name w:val="Medium Grid 3 Accent 5"/>
    <w:basedOn w:val="4"/>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2EAF1"/>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4BACC6"/>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4BACC6"/>
      </w:tcPr>
    </w:tblStylePr>
    <w:tblStylePr w:type="firstCol">
      <w:rPr>
        <w:b/>
        <w:bCs/>
        <w:i w:val="0"/>
        <w:iCs w:val="0"/>
        <w:color w:val="CCE8CF"/>
      </w:rPr>
      <w:tcPr>
        <w:tcBorders>
          <w:left w:val="single" w:color="CCE8CF" w:sz="8" w:space="0"/>
          <w:right w:val="single" w:color="CCE8CF" w:sz="24" w:space="0"/>
          <w:insideH w:val="nil"/>
          <w:insideV w:val="nil"/>
        </w:tcBorders>
        <w:shd w:val="clear" w:color="auto" w:fill="4BACC6"/>
      </w:tcPr>
    </w:tblStylePr>
    <w:tblStylePr w:type="lastCol">
      <w:rPr>
        <w:b/>
        <w:bCs/>
        <w:i w:val="0"/>
        <w:iCs w:val="0"/>
        <w:color w:val="CCE8CF"/>
      </w:rPr>
      <w:tcPr>
        <w:tcBorders>
          <w:top w:val="nil"/>
          <w:left w:val="single" w:color="CCE8CF" w:sz="24" w:space="0"/>
          <w:bottom w:val="nil"/>
          <w:right w:val="nil"/>
          <w:insideH w:val="nil"/>
          <w:insideV w:val="nil"/>
        </w:tcBorders>
        <w:shd w:val="clear" w:color="auto" w:fill="4BACC6"/>
      </w:tcPr>
    </w:tblStylePr>
    <w:tblStylePr w:type="band1Vert">
      <w:tcPr>
        <w:tcBorders>
          <w:top w:val="single" w:color="CCE8CF" w:sz="8" w:space="0"/>
          <w:left w:val="single" w:color="CCE8CF" w:sz="8" w:space="0"/>
          <w:bottom w:val="single" w:color="CCE8CF" w:sz="8" w:space="0"/>
          <w:right w:val="single" w:color="CCE8CF" w:sz="8" w:space="0"/>
          <w:insideH w:val="nil"/>
          <w:insideV w:val="nil"/>
        </w:tcBorders>
        <w:shd w:val="clear" w:color="auto" w:fill="A5D5E2"/>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A5D5E2"/>
      </w:tcPr>
    </w:tblStylePr>
  </w:style>
  <w:style w:type="table" w:styleId="30">
    <w:name w:val="Medium Grid 3 Accent 6"/>
    <w:basedOn w:val="4"/>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FDE4D0"/>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F79646"/>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F79646"/>
      </w:tcPr>
    </w:tblStylePr>
    <w:tblStylePr w:type="firstCol">
      <w:rPr>
        <w:b/>
        <w:bCs/>
        <w:i w:val="0"/>
        <w:iCs w:val="0"/>
        <w:color w:val="CCE8CF"/>
      </w:rPr>
      <w:tcPr>
        <w:tcBorders>
          <w:left w:val="single" w:color="CCE8CF" w:sz="8" w:space="0"/>
          <w:right w:val="single" w:color="CCE8CF" w:sz="24" w:space="0"/>
          <w:insideH w:val="nil"/>
          <w:insideV w:val="nil"/>
        </w:tcBorders>
        <w:shd w:val="clear" w:color="auto" w:fill="F79646"/>
      </w:tcPr>
    </w:tblStylePr>
    <w:tblStylePr w:type="lastCol">
      <w:rPr>
        <w:b/>
        <w:bCs/>
        <w:i w:val="0"/>
        <w:iCs w:val="0"/>
        <w:color w:val="CCE8CF"/>
      </w:rPr>
      <w:tcPr>
        <w:tcBorders>
          <w:top w:val="nil"/>
          <w:left w:val="single" w:color="CCE8CF" w:sz="24" w:space="0"/>
          <w:bottom w:val="nil"/>
          <w:right w:val="nil"/>
          <w:insideH w:val="nil"/>
          <w:insideV w:val="nil"/>
        </w:tcBorders>
        <w:shd w:val="clear" w:color="auto" w:fill="F79646"/>
      </w:tcPr>
    </w:tblStylePr>
    <w:tblStylePr w:type="band1Vert">
      <w:tcPr>
        <w:tcBorders>
          <w:top w:val="single" w:color="CCE8CF" w:sz="8" w:space="0"/>
          <w:left w:val="single" w:color="CCE8CF" w:sz="8" w:space="0"/>
          <w:bottom w:val="single" w:color="CCE8CF" w:sz="8" w:space="0"/>
          <w:right w:val="single" w:color="CCE8CF" w:sz="8" w:space="0"/>
          <w:insideH w:val="nil"/>
          <w:insideV w:val="nil"/>
        </w:tcBorders>
        <w:shd w:val="clear" w:color="auto" w:fill="FBCAA2"/>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FBCAA2"/>
      </w:tcPr>
    </w:tblStyle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numbering" Target="numbering.xml"/><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024CA0-0C15-454B-AC63-DD5387F7C476}">
  <ds:schemaRefs/>
</ds:datastoreItem>
</file>

<file path=docProps/app.xml><?xml version="1.0" encoding="utf-8"?>
<Properties xmlns="http://schemas.openxmlformats.org/officeDocument/2006/extended-properties" xmlns:vt="http://schemas.openxmlformats.org/officeDocument/2006/docPropsVTypes">
  <Template>Normal</Template>
  <Pages>11</Pages>
  <Words>10889</Words>
  <Characters>59890</Characters>
  <Lines>499</Lines>
  <Paragraphs>141</Paragraphs>
  <TotalTime>8</TotalTime>
  <ScaleCrop>false</ScaleCrop>
  <LinksUpToDate>false</LinksUpToDate>
  <CharactersWithSpaces>70638</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2025-03-31T15:38:00Z</dcterms:created>
  <dc:creator>Usuario de Windows</dc:creator>
  <cp:lastModifiedBy>Yuliesky Amador Echevarria</cp:lastModifiedBy>
  <dcterms:modified xsi:type="dcterms:W3CDTF">2026-04-06T04:05:43Z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76d84b1686054b73b7f0a77f6bba423a</vt:lpwstr>
  </property>
  <property fmtid="{D5CDD505-2E9C-101B-9397-08002B2CF9AE}" pid="3" name="KSOProductBuildVer">
    <vt:lpwstr>3082-12.2.0.23196</vt:lpwstr>
  </property>
</Properties>
</file>