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E52E5">
      <w:pPr>
        <w:spacing w:line="360" w:lineRule="auto"/>
        <w:jc w:val="both"/>
        <w:rPr>
          <w:rFonts w:ascii="Arial" w:hAnsi="Arial" w:eastAsia="Arial" w:cs="Arial"/>
          <w:color w:val="0F2B46"/>
          <w:sz w:val="24"/>
          <w:szCs w:val="24"/>
        </w:rPr>
      </w:pPr>
      <w:r>
        <w:rPr>
          <w:rFonts w:ascii="Arial" w:hAnsi="Arial" w:eastAsia="Arial" w:cs="Arial"/>
          <w:color w:val="0F2B46"/>
          <w:sz w:val="24"/>
          <w:szCs w:val="24"/>
        </w:rPr>
        <w:t xml:space="preserve"> </w:t>
      </w:r>
    </w:p>
    <w:p w14:paraId="1E8F8DC8">
      <w:pPr>
        <w:spacing w:line="360" w:lineRule="auto"/>
        <w:jc w:val="both"/>
        <w:rPr>
          <w:rFonts w:hint="default" w:ascii="Arial" w:hAnsi="Arial" w:cs="Arial"/>
          <w:sz w:val="24"/>
          <w:szCs w:val="24"/>
          <w:lang w:val="es-ES"/>
        </w:rPr>
      </w:pPr>
    </w:p>
    <w:p w14:paraId="271162E2">
      <w:pPr>
        <w:spacing w:line="360" w:lineRule="auto"/>
        <w:jc w:val="both"/>
        <w:rPr>
          <w:rFonts w:hint="default" w:ascii="Arial" w:hAnsi="Arial" w:cs="Arial"/>
          <w:sz w:val="24"/>
          <w:szCs w:val="24"/>
          <w:lang w:val="es-ES"/>
        </w:rPr>
      </w:pPr>
      <w:r>
        <w:rPr>
          <w:rFonts w:ascii="Arial" w:hAnsi="Arial" w:cs="Arial"/>
          <w:sz w:val="24"/>
          <w:szCs w:val="24"/>
        </w:rPr>
        <w:drawing>
          <wp:anchor distT="0" distB="0" distL="0" distR="0" simplePos="0" relativeHeight="251659264" behindDoc="0" locked="0" layoutInCell="0" allowOverlap="1">
            <wp:simplePos x="0" y="0"/>
            <wp:positionH relativeFrom="column">
              <wp:posOffset>3166745</wp:posOffset>
            </wp:positionH>
            <wp:positionV relativeFrom="paragraph">
              <wp:posOffset>40005</wp:posOffset>
            </wp:positionV>
            <wp:extent cx="933450" cy="733425"/>
            <wp:effectExtent l="0" t="0" r="11430" b="13335"/>
            <wp:wrapSquare wrapText="larges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stretch>
                      <a:fillRect/>
                    </a:stretch>
                  </pic:blipFill>
                  <pic:spPr>
                    <a:xfrm>
                      <a:off x="0" y="0"/>
                      <a:ext cx="933450" cy="733425"/>
                    </a:xfrm>
                    <a:prstGeom prst="rect">
                      <a:avLst/>
                    </a:prstGeom>
                  </pic:spPr>
                </pic:pic>
              </a:graphicData>
            </a:graphic>
          </wp:anchor>
        </w:drawing>
      </w:r>
    </w:p>
    <w:p w14:paraId="55203C0F">
      <w:pPr>
        <w:spacing w:line="360" w:lineRule="auto"/>
        <w:jc w:val="both"/>
        <w:rPr>
          <w:rFonts w:hint="default" w:ascii="Arial" w:hAnsi="Arial" w:cs="Arial"/>
          <w:sz w:val="24"/>
          <w:szCs w:val="24"/>
          <w:lang w:val="es-ES"/>
        </w:rPr>
      </w:pPr>
    </w:p>
    <w:p w14:paraId="647F07A6">
      <w:pPr>
        <w:spacing w:line="360" w:lineRule="auto"/>
        <w:jc w:val="both"/>
        <w:rPr>
          <w:rFonts w:hint="default" w:ascii="Arial" w:hAnsi="Arial" w:cs="Arial"/>
          <w:sz w:val="24"/>
          <w:szCs w:val="24"/>
          <w:lang w:val="es-ES"/>
        </w:rPr>
      </w:pPr>
    </w:p>
    <w:p w14:paraId="6BEAADEC">
      <w:pPr>
        <w:spacing w:line="360" w:lineRule="auto"/>
        <w:jc w:val="both"/>
        <w:rPr>
          <w:rFonts w:hint="default" w:ascii="Arial" w:hAnsi="Arial" w:cs="Arial"/>
          <w:sz w:val="24"/>
          <w:szCs w:val="24"/>
          <w:lang w:val="es-ES"/>
        </w:rPr>
      </w:pPr>
    </w:p>
    <w:p w14:paraId="6768BB87">
      <w:pPr>
        <w:spacing w:line="360" w:lineRule="auto"/>
        <w:jc w:val="center"/>
        <w:rPr>
          <w:rFonts w:hint="default" w:ascii="Arial" w:hAnsi="Arial" w:cs="Arial"/>
          <w:sz w:val="24"/>
          <w:szCs w:val="24"/>
          <w:lang w:val="es-ES"/>
        </w:rPr>
      </w:pPr>
      <w:r>
        <w:rPr>
          <w:rFonts w:hint="default" w:ascii="Arial" w:hAnsi="Arial" w:cs="Arial"/>
          <w:sz w:val="24"/>
          <w:szCs w:val="24"/>
          <w:lang w:val="es-ES"/>
        </w:rPr>
        <w:t>UNIVERSIDAD DE ARTEMISA</w:t>
      </w:r>
    </w:p>
    <w:p w14:paraId="37EF2560">
      <w:pPr>
        <w:spacing w:line="360" w:lineRule="auto"/>
        <w:jc w:val="center"/>
        <w:rPr>
          <w:rFonts w:ascii="Arial" w:hAnsi="Arial" w:cs="Arial"/>
          <w:sz w:val="24"/>
          <w:szCs w:val="24"/>
          <w:lang w:val="zh-CN"/>
        </w:rPr>
      </w:pPr>
      <w:r>
        <w:rPr>
          <w:rFonts w:ascii="Arial" w:hAnsi="Arial" w:cs="Arial"/>
          <w:sz w:val="24"/>
          <w:szCs w:val="24"/>
          <w:lang w:val="zh-CN"/>
        </w:rPr>
        <w:t>FACULTAD DE CIENCIAS HUMANÍSTICAS Y SOCIALES</w:t>
      </w:r>
    </w:p>
    <w:p w14:paraId="6C79ACF6">
      <w:pPr>
        <w:spacing w:line="360" w:lineRule="auto"/>
        <w:jc w:val="center"/>
        <w:rPr>
          <w:rFonts w:ascii="Arial" w:hAnsi="Arial" w:cs="Arial"/>
          <w:sz w:val="24"/>
          <w:szCs w:val="24"/>
          <w:lang w:val="zh-CN"/>
        </w:rPr>
      </w:pPr>
      <w:r>
        <w:rPr>
          <w:rFonts w:ascii="Arial" w:hAnsi="Arial" w:cs="Arial"/>
          <w:sz w:val="24"/>
          <w:szCs w:val="24"/>
          <w:lang w:val="zh-CN"/>
        </w:rPr>
        <w:t>Departamento de Lenguas Extranjeras</w:t>
      </w:r>
    </w:p>
    <w:p w14:paraId="7FCEBCBE">
      <w:pPr>
        <w:spacing w:line="360" w:lineRule="auto"/>
        <w:jc w:val="center"/>
        <w:rPr>
          <w:rFonts w:ascii="Arial" w:hAnsi="Arial" w:cs="Arial"/>
          <w:sz w:val="24"/>
          <w:szCs w:val="24"/>
        </w:rPr>
      </w:pPr>
    </w:p>
    <w:p w14:paraId="625D509C">
      <w:pPr>
        <w:spacing w:line="360" w:lineRule="auto"/>
        <w:ind w:left="4060"/>
        <w:jc w:val="both"/>
        <w:rPr>
          <w:rFonts w:hint="default" w:ascii="Arial" w:hAnsi="Arial" w:cs="Arial"/>
          <w:sz w:val="24"/>
          <w:szCs w:val="24"/>
          <w:lang w:val="es-ES"/>
        </w:rPr>
      </w:pPr>
      <w:r>
        <w:rPr>
          <w:rFonts w:hint="default" w:ascii="Arial" w:hAnsi="Arial" w:cs="Arial"/>
          <w:sz w:val="24"/>
          <w:szCs w:val="24"/>
          <w:lang w:val="es-ES"/>
        </w:rPr>
        <w:t>PONENCIA</w:t>
      </w:r>
    </w:p>
    <w:p w14:paraId="30EA48CA">
      <w:pPr>
        <w:spacing w:line="360" w:lineRule="auto"/>
        <w:jc w:val="both"/>
        <w:rPr>
          <w:rFonts w:ascii="Arial" w:hAnsi="Arial" w:cs="Arial"/>
          <w:sz w:val="24"/>
          <w:szCs w:val="24"/>
        </w:rPr>
      </w:pPr>
    </w:p>
    <w:p w14:paraId="7D4A629C">
      <w:pPr>
        <w:spacing w:line="360" w:lineRule="auto"/>
        <w:ind w:right="665"/>
        <w:jc w:val="both"/>
        <w:rPr>
          <w:rFonts w:ascii="Arial" w:hAnsi="Arial" w:cs="Arial"/>
          <w:sz w:val="24"/>
          <w:szCs w:val="24"/>
        </w:rPr>
      </w:pPr>
      <w:r>
        <w:rPr>
          <w:rFonts w:ascii="Arial" w:hAnsi="Arial" w:eastAsia="Arial" w:cs="Arial"/>
          <w:sz w:val="24"/>
          <w:szCs w:val="24"/>
        </w:rPr>
        <w:t>Título: CONJUNTO DE ACTIVIDADES PARA EL DESARROLLO DE LA MOTIVACIÓN MEDIANTE LA TRANSFORMACIÓN DIGITAL EN LA ASIGNATURA DE INGLÉS EN ALUMNOS DE 9º GRADO DEL INSTITUTO DE SECUNDARIA JOSÉ MANUEL SEGUI JIMENEZ DEL MUNICIPIO DE GÜIRA DE MELENA.</w:t>
      </w:r>
    </w:p>
    <w:p w14:paraId="29B5F495">
      <w:pPr>
        <w:spacing w:line="360" w:lineRule="auto"/>
        <w:jc w:val="both"/>
        <w:rPr>
          <w:rFonts w:ascii="Arial" w:hAnsi="Arial" w:cs="Arial"/>
          <w:sz w:val="24"/>
          <w:szCs w:val="24"/>
        </w:rPr>
      </w:pPr>
    </w:p>
    <w:p w14:paraId="4DF607CE">
      <w:pPr>
        <w:spacing w:line="360" w:lineRule="auto"/>
        <w:ind w:left="1640"/>
        <w:jc w:val="both"/>
        <w:rPr>
          <w:rFonts w:hint="default" w:ascii="Arial" w:hAnsi="Arial" w:cs="Arial"/>
          <w:sz w:val="24"/>
          <w:szCs w:val="24"/>
          <w:lang w:val="es-ES"/>
        </w:rPr>
        <w:sectPr>
          <w:pgSz w:w="11900" w:h="16840"/>
          <w:pgMar w:top="1417" w:right="1417" w:bottom="1417" w:left="1417" w:header="0" w:footer="0" w:gutter="0"/>
          <w:cols w:equalWidth="0" w:num="1">
            <w:col w:w="10405"/>
          </w:cols>
        </w:sectPr>
      </w:pPr>
      <w:r>
        <w:rPr>
          <w:rFonts w:ascii="Arial" w:hAnsi="Arial" w:eastAsia="Arial" w:cs="Arial"/>
          <w:sz w:val="24"/>
          <w:szCs w:val="24"/>
        </w:rPr>
        <w:t>AUTOR: MARLON NELSON SILVA CÓRDOV</w:t>
      </w:r>
      <w:r>
        <w:rPr>
          <w:rFonts w:hint="default" w:ascii="Arial" w:hAnsi="Arial" w:eastAsia="Arial" w:cs="Arial"/>
          <w:sz w:val="24"/>
          <w:szCs w:val="24"/>
          <w:lang w:val="es-ES"/>
        </w:rPr>
        <w:t>A</w:t>
      </w:r>
    </w:p>
    <w:p w14:paraId="2C4A654F">
      <w:pPr>
        <w:spacing w:line="360" w:lineRule="auto"/>
        <w:ind w:left="4320" w:leftChars="0" w:firstLine="720" w:firstLineChars="0"/>
        <w:jc w:val="both"/>
        <w:rPr>
          <w:rFonts w:hint="default" w:ascii="Arial" w:hAnsi="Arial" w:eastAsia="Arial" w:cs="Arial"/>
          <w:sz w:val="24"/>
          <w:szCs w:val="24"/>
          <w:lang w:val="es-ES"/>
        </w:rPr>
      </w:pPr>
    </w:p>
    <w:p w14:paraId="1838E466">
      <w:pPr>
        <w:spacing w:line="360" w:lineRule="auto"/>
        <w:ind w:left="4320" w:leftChars="0" w:firstLine="720" w:firstLineChars="0"/>
        <w:jc w:val="both"/>
        <w:rPr>
          <w:rFonts w:ascii="Arial" w:hAnsi="Arial" w:eastAsia="Arial" w:cs="Arial"/>
          <w:sz w:val="24"/>
          <w:szCs w:val="24"/>
        </w:rPr>
      </w:pPr>
      <w:r>
        <w:rPr>
          <w:rFonts w:hint="default" w:ascii="Arial" w:hAnsi="Arial" w:eastAsia="Arial" w:cs="Arial"/>
          <w:sz w:val="24"/>
          <w:szCs w:val="24"/>
          <w:lang w:val="es-ES"/>
        </w:rPr>
        <w:t>TUTORA</w:t>
      </w:r>
      <w:r>
        <w:rPr>
          <w:rFonts w:ascii="Arial" w:hAnsi="Arial" w:eastAsia="Arial" w:cs="Arial"/>
          <w:sz w:val="24"/>
          <w:szCs w:val="24"/>
        </w:rPr>
        <w:t>: Msc. PATRICIA FUNDORA RAMÍREZ</w:t>
      </w:r>
    </w:p>
    <w:p w14:paraId="07D1FF05">
      <w:pPr>
        <w:spacing w:line="360" w:lineRule="auto"/>
        <w:ind w:left="4320" w:leftChars="0" w:firstLine="720" w:firstLineChars="0"/>
        <w:jc w:val="both"/>
        <w:rPr>
          <w:rFonts w:ascii="Arial" w:hAnsi="Arial" w:eastAsia="Arial" w:cs="Arial"/>
          <w:sz w:val="24"/>
          <w:szCs w:val="24"/>
        </w:rPr>
      </w:pPr>
    </w:p>
    <w:p w14:paraId="677FDB20">
      <w:pPr>
        <w:spacing w:line="360" w:lineRule="auto"/>
        <w:ind w:left="4320" w:leftChars="0" w:firstLine="720" w:firstLineChars="0"/>
        <w:jc w:val="both"/>
        <w:rPr>
          <w:rFonts w:ascii="Arial" w:hAnsi="Arial" w:eastAsia="Arial" w:cs="Arial"/>
          <w:sz w:val="24"/>
          <w:szCs w:val="24"/>
        </w:rPr>
      </w:pPr>
    </w:p>
    <w:p w14:paraId="425F953B">
      <w:pPr>
        <w:spacing w:line="360" w:lineRule="auto"/>
        <w:ind w:left="4320" w:leftChars="0" w:firstLine="720" w:firstLineChars="0"/>
        <w:jc w:val="both"/>
        <w:rPr>
          <w:rFonts w:ascii="Arial" w:hAnsi="Arial" w:eastAsia="Arial" w:cs="Arial"/>
          <w:sz w:val="24"/>
          <w:szCs w:val="24"/>
        </w:rPr>
      </w:pPr>
    </w:p>
    <w:p w14:paraId="15801D41">
      <w:pPr>
        <w:spacing w:line="360" w:lineRule="auto"/>
        <w:ind w:left="4320" w:leftChars="0" w:firstLine="720" w:firstLineChars="0"/>
        <w:jc w:val="both"/>
        <w:rPr>
          <w:rFonts w:ascii="Arial" w:hAnsi="Arial" w:eastAsia="Arial" w:cs="Arial"/>
          <w:sz w:val="24"/>
          <w:szCs w:val="24"/>
        </w:rPr>
      </w:pPr>
    </w:p>
    <w:p w14:paraId="31B9C89F">
      <w:pPr>
        <w:spacing w:line="360" w:lineRule="auto"/>
        <w:ind w:left="4320" w:leftChars="0" w:firstLine="720" w:firstLineChars="0"/>
        <w:jc w:val="both"/>
        <w:rPr>
          <w:rFonts w:ascii="Arial" w:hAnsi="Arial" w:eastAsia="Arial" w:cs="Arial"/>
          <w:sz w:val="24"/>
          <w:szCs w:val="24"/>
        </w:rPr>
      </w:pPr>
    </w:p>
    <w:p w14:paraId="7FAD13E0">
      <w:pPr>
        <w:spacing w:line="360" w:lineRule="auto"/>
        <w:ind w:left="4320" w:leftChars="0" w:firstLine="720" w:firstLineChars="0"/>
        <w:jc w:val="both"/>
        <w:rPr>
          <w:rFonts w:ascii="Arial" w:hAnsi="Arial" w:eastAsia="Arial" w:cs="Arial"/>
          <w:sz w:val="24"/>
          <w:szCs w:val="24"/>
        </w:rPr>
      </w:pPr>
    </w:p>
    <w:p w14:paraId="3FD9BD6F">
      <w:pPr>
        <w:spacing w:line="360" w:lineRule="auto"/>
        <w:ind w:left="4320" w:leftChars="0" w:firstLine="720" w:firstLineChars="0"/>
        <w:jc w:val="both"/>
        <w:rPr>
          <w:rFonts w:ascii="Arial" w:hAnsi="Arial" w:eastAsia="Arial" w:cs="Arial"/>
          <w:sz w:val="24"/>
          <w:szCs w:val="24"/>
        </w:rPr>
      </w:pPr>
    </w:p>
    <w:p w14:paraId="6ED6CB01">
      <w:pPr>
        <w:spacing w:line="360" w:lineRule="auto"/>
        <w:ind w:left="4320" w:leftChars="0" w:firstLine="720" w:firstLineChars="0"/>
        <w:jc w:val="both"/>
        <w:rPr>
          <w:rFonts w:ascii="Arial" w:hAnsi="Arial" w:eastAsia="Arial" w:cs="Arial"/>
          <w:sz w:val="24"/>
          <w:szCs w:val="24"/>
        </w:rPr>
      </w:pPr>
    </w:p>
    <w:p w14:paraId="2C4B48E2">
      <w:pPr>
        <w:spacing w:line="360" w:lineRule="auto"/>
        <w:ind w:left="4320" w:leftChars="0" w:firstLine="720" w:firstLineChars="0"/>
        <w:jc w:val="both"/>
        <w:rPr>
          <w:rFonts w:ascii="Arial" w:hAnsi="Arial" w:eastAsia="Arial" w:cs="Arial"/>
          <w:sz w:val="24"/>
          <w:szCs w:val="24"/>
        </w:rPr>
      </w:pPr>
    </w:p>
    <w:p w14:paraId="46A57844">
      <w:pPr>
        <w:spacing w:line="360" w:lineRule="auto"/>
        <w:jc w:val="center"/>
        <w:rPr>
          <w:rFonts w:ascii="Arial" w:hAnsi="Arial" w:cs="Arial"/>
          <w:sz w:val="24"/>
          <w:szCs w:val="24"/>
          <w:lang w:val="zh-CN"/>
        </w:rPr>
      </w:pPr>
      <w:r>
        <w:rPr>
          <w:rFonts w:ascii="Arial" w:hAnsi="Arial" w:cs="Arial"/>
          <w:sz w:val="24"/>
          <w:szCs w:val="24"/>
          <w:lang w:val="zh-CN"/>
        </w:rPr>
        <w:t>Artemisa</w:t>
      </w:r>
    </w:p>
    <w:p w14:paraId="5503AF47">
      <w:pPr>
        <w:spacing w:line="360" w:lineRule="auto"/>
        <w:jc w:val="center"/>
        <w:rPr>
          <w:rFonts w:hint="default" w:ascii="Arial" w:hAnsi="Arial" w:cs="Arial"/>
          <w:sz w:val="24"/>
          <w:szCs w:val="24"/>
          <w:lang w:val="es-ES"/>
        </w:rPr>
      </w:pPr>
      <w:r>
        <w:rPr>
          <w:rFonts w:ascii="Arial" w:hAnsi="Arial" w:cs="Arial"/>
          <w:sz w:val="24"/>
          <w:szCs w:val="24"/>
          <w:lang w:val="zh-CN"/>
        </w:rPr>
        <w:t>202</w:t>
      </w:r>
      <w:r>
        <w:rPr>
          <w:rFonts w:hint="default" w:ascii="Arial" w:hAnsi="Arial" w:cs="Arial"/>
          <w:sz w:val="24"/>
          <w:szCs w:val="24"/>
          <w:lang w:val="es-ES"/>
        </w:rPr>
        <w:t>5</w:t>
      </w:r>
      <w:r>
        <w:rPr>
          <w:rFonts w:ascii="Arial" w:hAnsi="Arial" w:cs="Arial"/>
          <w:sz w:val="24"/>
          <w:szCs w:val="24"/>
          <w:lang w:val="zh-CN"/>
        </w:rPr>
        <w:t>-202</w:t>
      </w:r>
      <w:r>
        <w:rPr>
          <w:rFonts w:hint="default" w:ascii="Arial" w:hAnsi="Arial" w:cs="Arial"/>
          <w:sz w:val="24"/>
          <w:szCs w:val="24"/>
          <w:lang w:val="es-ES"/>
        </w:rPr>
        <w:t>6</w:t>
      </w:r>
    </w:p>
    <w:p w14:paraId="09682A30">
      <w:pPr>
        <w:spacing w:line="360" w:lineRule="auto"/>
        <w:jc w:val="center"/>
        <w:rPr>
          <w:rFonts w:ascii="Arial" w:hAnsi="Arial" w:cs="Arial"/>
          <w:sz w:val="24"/>
          <w:szCs w:val="24"/>
          <w:lang w:val="zh-CN"/>
        </w:rPr>
      </w:pPr>
      <w:r>
        <w:rPr>
          <w:rFonts w:ascii="Arial" w:hAnsi="Arial" w:cs="Arial"/>
          <w:sz w:val="24"/>
          <w:szCs w:val="24"/>
          <w:lang w:val="zh-CN"/>
        </w:rPr>
        <w:t xml:space="preserve">"Año </w:t>
      </w:r>
      <w:r>
        <w:rPr>
          <w:rFonts w:hint="default" w:ascii="Arial" w:hAnsi="Arial" w:cs="Arial"/>
          <w:sz w:val="24"/>
          <w:szCs w:val="24"/>
          <w:lang w:val="es-ES"/>
        </w:rPr>
        <w:t>del Centenario del Comandante en Jefe Fidel Castro Ruz</w:t>
      </w:r>
      <w:r>
        <w:rPr>
          <w:rFonts w:ascii="Arial" w:hAnsi="Arial" w:cs="Arial"/>
          <w:sz w:val="24"/>
          <w:szCs w:val="24"/>
          <w:lang w:val="zh-CN"/>
        </w:rPr>
        <w:t>"</w:t>
      </w:r>
    </w:p>
    <w:p w14:paraId="25E2C81A">
      <w:pPr>
        <w:jc w:val="center"/>
        <w:rPr>
          <w:rFonts w:ascii="Arial" w:hAnsi="Arial" w:eastAsia="Arial" w:cs="Arial"/>
          <w:sz w:val="24"/>
          <w:szCs w:val="24"/>
        </w:rPr>
        <w:sectPr>
          <w:type w:val="continuous"/>
          <w:pgSz w:w="11900" w:h="16840"/>
          <w:pgMar w:top="0" w:right="1440" w:bottom="1440" w:left="60" w:header="0" w:footer="0" w:gutter="0"/>
          <w:cols w:equalWidth="0" w:num="1">
            <w:col w:w="10405"/>
          </w:cols>
        </w:sectPr>
      </w:pPr>
    </w:p>
    <w:p w14:paraId="1F228A5A">
      <w:pPr>
        <w:spacing w:line="360" w:lineRule="auto"/>
        <w:jc w:val="both"/>
        <w:rPr>
          <w:rFonts w:ascii="Arial" w:hAnsi="Arial" w:cs="Arial"/>
          <w:sz w:val="24"/>
          <w:szCs w:val="24"/>
        </w:rPr>
      </w:pPr>
      <w:bookmarkStart w:id="0" w:name="page2"/>
      <w:bookmarkEnd w:id="0"/>
      <w:r>
        <w:rPr>
          <w:rFonts w:ascii="Arial" w:hAnsi="Arial" w:eastAsia="Arial" w:cs="Arial"/>
          <w:sz w:val="24"/>
          <w:szCs w:val="24"/>
        </w:rPr>
        <w:t>INTRODUCCIÓN:</w:t>
      </w:r>
    </w:p>
    <w:p w14:paraId="1E13D487">
      <w:pPr>
        <w:spacing w:line="360" w:lineRule="auto"/>
        <w:ind w:right="0" w:rightChars="0"/>
        <w:jc w:val="both"/>
        <w:rPr>
          <w:rFonts w:ascii="Arial" w:hAnsi="Arial" w:cs="Arial"/>
          <w:sz w:val="24"/>
          <w:szCs w:val="24"/>
        </w:rPr>
      </w:pPr>
      <w:r>
        <w:rPr>
          <w:rFonts w:ascii="Arial" w:hAnsi="Arial" w:eastAsia="Arial" w:cs="Arial"/>
          <w:sz w:val="24"/>
          <w:szCs w:val="24"/>
        </w:rPr>
        <w:t>El desarrollo efectivo de la motivación en la asignatura de inglés requiere estrategias pedagógicas innovadoras que combinen principios psicológicos, metodologías didácticas y recursos tecnológicos. En el contexto educativo cubano, donde el inglés es tanto un requisito académico como un puente hacia la comunicación global, fomentar la participación estudiantil sigue siendo un reto crucial para los educadores.</w:t>
      </w:r>
    </w:p>
    <w:p w14:paraId="482FD697">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Los enfoques pedagógicos recientes destacan la importancia de la transformación digital como catalizador de la motivación en la enseñanza de idiomas. Esta transformación va más allá del simple uso de herramientas digitales, representando un cambio profundo en la dinámica pedagógica, donde las plataformas digitales, las aplicaciones interactivas y los recursos multimedia redefinen la experiencia de aprendizaje. La transformación digital ha demostrado un gran potencial para mejorar la participación estudiantil, personalizar las trayectorias de aprendizaje y crear entornos lingüísticos inmersivos. La implementación estratégica de esta transformación puede reconfigurar las clases tradicionales de inglés en ecosistemas dinámicos donde los estudiantes desarrollan competencias lingüísticas manteniendo altos niveles de interés y participación.</w:t>
      </w:r>
    </w:p>
    <w:p w14:paraId="7EF7A255">
      <w:pPr>
        <w:tabs>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Esta investigación se centra en los alumnos de noveno grado de la Escuela Primaria José Manuel Seguí Jiménez, en el municipio de Güira de Melena, donde las observaciones han identificado una disparidad entre los niveles de motivación esperados y la realidad actual del aula. Si bien el currículo nacional establece competencias comunicativas claras para esta etapa educativa, persisten limitaciones prácticas, como la escasa integración tecnológica en la práctica docente diaria. Este estudio propone abordar esta brecha mediante un enfoque sistemático que combina la pedagogía motivacional con herramientas digitales apropiadas.</w:t>
      </w:r>
      <w:bookmarkStart w:id="1" w:name="page3"/>
      <w:bookmarkEnd w:id="1"/>
      <w:r>
        <w:rPr>
          <w:rFonts w:ascii="Arial" w:hAnsi="Arial" w:eastAsia="Arial" w:cs="Arial"/>
          <w:sz w:val="24"/>
          <w:szCs w:val="24"/>
        </w:rPr>
        <w:t xml:space="preserve"> </w:t>
      </w:r>
    </w:p>
    <w:p w14:paraId="67D08D5B">
      <w:pPr>
        <w:spacing w:line="360" w:lineRule="auto"/>
        <w:ind w:right="0" w:rightChars="0"/>
        <w:jc w:val="both"/>
        <w:rPr>
          <w:rFonts w:ascii="Arial" w:hAnsi="Arial" w:cs="Arial"/>
          <w:sz w:val="24"/>
          <w:szCs w:val="24"/>
        </w:rPr>
      </w:pPr>
      <w:r>
        <w:rPr>
          <w:rFonts w:ascii="Arial" w:hAnsi="Arial" w:eastAsia="Arial" w:cs="Arial"/>
          <w:sz w:val="24"/>
          <w:szCs w:val="24"/>
        </w:rPr>
        <w:t>Estado ideal: Según el Ministerio de Educación de Cuba (MINED), estos son algunos de los objetivos académicos que los estudiantes de noveno grado deberían cumplir.</w:t>
      </w:r>
    </w:p>
    <w:p w14:paraId="109AE3E5">
      <w:pPr>
        <w:tabs>
          <w:tab w:val="left" w:pos="1150"/>
        </w:tabs>
        <w:spacing w:line="360" w:lineRule="auto"/>
        <w:ind w:right="0" w:rightChars="0"/>
        <w:jc w:val="both"/>
        <w:rPr>
          <w:rFonts w:ascii="Arial" w:hAnsi="Arial" w:eastAsia="Arial" w:cs="Arial"/>
          <w:sz w:val="24"/>
          <w:szCs w:val="24"/>
        </w:rPr>
      </w:pPr>
      <w:r>
        <w:rPr>
          <w:rFonts w:ascii="Arial" w:hAnsi="Arial" w:eastAsia="Arial" w:cs="Arial"/>
          <w:sz w:val="24"/>
          <w:szCs w:val="24"/>
        </w:rPr>
        <w:t>Comprensión auditiva (Escuchar): Comprender diálogos, instrucciones y mensajes orales en inglés sobre temas cotidianos y académicos utilizando diversos recursos de audio y video digitales y plataformas de escucha interactivas.</w:t>
      </w:r>
    </w:p>
    <w:p w14:paraId="3470D307">
      <w:pPr>
        <w:tabs>
          <w:tab w:val="left" w:pos="1134"/>
        </w:tabs>
        <w:spacing w:line="360" w:lineRule="auto"/>
        <w:ind w:right="0" w:rightChars="0"/>
        <w:jc w:val="both"/>
        <w:rPr>
          <w:rFonts w:ascii="Arial" w:hAnsi="Arial" w:eastAsia="Arial" w:cs="Arial"/>
          <w:sz w:val="24"/>
          <w:szCs w:val="24"/>
        </w:rPr>
      </w:pPr>
      <w:r>
        <w:rPr>
          <w:rFonts w:ascii="Arial" w:hAnsi="Arial" w:eastAsia="Arial" w:cs="Arial"/>
          <w:sz w:val="24"/>
          <w:szCs w:val="24"/>
        </w:rPr>
        <w:t>Expresión oral (hablar): Participar en conversaciones sencillas sobre temas familiares (familia, escuela, pasatiempos, viajes) utilizando plataformas digitales para practicar, grabar e interactuar, con el fin de generar confianza y fluidez.</w:t>
      </w:r>
    </w:p>
    <w:p w14:paraId="656F1159">
      <w:pPr>
        <w:tabs>
          <w:tab w:val="left" w:pos="1134"/>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Comprensión lectora (Lectura): Leer y comprender textos cortos de diversas fuentes digitales, identificar ideas principales, detalles específicos y contexto de vocabulario utilizando anotaciones digitales y textos de diccionario.</w:t>
      </w:r>
    </w:p>
    <w:p w14:paraId="1660363E">
      <w:pPr>
        <w:tabs>
          <w:tab w:val="left" w:pos="1120"/>
        </w:tabs>
        <w:spacing w:line="360" w:lineRule="auto"/>
        <w:jc w:val="both"/>
        <w:rPr>
          <w:rFonts w:ascii="Arial" w:hAnsi="Arial" w:eastAsia="Arial" w:cs="Arial"/>
          <w:sz w:val="24"/>
          <w:szCs w:val="24"/>
        </w:rPr>
      </w:pPr>
      <w:r>
        <w:rPr>
          <w:rFonts w:ascii="Arial" w:hAnsi="Arial" w:eastAsia="Arial" w:cs="Arial"/>
          <w:sz w:val="24"/>
          <w:szCs w:val="24"/>
        </w:rPr>
        <w:t>Escritura (Escribir): Redactar textos cortos sobre diferentes temas, utilizando un procesador de textos digital y plataformas colaborativas para la composición, edición, revisión por pares y compartición para mejorar el proceso y el propósito de la escritura.</w:t>
      </w:r>
    </w:p>
    <w:p w14:paraId="05AEF058">
      <w:pPr>
        <w:spacing w:line="360" w:lineRule="auto"/>
        <w:ind w:right="0" w:rightChars="0"/>
        <w:jc w:val="both"/>
        <w:rPr>
          <w:rFonts w:ascii="Arial" w:hAnsi="Arial" w:cs="Arial"/>
          <w:sz w:val="24"/>
          <w:szCs w:val="24"/>
        </w:rPr>
      </w:pPr>
      <w:r>
        <w:rPr>
          <w:rFonts w:hint="default" w:ascii="Arial" w:hAnsi="Arial" w:eastAsia="Arial" w:cs="Arial"/>
          <w:sz w:val="24"/>
          <w:szCs w:val="24"/>
          <w:lang w:val="es-ES"/>
        </w:rPr>
        <w:t>Estado Real</w:t>
      </w:r>
      <w:r>
        <w:rPr>
          <w:rFonts w:ascii="Arial" w:hAnsi="Arial" w:eastAsia="Arial" w:cs="Arial"/>
          <w:sz w:val="24"/>
          <w:szCs w:val="24"/>
        </w:rPr>
        <w:t>: Sin embargo, las observaciones diagnósticas y las encuestas revelan que los estudiantes presentan limitaciones significativas, intrínsecamente ligadas al uso insuficiente e ineficaz de las tecnologías en sus clases de inglés:</w:t>
      </w:r>
    </w:p>
    <w:p w14:paraId="7B9BED3C">
      <w:pPr>
        <w:tabs>
          <w:tab w:val="left" w:pos="1134"/>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Baja motivación para aprender el contenido, demostrada por su incapacidad para completar las tareas y su desinterés general, exacerbada por la falta de materiales interactivos y estimulantes digitalmente.</w:t>
      </w:r>
    </w:p>
    <w:p w14:paraId="326F4068">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Dificultades para dominar estructuras gramaticales como el pretérito simple y el futuro, sin el apoyo de software de práctica adaptativa o materiales interactivos y estimulantes digitalmente.</w:t>
      </w:r>
    </w:p>
    <w:p w14:paraId="25A979AC">
      <w:pPr>
        <w:tabs>
          <w:tab w:val="left" w:pos="1126"/>
        </w:tabs>
        <w:spacing w:line="360" w:lineRule="auto"/>
        <w:ind w:right="0" w:rightChars="0"/>
        <w:jc w:val="both"/>
        <w:rPr>
          <w:rFonts w:ascii="Arial" w:hAnsi="Arial" w:eastAsia="Arial" w:cs="Arial"/>
          <w:sz w:val="24"/>
          <w:szCs w:val="24"/>
        </w:rPr>
      </w:pPr>
      <w:r>
        <w:rPr>
          <w:rFonts w:ascii="Arial" w:hAnsi="Arial" w:eastAsia="Arial" w:cs="Arial"/>
          <w:sz w:val="24"/>
          <w:szCs w:val="24"/>
        </w:rPr>
        <w:t>Dificultades persistentes con la pronunciación y la fluidez oral, en ausencia de herramientas para la grabación de voz, la comparación con modelos nativos y la retroalimentación fonética inmediata.</w:t>
      </w:r>
    </w:p>
    <w:p w14:paraId="28F63D78">
      <w:pPr>
        <w:tabs>
          <w:tab w:val="left" w:pos="1120"/>
        </w:tabs>
        <w:spacing w:line="360" w:lineRule="auto"/>
        <w:jc w:val="both"/>
        <w:rPr>
          <w:rFonts w:ascii="Arial" w:hAnsi="Arial" w:eastAsia="Arial" w:cs="Arial"/>
          <w:sz w:val="24"/>
          <w:szCs w:val="24"/>
        </w:rPr>
      </w:pPr>
      <w:r>
        <w:rPr>
          <w:rFonts w:ascii="Arial" w:hAnsi="Arial" w:eastAsia="Arial" w:cs="Arial"/>
          <w:sz w:val="24"/>
          <w:szCs w:val="24"/>
        </w:rPr>
        <w:t>La mayoría de los estudiantes tienen miedo o vergüenza de hablar en clase.</w:t>
      </w:r>
    </w:p>
    <w:p w14:paraId="7B3A7473">
      <w:pPr>
        <w:tabs>
          <w:tab w:val="left" w:pos="1140"/>
        </w:tabs>
        <w:spacing w:line="360" w:lineRule="auto"/>
        <w:jc w:val="both"/>
        <w:rPr>
          <w:rFonts w:ascii="Arial" w:hAnsi="Arial" w:eastAsia="Arial" w:cs="Arial"/>
          <w:sz w:val="24"/>
          <w:szCs w:val="24"/>
        </w:rPr>
      </w:pPr>
      <w:r>
        <w:rPr>
          <w:rFonts w:ascii="Arial" w:hAnsi="Arial" w:eastAsia="Arial" w:cs="Arial"/>
          <w:sz w:val="24"/>
          <w:szCs w:val="24"/>
        </w:rPr>
        <w:t>Los estudiantes no utilizan las nuevas tecnologías para su mejora.</w:t>
      </w:r>
    </w:p>
    <w:p w14:paraId="419A1B8C">
      <w:pPr>
        <w:spacing w:line="360" w:lineRule="auto"/>
        <w:ind w:right="265"/>
        <w:jc w:val="both"/>
        <w:rPr>
          <w:rFonts w:ascii="Arial" w:hAnsi="Arial" w:cs="Arial"/>
          <w:sz w:val="24"/>
          <w:szCs w:val="24"/>
        </w:rPr>
      </w:pPr>
      <w:r>
        <w:rPr>
          <w:rFonts w:ascii="Arial" w:hAnsi="Arial" w:eastAsia="Arial" w:cs="Arial"/>
          <w:sz w:val="24"/>
          <w:szCs w:val="24"/>
        </w:rPr>
        <w:t xml:space="preserve">Por lo tanto, existe una contradicción fundamental entre el estado ideal propuesto por el MINED, que prevé que los estudiantes alcancen la competencia comunicativa en inglés mediante el apoyo y la motivación que brinda la transformación digital, y el estado real observado. Este último se caracteriza por un entorno pedagógico con bajos niveles de transformación digital, lo que resulta en desmotivación estudiantil, habilidades lingüísticas subdesarrolladas e incapacidad para aprovechar la tecnología en el aprendizaje. Esta brecha </w:t>
      </w:r>
      <w:bookmarkStart w:id="2" w:name="page4"/>
      <w:bookmarkEnd w:id="2"/>
      <w:r>
        <w:rPr>
          <w:rFonts w:ascii="Arial" w:hAnsi="Arial" w:eastAsia="Arial" w:cs="Arial"/>
          <w:sz w:val="24"/>
          <w:szCs w:val="24"/>
        </w:rPr>
        <w:t>Esto impide que los estudiantes alcancen el estado ideal previsto, en el que puedan utilizar el inglés de forma eficaz y con confianza como herramienta de comunicación y desarrollo personal en un mundo mediado digitalmente.</w:t>
      </w:r>
    </w:p>
    <w:p w14:paraId="201D8259">
      <w:pPr>
        <w:spacing w:line="360" w:lineRule="auto"/>
        <w:ind w:right="0" w:rightChars="0"/>
        <w:jc w:val="both"/>
        <w:rPr>
          <w:rFonts w:ascii="Arial" w:hAnsi="Arial" w:cs="Arial"/>
          <w:sz w:val="24"/>
          <w:szCs w:val="24"/>
        </w:rPr>
      </w:pPr>
      <w:r>
        <w:rPr>
          <w:rFonts w:ascii="Arial" w:hAnsi="Arial" w:eastAsia="Arial" w:cs="Arial"/>
          <w:sz w:val="24"/>
          <w:szCs w:val="24"/>
        </w:rPr>
        <w:t>Problema científico: Cómo desarrollar la motivación en la asignatura de inglés en 9º grado el Estudiantes de grado usando la transformación digital en la escuela secundaria José Manuel Seguí Jiménez del municipio de Güira de Melena</w:t>
      </w:r>
    </w:p>
    <w:p w14:paraId="53777BB1">
      <w:pPr>
        <w:spacing w:line="360" w:lineRule="auto"/>
        <w:ind w:right="0" w:rightChars="0"/>
        <w:jc w:val="both"/>
        <w:rPr>
          <w:rFonts w:ascii="Arial" w:hAnsi="Arial" w:cs="Arial"/>
          <w:sz w:val="24"/>
          <w:szCs w:val="24"/>
        </w:rPr>
      </w:pPr>
      <w:r>
        <w:rPr>
          <w:rFonts w:ascii="Arial" w:hAnsi="Arial" w:eastAsia="Arial" w:cs="Arial"/>
          <w:sz w:val="24"/>
          <w:szCs w:val="24"/>
        </w:rPr>
        <w:t>Objeto del estudio: El proceso de enseñanza-aprendizaje en las clases de inglés para estudiantes de noveno grado utilizando la transformación digital.</w:t>
      </w:r>
    </w:p>
    <w:p w14:paraId="5604D551">
      <w:pPr>
        <w:spacing w:line="360" w:lineRule="auto"/>
        <w:ind w:right="2165"/>
        <w:jc w:val="both"/>
        <w:rPr>
          <w:rFonts w:ascii="Arial" w:hAnsi="Arial" w:cs="Arial"/>
          <w:sz w:val="24"/>
          <w:szCs w:val="24"/>
        </w:rPr>
      </w:pPr>
      <w:r>
        <w:rPr>
          <w:rFonts w:ascii="Arial" w:hAnsi="Arial" w:eastAsia="Arial" w:cs="Arial"/>
          <w:sz w:val="24"/>
          <w:szCs w:val="24"/>
        </w:rPr>
        <w:t>Esfera de acción: El desarrollo de la motivación mediante la transformación digital.</w:t>
      </w:r>
    </w:p>
    <w:p w14:paraId="2EDC2757">
      <w:pPr>
        <w:spacing w:line="360" w:lineRule="auto"/>
        <w:ind w:right="0" w:rightChars="0"/>
        <w:jc w:val="both"/>
        <w:rPr>
          <w:rFonts w:ascii="Arial" w:hAnsi="Arial" w:cs="Arial"/>
          <w:sz w:val="24"/>
          <w:szCs w:val="24"/>
        </w:rPr>
      </w:pPr>
      <w:r>
        <w:rPr>
          <w:rFonts w:ascii="Arial" w:hAnsi="Arial" w:eastAsia="Arial" w:cs="Arial"/>
          <w:sz w:val="24"/>
          <w:szCs w:val="24"/>
        </w:rPr>
        <w:t>Objetivo: Proponer un conjunto de actividades para el desarrollo de la motivación para la asignatura de inglés en estudiantes de 9º grado utilizando la transformación digital en la Escuela Primaria José Manuel Seguí Jiménez en el municipio de Güira de Melena.</w:t>
      </w:r>
    </w:p>
    <w:p w14:paraId="389AB48D">
      <w:pPr>
        <w:spacing w:line="360" w:lineRule="auto"/>
        <w:jc w:val="both"/>
        <w:rPr>
          <w:rFonts w:ascii="Arial" w:hAnsi="Arial" w:cs="Arial"/>
          <w:sz w:val="24"/>
          <w:szCs w:val="24"/>
        </w:rPr>
      </w:pPr>
      <w:r>
        <w:rPr>
          <w:rFonts w:ascii="Arial" w:hAnsi="Arial" w:eastAsia="Arial" w:cs="Arial"/>
          <w:sz w:val="24"/>
          <w:szCs w:val="24"/>
        </w:rPr>
        <w:t>Preguntas científicas:</w:t>
      </w:r>
    </w:p>
    <w:p w14:paraId="220D5B2B">
      <w:pPr>
        <w:tabs>
          <w:tab w:val="left" w:pos="1134"/>
        </w:tabs>
        <w:spacing w:line="360" w:lineRule="auto"/>
        <w:ind w:right="0" w:rightChars="0"/>
        <w:jc w:val="both"/>
        <w:rPr>
          <w:rFonts w:ascii="Arial" w:hAnsi="Arial" w:eastAsia="Arial" w:cs="Arial"/>
          <w:sz w:val="24"/>
          <w:szCs w:val="24"/>
        </w:rPr>
      </w:pPr>
      <w:r>
        <w:rPr>
          <w:rFonts w:ascii="Arial" w:hAnsi="Arial" w:eastAsia="Arial" w:cs="Arial"/>
          <w:sz w:val="24"/>
          <w:szCs w:val="24"/>
        </w:rPr>
        <w:t>¿Cuáles son las referencias teórico-metodológicas que sustentan el proceso de enseñanza-aprendizaje del inglés relacionado con el desarrollo de la motivación mediante la transformación digital?</w:t>
      </w:r>
    </w:p>
    <w:p w14:paraId="61644C71">
      <w:pPr>
        <w:tabs>
          <w:tab w:val="left" w:pos="1134"/>
        </w:tabs>
        <w:spacing w:line="360" w:lineRule="auto"/>
        <w:ind w:right="0" w:rightChars="0"/>
        <w:jc w:val="both"/>
        <w:rPr>
          <w:rFonts w:ascii="Arial" w:hAnsi="Arial" w:eastAsia="Arial" w:cs="Arial"/>
          <w:sz w:val="24"/>
          <w:szCs w:val="24"/>
        </w:rPr>
      </w:pPr>
      <w:r>
        <w:rPr>
          <w:rFonts w:ascii="Arial" w:hAnsi="Arial" w:eastAsia="Arial" w:cs="Arial"/>
          <w:sz w:val="24"/>
          <w:szCs w:val="24"/>
        </w:rPr>
        <w:t>¿Cuál es la caracterización de la etapa inicial relacionada con el desarrollo de la motivación mediante la transformación digital de la asignatura de inglés en los alumnos de 9º grado de la escuela secundaria José Manuel Seguí Jiménez en el municipio de Güira de Melena?</w:t>
      </w:r>
    </w:p>
    <w:p w14:paraId="1BED8993">
      <w:pPr>
        <w:tabs>
          <w:tab w:val="left" w:pos="1134"/>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¿Qué conjunto de actividades es apropiado para el desarrollo de la motivación</w:t>
      </w:r>
      <w:r>
        <w:rPr>
          <w:rFonts w:hint="default" w:ascii="Arial" w:hAnsi="Arial" w:eastAsia="Arial" w:cs="Arial"/>
          <w:sz w:val="24"/>
          <w:szCs w:val="24"/>
          <w:lang w:val="es-ES"/>
        </w:rPr>
        <w:t xml:space="preserve"> </w:t>
      </w:r>
      <w:r>
        <w:rPr>
          <w:rFonts w:ascii="Arial" w:hAnsi="Arial" w:eastAsia="Arial" w:cs="Arial"/>
          <w:sz w:val="24"/>
          <w:szCs w:val="24"/>
        </w:rPr>
        <w:t>mediante la transformación digital para la asignatura de inglés en los alumnos de 9º grado de la escuela secundaria José Manuel Seguí Jiménez en el municipio de Güira de Melena?</w:t>
      </w:r>
    </w:p>
    <w:p w14:paraId="24D0A117">
      <w:pPr>
        <w:tabs>
          <w:tab w:val="left" w:pos="1126"/>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¿Cuáles son los resultados de la aplicación del conjunto de actividades para el desarrollo de la motivación mediante la transformación digital para la asignatura de inglés en alumnos de 9º grado de la escuela José Manuel Seguí Jiménez en el municipio de Güira de Melena?</w:t>
      </w:r>
    </w:p>
    <w:p w14:paraId="63368DEC">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Tareas científicas:</w:t>
      </w:r>
    </w:p>
    <w:p w14:paraId="65EECAFD">
      <w:pPr>
        <w:tabs>
          <w:tab w:val="left" w:pos="1158"/>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Determinación de lo teórico-metodológico del desarrollo de la motivación mediante la transformación digital en lengua inglesa en alumnos de 9º grado</w:t>
      </w:r>
    </w:p>
    <w:p w14:paraId="333BE609">
      <w:pPr>
        <w:tabs>
          <w:tab w:val="left" w:pos="9020"/>
        </w:tabs>
        <w:spacing w:line="360" w:lineRule="auto"/>
        <w:ind w:right="0" w:rightChars="0"/>
        <w:jc w:val="both"/>
        <w:rPr>
          <w:rFonts w:ascii="Arial" w:hAnsi="Arial" w:cs="Arial"/>
          <w:sz w:val="24"/>
          <w:szCs w:val="24"/>
        </w:rPr>
      </w:pPr>
      <w:bookmarkStart w:id="3" w:name="page5"/>
      <w:bookmarkEnd w:id="3"/>
      <w:r>
        <w:rPr>
          <w:rFonts w:ascii="Arial" w:hAnsi="Arial" w:eastAsia="Arial" w:cs="Arial"/>
          <w:sz w:val="24"/>
          <w:szCs w:val="24"/>
        </w:rPr>
        <w:t>Caracterización del estado relacionado con el desarrollo de la motivación mediante la transformación digital en la asignatura de inglés en alumnos de 9º grado del colegio de secundaria José Manuel Seguí Jiménez en el municipio de Güira de Melena.</w:t>
      </w:r>
    </w:p>
    <w:p w14:paraId="142608F0">
      <w:pPr>
        <w:tabs>
          <w:tab w:val="left" w:pos="1126"/>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Elaboración de un conjunto de actividades para el desarrollo de la motivación mediante la transformación digital en la asignatura de inglés en un alumno de 9º grado del colegio de secundaria José Manuel Seguí Jiménez en el municipio de Güira de Melena.</w:t>
      </w:r>
    </w:p>
    <w:p w14:paraId="147DC24B">
      <w:pPr>
        <w:tabs>
          <w:tab w:val="left" w:pos="1126"/>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Validación de un conjunto de actividades para el desarrollo de la motivación mediante la transformación digital en la asignatura de inglés en alumnos de 9º grado del colegio de secundaria José Manuel Seguí Jiménez en el municipio de Güira de Melena.</w:t>
      </w:r>
    </w:p>
    <w:p w14:paraId="5C0BF419">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Métodos:</w:t>
      </w:r>
    </w:p>
    <w:p w14:paraId="0C2591B6">
      <w:pPr>
        <w:tabs>
          <w:tab w:val="left" w:pos="1580"/>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Inductivo – Deductivo</w:t>
      </w:r>
    </w:p>
    <w:p w14:paraId="5BC64B6A">
      <w:pPr>
        <w:tabs>
          <w:tab w:val="left" w:pos="1600"/>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Analítico – Sintético</w:t>
      </w:r>
    </w:p>
    <w:p w14:paraId="25CF4579">
      <w:pPr>
        <w:tabs>
          <w:tab w:val="left" w:pos="1600"/>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Enfoque sistemático</w:t>
      </w:r>
    </w:p>
    <w:p w14:paraId="3E79AA00">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Métodos empíricos:</w:t>
      </w:r>
    </w:p>
    <w:p w14:paraId="0A111B92">
      <w:pPr>
        <w:tabs>
          <w:tab w:val="left" w:pos="1940"/>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Observación: Instrumento (Guía de observación)</w:t>
      </w:r>
    </w:p>
    <w:p w14:paraId="455BF841">
      <w:pPr>
        <w:tabs>
          <w:tab w:val="left" w:pos="1920"/>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Encuesta: Instrumento (Cuestionario o guía de encuesta)</w:t>
      </w:r>
    </w:p>
    <w:p w14:paraId="31EAD137">
      <w:pPr>
        <w:tabs>
          <w:tab w:val="left" w:pos="1920"/>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Entrevista: Instrumento (Cuestionario de guía de entrevista)</w:t>
      </w:r>
    </w:p>
    <w:p w14:paraId="10357A9A">
      <w:pPr>
        <w:tabs>
          <w:tab w:val="left" w:pos="1940"/>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Métodos estadísticos.</w:t>
      </w:r>
    </w:p>
    <w:p w14:paraId="02D488FA">
      <w:pPr>
        <w:tabs>
          <w:tab w:val="left" w:pos="1920"/>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Análisis porcentual: Análisis descriptivo (procedimientos de medias aritméticas)</w:t>
      </w:r>
    </w:p>
    <w:p w14:paraId="09442EBC">
      <w:pPr>
        <w:tabs>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Instrumentos: tablas y gráficos.</w:t>
      </w:r>
    </w:p>
    <w:p w14:paraId="7B8A27DA">
      <w:pPr>
        <w:tabs>
          <w:tab w:val="left" w:pos="9020"/>
        </w:tabs>
        <w:spacing w:line="360" w:lineRule="auto"/>
        <w:ind w:right="0" w:rightChars="0"/>
        <w:jc w:val="both"/>
        <w:rPr>
          <w:rFonts w:ascii="Arial" w:hAnsi="Arial" w:cs="Arial"/>
          <w:b/>
          <w:bCs/>
          <w:sz w:val="24"/>
          <w:szCs w:val="24"/>
        </w:rPr>
      </w:pPr>
      <w:r>
        <w:rPr>
          <w:rFonts w:ascii="Arial" w:hAnsi="Arial" w:eastAsia="Arial" w:cs="Arial"/>
          <w:b/>
          <w:bCs/>
          <w:sz w:val="24"/>
          <w:szCs w:val="24"/>
        </w:rPr>
        <w:t>Población y muestra:</w:t>
      </w:r>
    </w:p>
    <w:p w14:paraId="5A390EB6">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 xml:space="preserve">Población: 57 estudiantes de 9 años </w:t>
      </w:r>
    </w:p>
    <w:p w14:paraId="5A0FD52B">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Muestra: 25 estudiantes de 9 años</w:t>
      </w:r>
    </w:p>
    <w:p w14:paraId="5FFFBA7E">
      <w:pPr>
        <w:tabs>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 xml:space="preserve">Esta muestra es intencional y se caracteriza por el grupo que muestra mayores dificultades, menor motivación e interés por la asignatura, y una integración particularmente baja de las Tecnologías de la Información y la Comunicación (TIC) en su proceso de aprendizaje del inglés. </w:t>
      </w:r>
      <w:bookmarkStart w:id="4" w:name="page6"/>
      <w:bookmarkEnd w:id="4"/>
    </w:p>
    <w:p w14:paraId="299FF0D6">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Contribución práctica:</w:t>
      </w:r>
    </w:p>
    <w:p w14:paraId="78257448">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Esta investigación busca recopilar información suficiente para diseñar un conjunto completo de actividades centradas en impulsar la motivación y el interés de los estudiantes a través de la transformación digital, mejorando así su rendimiento y participación en el aprendizaje del inglés.</w:t>
      </w:r>
    </w:p>
    <w:p w14:paraId="03E51513">
      <w:pPr>
        <w:tabs>
          <w:tab w:val="left" w:pos="9020"/>
        </w:tabs>
        <w:spacing w:line="360" w:lineRule="auto"/>
        <w:ind w:right="0" w:rightChars="0"/>
        <w:jc w:val="both"/>
        <w:rPr>
          <w:rFonts w:hint="default" w:ascii="Arial" w:hAnsi="Arial" w:eastAsia="Arial" w:cs="Arial"/>
          <w:b/>
          <w:bCs/>
          <w:sz w:val="24"/>
          <w:szCs w:val="24"/>
          <w:lang w:val="es-ES"/>
        </w:rPr>
      </w:pPr>
      <w:r>
        <w:rPr>
          <w:rFonts w:hint="default" w:ascii="Arial" w:hAnsi="Arial" w:eastAsia="Arial" w:cs="Arial"/>
          <w:b/>
          <w:bCs/>
          <w:sz w:val="24"/>
          <w:szCs w:val="24"/>
          <w:lang w:val="es-ES"/>
        </w:rPr>
        <w:t>Desarrollo</w:t>
      </w:r>
    </w:p>
    <w:p w14:paraId="7CD190C0">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Según Dörnyei (2020), la motivación en la adquisición de una segunda lengua (L2) se comprende mejor a través del Sistema del Yo Motivacional en L2, una teoría que reconceptualiza el impulso basándose en teorías psicológicas del yo. Este sistema postula que la motivación se alimenta de tres componentes principales: el Yo Ideal en L2 (la imagen futura vívida y plausible de uno mismo como usuario competente de inglés), el Yo Obligatorio en L2 (motivos impulsados por expectativas externas) y la Experiencia de Aprendizaje de L2 (el impacto inmediato del entorno del aula, el profesor y las actividades). Dörnyei sostiene que desarrollar conscientemente un Yo Ideal en L2 vívido es una poderosa estrategia motivacional. Este marco es excepcionalmente relevante para el problema identificado. La falta de motivación observada puede interpretarse como un Yo Ideal en L2 débil o poco relevante entre los estudiantes, para quienes los beneficios globales del inglés resultan abstractos. Hattie (2023) aporta el principio de “Aprendizaje Visible”, donde la enseñanza eficaz requiere que el aprendizaje sea visible tanto para los profesores como para los alumnos. Esta visibilidad se logra a través de una retroalimentación de alta calidad que responde a las preguntas de los alumnos:</w:t>
      </w:r>
    </w:p>
    <w:p w14:paraId="21310871">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El autor parte del modelo SAMR de Puentedura (2020), que clasifica el uso de la tecnología en cuatro niveles: Sustitución, Aumento, Modificación y Redefinición. Este modelo postula que el aprendizaje profundo y transformador es más probable en los niveles de Modificación y Redefinición. La situación actual en muchas aulas, incluida el objeto de estudio, suele mantenerse en la Sustitución (por ejemplo, leer un PDF en lugar de un libro de texto), lo cual resulta poco motivador. El objetivo de esta investigación, centrada en la transformación digital, exige un cambio pedagógico deliberado hacia la Modificación y la Redefinición. Para la asignatura de inglés, esto implica diseñar actividades donde la tecnología permita una importante reestructuración de las tareas —como que los estudiantes realicen, editen y publiquen entrevistas en vídeo en inglés— o la creación de posibilidades de aprendizaje completamente nuevas, como colaborar en una historia digital con compañeros en el extranjero. Este modelo garantiza que la integración propuesta vaya más allá de la digitalización de métodos antiguos, utilizando la tecnología para transformar fundamentalmente la forma en que los estudiantes practican, producen y experimentan el inglés, convirtiéndose así en una característica esencial de un proceso de enseñanza-aprendizaje modernizado.</w:t>
      </w:r>
    </w:p>
    <w:p w14:paraId="58D9FC10">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Estos ecosistemas tienen como objetivo fomentar una disposición positiva, activa y sostenida hacia el aprendizaje del idioma inglés aprovechando las posibilidades únicas de la transformación digital para satisfacer</w:t>
      </w:r>
      <w:bookmarkStart w:id="5" w:name="page9"/>
      <w:bookmarkEnd w:id="5"/>
      <w:r>
        <w:rPr>
          <w:rFonts w:ascii="Arial" w:hAnsi="Arial" w:eastAsia="Arial" w:cs="Arial"/>
          <w:sz w:val="24"/>
          <w:szCs w:val="24"/>
        </w:rPr>
        <w:t xml:space="preserve"> las necesidades psicológicas, crear un propósito auténtico y estructurar experiencias atractivas.</w:t>
      </w:r>
    </w:p>
    <w:p w14:paraId="057A6298">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La Teoría de la Autodeterminación (TAD) de Ryan y Deci (2020) proporciona el marco psicológico fundamental para este campo. La TAD postula que la motivación intrínseca y la internalización florecen cuando se satisfacen tres necesidades psicológicas básicas: competencia (sentirse eficaz), autonomía (sentirse con voluntad propia) y relación (sentirse conectado). La desmotivación observada en la práctica puede interpretarse como una frustración de estas necesidades. La transformación digital actúa como un potente catalizador para satisfacerlas en el aula de inglés. Las herramientas digitales pueden proporcionar retos adaptativos y retroalimentación inmediata que fomentan la competencia. Ofrecen opciones y rutas de aprendizaje personalizadas, promoviendo la autonomía. Además, las plataformas colaborativas y las comunidades en línea pueden crear conexiones significativas y un sentimiento de pertenencia entre los estudiantes. Por lo tanto, en este campo, la transformación digital se emplea estratégicamente para diseñar un entorno de aprendizaje psicológicamente enriquecedor, desarrollando así directamente los factores internos que impulsan la motivación del alumnado.</w:t>
      </w:r>
    </w:p>
    <w:p w14:paraId="70CE55AE">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Godwin-Jones (2022) amplía esta perspectiva con el concepto de «autenticidad emergente», fundamental para conectar el aprendizaje en el aula con el uso del idioma en el mundo real. Argumenta que las tecnologías digitales permiten una autenticidad dinámica que surge de la participación de los estudiantes en comunidades en línea genuinas y en la creación de contenido digital. Esto lleva el aprendizaje más allá de los límites artificiales del libro de texto. Para el desarrollo de la motivación, este concepto es vital. La transformación digital permite a los estudiantes usar el inglés con fines reales, como crear un videoblog de viajes para una plataforma tipo YouTube, contribuir a una wiki de clase o interactuar con compañeros internacionales en un foro educativo. Esta «autenticidad emergente» proporciona un propósito genuino y poderoso para el uso del idioma, transformando el inglés de una materia académica abstracta en una herramienta relevante para la autoexpresión y la conexión global. Este sentido de propósito es un motor clave para la motivación intrínseca, alineándose perfectamente con el Yo Ideal en L2 de Dörnyei al hacer que la utilidad futura del inglés sea vívida e inmediata.</w:t>
      </w:r>
    </w:p>
    <w:p w14:paraId="4B3BD132">
      <w:pPr>
        <w:tabs>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Kapp (2023) propone una estrategia metodológica para operacionalizar la participación mediante la gamificación, definida como el uso de elementos de juego (por ejemplo, puntos, insignias, desafíos, narrativas) en contextos ajenos a los juegos. La gamificación aprovecha los deseos humanos innatos de dominio, logro y cooperación. En el ámbito del desarrollo de la motivación, la gamificación actúa como un andamiaje estructurado. La transformación digital es lo que hace posible una gamificación sofisticada basada en datos.</w:t>
      </w:r>
      <w:bookmarkStart w:id="6" w:name="page10"/>
      <w:bookmarkEnd w:id="6"/>
    </w:p>
    <w:p w14:paraId="4CBD5CDF">
      <w:pPr>
        <w:tabs>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En este contexto, un conjunto se define como una colección estructurada, coherente y sistemática de intervenciones didácticas interrelacionadas diseñadas para lograr un objetivo general común a través de una secuencia pedagógica lógica (Tourón, 2020). Una actividad, dentro de este conjunto, se entiende como una tarea discreta y con propósito o una secuencia de tareas que involucra a los estudiantes en un proceso de aprendizaje específico, utilizando recursos definidos y herramientas digitales para lograr un subobjetivo particular relacionado con el desarrollo motivacional y lingüístico (Harmer, 2021).</w:t>
      </w:r>
      <w:bookmarkStart w:id="7" w:name="page11"/>
      <w:bookmarkEnd w:id="7"/>
    </w:p>
    <w:p w14:paraId="7175A56D">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La elaboración de este conjunto de actividades se fundamenta conceptual y metodológicamente en los siguientes marcos:</w:t>
      </w:r>
    </w:p>
    <w:p w14:paraId="1A0F1723">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Según Harmer (2021), el diseño estructural de cada actividad debe ajustarse al modelo ESA (Engage, Study, Activate), un marco flexible para la planificación de lecciones que garantiza la motivación. La fase de Engage aprovechará estímulos digitales atractivos (por ejemplo, videos virales cortos, encuestas interactivas) para generar una conexión emocional. La fase de Study utilizará herramientas digitales para la adquisición de gramática y vocabulario de forma personalizada. Fundamentalmente, la fase de Activate será la piedra angular, donde la transformación digital permitirá a los estudiantes usar el idioma de forma creativa en tareas como la producción de podcasts o la colaboración en presentaciones virtuales. Este modelo garantiza la solidez pedagógica y un diseño motivacional intrínseco.</w:t>
      </w:r>
    </w:p>
    <w:p w14:paraId="7C7962A5">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El proceso de desarrollo seguirá una metodología iterativa de Investigación Basada en el Diseño (IBD), tal como la describe Zheng (2024). Este enfoque es fundamental para garantizar la validez y la adecuación contextual de la propuesta. Implica un proceso cíclico de análisis, desarrollo, implementación y refinamiento basado en datos empíricos recopilados en el contexto específico de la escuela. Este riguroso proceso asegura que el resultado final no sea un producto teórico estático, sino una intervención dinámica, validada y sensible al contexto, cuya eficacia ha sido demostrada en el entorno de la escuela José Manuel Seguí Jiménez.</w:t>
      </w:r>
    </w:p>
    <w:p w14:paraId="19897962">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 xml:space="preserve">En síntesis, el conjunto de actividades propuesto constituye el vehículo práctico para lograr la transformación digital en el aula de inglés. Operacionaliza la teoría de Dörnyei mediante el uso de la tecnología para hacer tangible el Yo Ideal en L2. </w:t>
      </w:r>
      <w:bookmarkStart w:id="8" w:name="page12"/>
      <w:bookmarkEnd w:id="8"/>
      <w:r>
        <w:rPr>
          <w:rFonts w:ascii="Arial" w:hAnsi="Arial" w:eastAsia="Arial" w:cs="Arial"/>
          <w:sz w:val="24"/>
          <w:szCs w:val="24"/>
        </w:rPr>
        <w:t>Este enfoque incorpora la autenticidad emergente de Godwin-Jones mediante la creación de tareas con un propósito real. Aprovecha la mecánica motivacional basada en Kapp y está estructurado para proporcionar retroalimentación visible, según Hattie. El conjunto está diseñado para funcionar en los niveles de Modificación y Redefinición del modelo SAMR de Puentedura. Por lo tanto, este objetivo busca brindar una solución concreta, metodológicamente sólida y teóricamente coherente a la contradicción diagnosticada, ofreciendo un plan estratégico para aprovechar la transformación digital y crear un entorno de aprendizaje de inglés atractivo, auténtico y que brinde apoyo psicológico.</w:t>
      </w:r>
    </w:p>
    <w:p w14:paraId="100531D6">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El autor de esta tesis parte de Santrock (2021) como referencia central para comprender el desarrollo adolescente, ya que su marco integral integra las dimensiones cognitivas, sociales y emocionales esenciales para diseñar actividades motivacionales adecuadas a la edad. Se incorporan perspectivas complementarias de Lantolf y Poehner (2020), Wigfield y Eccles (2020), Ryan y Deci (2020) y Steinberg (2023) para proporcionar una base holística a la intervención.</w:t>
      </w:r>
    </w:p>
    <w:p w14:paraId="46E9292B">
      <w:pPr>
        <w:tabs>
          <w:tab w:val="left" w:pos="9020"/>
        </w:tabs>
        <w:spacing w:line="360" w:lineRule="auto"/>
        <w:ind w:right="0" w:rightChars="0"/>
        <w:jc w:val="both"/>
        <w:rPr>
          <w:rFonts w:ascii="Arial" w:hAnsi="Arial" w:cs="Arial"/>
          <w:sz w:val="24"/>
          <w:szCs w:val="24"/>
        </w:rPr>
      </w:pPr>
      <w:r>
        <w:rPr>
          <w:rFonts w:ascii="Arial" w:hAnsi="Arial" w:eastAsia="Arial" w:cs="Arial"/>
          <w:sz w:val="24"/>
          <w:szCs w:val="24"/>
        </w:rPr>
        <w:t>La operacionalización de la variable transformación digital establece cómo se define este concepto dentro del contexto de la investigación y especifica los indicadores que se utilizarán para diagnosticar su estado actual y orientar el diseño del conjunto de actividades.</w:t>
      </w:r>
    </w:p>
    <w:p w14:paraId="56666358">
      <w:pPr>
        <w:tabs>
          <w:tab w:val="left" w:pos="7040"/>
          <w:tab w:val="left" w:pos="9020"/>
        </w:tabs>
        <w:spacing w:line="360" w:lineRule="auto"/>
        <w:ind w:right="0" w:rightChars="0"/>
        <w:jc w:val="both"/>
        <w:rPr>
          <w:rFonts w:ascii="Arial" w:hAnsi="Arial" w:cs="Arial"/>
          <w:sz w:val="24"/>
          <w:szCs w:val="24"/>
        </w:rPr>
      </w:pPr>
      <w:r>
        <w:rPr>
          <w:rFonts w:ascii="Arial" w:hAnsi="Arial" w:eastAsia="Arial" w:cs="Arial"/>
          <w:sz w:val="24"/>
          <w:szCs w:val="24"/>
        </w:rPr>
        <w:t>Para evaluar el estado actual de la transformación digital y estructurar el conjunto de actividades propuesto, se definen tres indicadores:</w:t>
      </w:r>
    </w:p>
    <w:p w14:paraId="6D09DE44">
      <w:pPr>
        <w:pStyle w:val="5"/>
        <w:numPr>
          <w:ilvl w:val="0"/>
          <w:numId w:val="2"/>
        </w:numPr>
        <w:tabs>
          <w:tab w:val="left" w:pos="469"/>
          <w:tab w:val="left" w:pos="9020"/>
        </w:tabs>
        <w:spacing w:line="360" w:lineRule="auto"/>
        <w:ind w:right="0" w:rightChars="0"/>
        <w:jc w:val="both"/>
        <w:rPr>
          <w:rFonts w:ascii="Arial" w:hAnsi="Arial" w:eastAsia="Arial" w:cs="Arial"/>
          <w:sz w:val="24"/>
          <w:szCs w:val="24"/>
        </w:rPr>
      </w:pPr>
      <w:r>
        <w:rPr>
          <w:rFonts w:ascii="Arial" w:hAnsi="Arial" w:eastAsia="Arial" w:cs="Arial"/>
          <w:sz w:val="24"/>
          <w:szCs w:val="24"/>
        </w:rPr>
        <w:t>Uso de tecnologías digitales: La frecuencia y variedad con la que los estudiantes y profesores emplean herramientas digitales (por ejemplo, ordenadores, tabletas, software educativo, recursos en línea) para el aprendizaje del idioma inglés dentro y fuera del aula.</w:t>
      </w:r>
    </w:p>
    <w:p w14:paraId="3C6F8D5C">
      <w:pPr>
        <w:pStyle w:val="5"/>
        <w:numPr>
          <w:ilvl w:val="0"/>
          <w:numId w:val="2"/>
        </w:numPr>
        <w:tabs>
          <w:tab w:val="left" w:pos="458"/>
          <w:tab w:val="left" w:pos="9020"/>
        </w:tabs>
        <w:spacing w:line="360" w:lineRule="auto"/>
        <w:ind w:left="440" w:leftChars="0" w:right="0" w:rightChars="0" w:hanging="440" w:firstLineChars="0"/>
        <w:jc w:val="both"/>
        <w:rPr>
          <w:rFonts w:ascii="Arial" w:hAnsi="Arial" w:eastAsia="Arial" w:cs="Arial"/>
          <w:sz w:val="24"/>
          <w:szCs w:val="24"/>
        </w:rPr>
      </w:pPr>
      <w:r>
        <w:rPr>
          <w:rFonts w:ascii="Arial" w:hAnsi="Arial" w:eastAsia="Arial" w:cs="Arial"/>
          <w:sz w:val="24"/>
          <w:szCs w:val="24"/>
        </w:rPr>
        <w:t>Integración de aplicaciones para el aprendizaje de idiomas: El grado en que los estudiantes utilizan aplicaciones especializadas para el aprendizaje de idiomas (como ELSA Speak para practicar la pronunciación, Duolingo para el vocabulario o plataformas de cuestionarios interactivos) como parte de su estudio regular de inglés.</w:t>
      </w:r>
      <w:bookmarkStart w:id="9" w:name="page14"/>
      <w:bookmarkEnd w:id="9"/>
    </w:p>
    <w:p w14:paraId="667AA006">
      <w:pPr>
        <w:pStyle w:val="5"/>
        <w:numPr>
          <w:ilvl w:val="0"/>
          <w:numId w:val="2"/>
        </w:numPr>
        <w:tabs>
          <w:tab w:val="left" w:pos="458"/>
          <w:tab w:val="left" w:pos="9020"/>
        </w:tabs>
        <w:spacing w:line="360" w:lineRule="auto"/>
        <w:ind w:left="440" w:leftChars="0" w:right="0" w:rightChars="0" w:hanging="440" w:firstLineChars="0"/>
        <w:jc w:val="both"/>
        <w:rPr>
          <w:rFonts w:ascii="Arial" w:hAnsi="Arial" w:eastAsia="Arial" w:cs="Arial"/>
          <w:sz w:val="24"/>
          <w:szCs w:val="24"/>
        </w:rPr>
      </w:pPr>
      <w:r>
        <w:rPr>
          <w:rFonts w:ascii="Arial" w:hAnsi="Arial" w:eastAsia="Arial" w:cs="Arial"/>
          <w:sz w:val="24"/>
          <w:szCs w:val="24"/>
        </w:rPr>
        <w:t>Aplicación de herramientas de inteligencia artificial: El grado en que se incorporan los recursos de inteligencia artificial (por ejemplo, tutores con IA, sistemas de retroalimentación automatizados, IA generativa para la creación de contenido o plataformas de aprendizaje adaptativo) para personalizar el aprendizaje y brindar apoyo inmediato y personalizado.</w:t>
      </w:r>
    </w:p>
    <w:p w14:paraId="59B77D6D">
      <w:pPr>
        <w:spacing w:line="480" w:lineRule="auto"/>
        <w:jc w:val="both"/>
        <w:rPr>
          <w:rFonts w:ascii="Arial" w:hAnsi="Arial"/>
          <w:sz w:val="24"/>
          <w:szCs w:val="24"/>
          <w:lang w:val="es-ES"/>
        </w:rPr>
      </w:pPr>
      <w:r>
        <w:rPr>
          <w:rFonts w:ascii="Arial" w:hAnsi="Arial"/>
          <w:sz w:val="24"/>
          <w:szCs w:val="24"/>
          <w:lang w:val="es-ES"/>
        </w:rPr>
        <w:t xml:space="preserve">Los </w:t>
      </w:r>
      <w:r>
        <w:rPr>
          <w:rFonts w:ascii="Arial" w:hAnsi="Arial"/>
          <w:b w:val="0"/>
          <w:bCs/>
          <w:sz w:val="24"/>
          <w:szCs w:val="24"/>
          <w:lang w:val="es-ES"/>
        </w:rPr>
        <w:t xml:space="preserve"> resultados</w:t>
      </w:r>
      <w:r>
        <w:rPr>
          <w:rFonts w:ascii="Arial" w:hAnsi="Arial"/>
          <w:sz w:val="24"/>
          <w:szCs w:val="24"/>
          <w:lang w:val="es-ES"/>
        </w:rPr>
        <w:t xml:space="preserve"> científicos se concretan en fundamentos </w:t>
      </w:r>
      <w:r>
        <w:rPr>
          <w:rStyle w:val="4"/>
          <w:rFonts w:ascii="Arial" w:hAnsi="Arial"/>
          <w:b w:val="0"/>
          <w:sz w:val="24"/>
          <w:szCs w:val="24"/>
          <w:lang w:val="es-ES"/>
        </w:rPr>
        <w:t>teóricos</w:t>
      </w:r>
      <w:r>
        <w:rPr>
          <w:rFonts w:ascii="Arial" w:hAnsi="Arial"/>
          <w:sz w:val="24"/>
          <w:szCs w:val="24"/>
          <w:lang w:val="es-ES"/>
        </w:rPr>
        <w:t xml:space="preserve"> que se basan en enfoques como el conectivismo, el aprendizaje significativo y la educación inclusiva, promoviendo la integración de tecnologías digitales en la enseñanza de lenguas. Incluye el uso de plataformas digitales, inteligencia artificial, gamificación y recursos interactivos a partir de estrategias metodológicas  para mejorar la adquisición del idioma. También abarca metodologías activas, como el aprendizaje basado en proyectos y el aula invertida. Destaca la necesidad de que los profesores dominen </w:t>
      </w:r>
      <w:r>
        <w:rPr>
          <w:rStyle w:val="4"/>
          <w:rFonts w:ascii="Arial" w:hAnsi="Arial"/>
          <w:b w:val="0"/>
          <w:sz w:val="24"/>
          <w:szCs w:val="24"/>
          <w:lang w:val="es-ES"/>
        </w:rPr>
        <w:t>competencias digitales</w:t>
      </w:r>
      <w:r>
        <w:rPr>
          <w:rFonts w:ascii="Arial" w:hAnsi="Arial"/>
          <w:sz w:val="24"/>
          <w:szCs w:val="24"/>
          <w:lang w:val="es-ES"/>
        </w:rPr>
        <w:t>. Incorpora sistemas de evaluación automatizada, análisis de datos sobre el desempeño del estudiante y estrategias de retroalimentación en tiempo real que optimizan el proceso de aprendizaje, promueve la actualización curricular en universidades incluyendo el aprendizaje bilingüe. En cuanto a lo social diseña entornos de aprendizaje adaptativos que garantizan la inclusión de diversos perfiles lingüísticos y socioculturales. En lo económico reduce el desplazamiento físico gracias a clases híbridas y recursos digitales, y en cuanto a lo medioambiental racionaliza el consumo de papel y residuos y ganan en sostenibilidad y universidades verdes.</w:t>
      </w:r>
    </w:p>
    <w:p w14:paraId="00BB533D">
      <w:pPr>
        <w:spacing w:line="480" w:lineRule="auto"/>
        <w:jc w:val="both"/>
        <w:rPr>
          <w:rFonts w:hint="default" w:ascii="Arial" w:hAnsi="Arial"/>
          <w:sz w:val="24"/>
          <w:szCs w:val="24"/>
          <w:lang w:val="es-ES"/>
        </w:rPr>
      </w:pPr>
      <w:r>
        <w:rPr>
          <w:rFonts w:hint="default" w:ascii="Arial" w:hAnsi="Arial"/>
          <w:sz w:val="24"/>
          <w:szCs w:val="24"/>
          <w:lang w:val="es-ES"/>
        </w:rPr>
        <w:t>Conclusiones</w:t>
      </w:r>
    </w:p>
    <w:p w14:paraId="2759ECF8">
      <w:pPr>
        <w:ind w:left="0" w:leftChars="0" w:right="425" w:firstLine="0" w:firstLineChars="0"/>
        <w:rPr>
          <w:rFonts w:hint="default" w:ascii="Arial" w:hAnsi="Arial" w:cs="Arial"/>
          <w:sz w:val="24"/>
        </w:rPr>
      </w:pPr>
    </w:p>
    <w:p w14:paraId="67EA7331">
      <w:pPr>
        <w:pStyle w:val="6"/>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Arial" w:hAnsi="Arial" w:cs="Arial"/>
        </w:rPr>
      </w:pPr>
      <w:r>
        <w:rPr>
          <w:rFonts w:hint="default" w:ascii="Arial" w:hAnsi="Arial" w:cs="Arial"/>
        </w:rPr>
        <w:t xml:space="preserve">Se fomenta la colaboración internacional al facilitar herramientas y metodologías para la colaboración efectiva en equipos multiculturales, incluyendo traducción automática, gestión de proyectos colaborativos online y espacios virtuales para el intercambio cultural. Todo ello conduce al desarrollo de habilidades del siglo XXI como el pensamiento crítico, la resolución de problemas, la creatividad, la comunicación efectiva y la colaboración. </w:t>
      </w:r>
    </w:p>
    <w:p w14:paraId="7226F5F9">
      <w:pPr>
        <w:spacing w:line="360" w:lineRule="auto"/>
        <w:jc w:val="both"/>
        <w:rPr>
          <w:rFonts w:hint="default" w:ascii="Arial" w:hAnsi="Arial" w:eastAsia="Arial" w:cs="Arial"/>
          <w:sz w:val="24"/>
          <w:szCs w:val="24"/>
          <w:lang w:val="es-ES"/>
        </w:rPr>
      </w:pPr>
      <w:r>
        <w:rPr>
          <w:rFonts w:hint="default" w:ascii="Arial" w:hAnsi="Arial" w:eastAsia="Arial" w:cs="Arial"/>
          <w:sz w:val="24"/>
          <w:szCs w:val="24"/>
          <w:lang w:val="es-ES"/>
        </w:rPr>
        <w:t>Referencias Bibliográficas</w:t>
      </w:r>
    </w:p>
    <w:p w14:paraId="43C83F99">
      <w:pPr>
        <w:spacing w:line="360" w:lineRule="auto"/>
        <w:ind w:left="0" w:leftChars="0" w:firstLine="0" w:firstLineChars="0"/>
        <w:jc w:val="both"/>
        <w:rPr>
          <w:rFonts w:ascii="Arial" w:hAnsi="Arial" w:cs="Arial"/>
          <w:sz w:val="24"/>
          <w:szCs w:val="24"/>
        </w:rPr>
      </w:pPr>
      <w:r>
        <w:rPr>
          <w:rFonts w:ascii="Arial" w:hAnsi="Arial" w:eastAsia="Arial" w:cs="Arial"/>
          <w:sz w:val="24"/>
          <w:szCs w:val="24"/>
        </w:rPr>
        <w:t>Carneiro, R. (2021). Los desafíos de las TIC para el cambio educativo.</w:t>
      </w:r>
    </w:p>
    <w:p w14:paraId="078AAF74">
      <w:pPr>
        <w:spacing w:line="360" w:lineRule="auto"/>
        <w:ind w:left="0" w:leftChars="0" w:firstLine="0" w:firstLineChars="0"/>
        <w:jc w:val="both"/>
        <w:rPr>
          <w:rFonts w:ascii="Arial" w:hAnsi="Arial" w:cs="Arial"/>
          <w:sz w:val="24"/>
          <w:szCs w:val="24"/>
        </w:rPr>
      </w:pPr>
      <w:r>
        <w:rPr>
          <w:rFonts w:ascii="Arial" w:hAnsi="Arial" w:eastAsia="Arial" w:cs="Arial"/>
          <w:sz w:val="24"/>
          <w:szCs w:val="24"/>
        </w:rPr>
        <w:t>Organización de Estados Iberoamericanos (OEI</w:t>
      </w:r>
      <w:bookmarkStart w:id="13" w:name="_GoBack"/>
      <w:bookmarkEnd w:id="13"/>
      <w:r>
        <w:rPr>
          <w:rFonts w:ascii="Arial" w:hAnsi="Arial" w:eastAsia="Arial" w:cs="Arial"/>
          <w:sz w:val="24"/>
          <w:szCs w:val="24"/>
        </w:rPr>
        <w:t>).</w:t>
      </w:r>
    </w:p>
    <w:p w14:paraId="77951B87">
      <w:pPr>
        <w:spacing w:line="360" w:lineRule="auto"/>
        <w:ind w:left="0" w:leftChars="0" w:right="0" w:rightChars="0" w:firstLine="0" w:firstLineChars="0"/>
        <w:jc w:val="both"/>
        <w:rPr>
          <w:rFonts w:ascii="Arial" w:hAnsi="Arial" w:cs="Arial"/>
          <w:sz w:val="24"/>
          <w:szCs w:val="24"/>
        </w:rPr>
      </w:pPr>
      <w:r>
        <w:rPr>
          <w:rFonts w:ascii="Arial" w:hAnsi="Arial" w:eastAsia="Arial" w:cs="Arial"/>
          <w:sz w:val="24"/>
          <w:szCs w:val="24"/>
        </w:rPr>
        <w:t>Dörnyei, Z. (2020). La psicología del aprendiz de idiomas: diferencias individuales en la adquisición de una segunda lengua. Routledge.</w:t>
      </w:r>
    </w:p>
    <w:p w14:paraId="3E1D5F90">
      <w:pPr>
        <w:tabs>
          <w:tab w:val="left" w:pos="9020"/>
        </w:tabs>
        <w:spacing w:line="360" w:lineRule="auto"/>
        <w:ind w:left="0" w:leftChars="0" w:right="0" w:rightChars="0" w:firstLine="0" w:firstLineChars="0"/>
        <w:jc w:val="both"/>
        <w:rPr>
          <w:rFonts w:ascii="Arial" w:hAnsi="Arial" w:cs="Arial"/>
          <w:sz w:val="24"/>
          <w:szCs w:val="24"/>
        </w:rPr>
      </w:pPr>
      <w:r>
        <w:rPr>
          <w:rFonts w:ascii="Arial" w:hAnsi="Arial" w:eastAsia="Arial" w:cs="Arial"/>
          <w:sz w:val="24"/>
          <w:szCs w:val="24"/>
        </w:rPr>
        <w:t>Harmer, J. (2021). La práctica de la enseñanza del idioma inglés (6eled.). Pearson Education.</w:t>
      </w:r>
    </w:p>
    <w:p w14:paraId="0609B57F">
      <w:pPr>
        <w:spacing w:line="360" w:lineRule="auto"/>
        <w:ind w:left="0" w:leftChars="0" w:firstLine="0" w:firstLineChars="0"/>
        <w:jc w:val="both"/>
        <w:rPr>
          <w:rFonts w:ascii="Arial" w:hAnsi="Arial" w:cs="Arial"/>
          <w:sz w:val="24"/>
          <w:szCs w:val="24"/>
        </w:rPr>
      </w:pPr>
      <w:r>
        <w:rPr>
          <w:rFonts w:ascii="Arial" w:hAnsi="Arial" w:eastAsia="Arial" w:cs="Arial"/>
          <w:sz w:val="24"/>
          <w:szCs w:val="24"/>
        </w:rPr>
        <w:t>Hattie, J. (2023). Aprendizaje visible: La secuela. Routledge.</w:t>
      </w:r>
    </w:p>
    <w:p w14:paraId="24BAB5EB">
      <w:pPr>
        <w:spacing w:line="360" w:lineRule="auto"/>
        <w:ind w:left="0" w:leftChars="0" w:right="0" w:rightChars="0" w:firstLine="0" w:firstLineChars="0"/>
        <w:jc w:val="both"/>
        <w:rPr>
          <w:rFonts w:ascii="Arial" w:hAnsi="Arial" w:cs="Arial"/>
          <w:sz w:val="24"/>
          <w:szCs w:val="24"/>
        </w:rPr>
      </w:pPr>
      <w:r>
        <w:rPr>
          <w:rFonts w:ascii="Arial" w:hAnsi="Arial" w:eastAsia="Arial" w:cs="Arial"/>
          <w:sz w:val="24"/>
          <w:szCs w:val="24"/>
        </w:rPr>
        <w:t>Kapp, KM (2023). La gamificación del aprendizaje y la instrucción: teoría y práctica. Wiley.</w:t>
      </w:r>
    </w:p>
    <w:p w14:paraId="7056F620">
      <w:pPr>
        <w:spacing w:line="360" w:lineRule="auto"/>
        <w:ind w:left="0" w:leftChars="0" w:right="0" w:rightChars="0" w:firstLine="0" w:firstLineChars="0"/>
        <w:jc w:val="both"/>
        <w:rPr>
          <w:rFonts w:ascii="Arial" w:hAnsi="Arial" w:cs="Arial"/>
          <w:sz w:val="24"/>
          <w:szCs w:val="24"/>
        </w:rPr>
      </w:pPr>
      <w:r>
        <w:rPr>
          <w:rFonts w:ascii="Arial" w:hAnsi="Arial" w:eastAsia="Arial" w:cs="Arial"/>
          <w:sz w:val="24"/>
          <w:szCs w:val="24"/>
        </w:rPr>
        <w:t>Lantolf, JP, &amp; Poehner, ME (2020). Teoría sociocultural y el imperativo pedagógico en la enseñanza de L2. Routledge.</w:t>
      </w:r>
    </w:p>
    <w:p w14:paraId="78700CE5">
      <w:pPr>
        <w:spacing w:line="360" w:lineRule="auto"/>
        <w:ind w:left="0" w:leftChars="0" w:right="0" w:rightChars="0" w:firstLine="0" w:firstLineChars="0"/>
        <w:jc w:val="both"/>
        <w:rPr>
          <w:rFonts w:ascii="Arial" w:hAnsi="Arial" w:cs="Arial"/>
          <w:sz w:val="24"/>
          <w:szCs w:val="24"/>
        </w:rPr>
      </w:pPr>
      <w:r>
        <w:rPr>
          <w:rFonts w:ascii="Arial" w:hAnsi="Arial" w:eastAsia="Arial" w:cs="Arial"/>
          <w:sz w:val="24"/>
          <w:szCs w:val="24"/>
        </w:rPr>
        <w:t>Ministerio de Comunicaciones de Cuba (MINCOM). (2024). Política para la transformación digital en Cuba, agenda digital cubana, estrategia de inteligencia artificial.</w:t>
      </w:r>
    </w:p>
    <w:p w14:paraId="6A5A782A">
      <w:pPr>
        <w:spacing w:line="360" w:lineRule="auto"/>
        <w:ind w:left="0" w:leftChars="0" w:right="1065" w:firstLine="0" w:firstLineChars="0"/>
        <w:jc w:val="both"/>
        <w:rPr>
          <w:rFonts w:ascii="Arial" w:hAnsi="Arial" w:eastAsia="Arial" w:cs="Arial"/>
          <w:sz w:val="24"/>
          <w:szCs w:val="24"/>
        </w:rPr>
      </w:pPr>
      <w:r>
        <w:rPr>
          <w:rFonts w:ascii="Arial" w:hAnsi="Arial" w:eastAsia="Arial" w:cs="Arial"/>
          <w:sz w:val="24"/>
          <w:szCs w:val="24"/>
        </w:rPr>
        <w:t>Ministerio de Educación de Cuba (MINED). (2023). Programa de Inglés. 9no grado.</w:t>
      </w:r>
      <w:bookmarkStart w:id="10" w:name="page15"/>
      <w:bookmarkEnd w:id="10"/>
    </w:p>
    <w:p w14:paraId="270A8A06">
      <w:pPr>
        <w:spacing w:line="360" w:lineRule="auto"/>
        <w:ind w:left="0" w:leftChars="0" w:right="0" w:rightChars="0" w:firstLine="0" w:firstLineChars="0"/>
        <w:jc w:val="both"/>
        <w:rPr>
          <w:rFonts w:ascii="Arial" w:hAnsi="Arial" w:eastAsia="Arial" w:cs="Arial"/>
          <w:color w:val="0563C1"/>
          <w:sz w:val="24"/>
          <w:szCs w:val="24"/>
          <w:u w:val="single"/>
        </w:rPr>
      </w:pPr>
      <w:r>
        <w:rPr>
          <w:rFonts w:ascii="Arial" w:hAnsi="Arial" w:eastAsia="Arial" w:cs="Arial"/>
          <w:sz w:val="24"/>
          <w:szCs w:val="24"/>
        </w:rPr>
        <w:t>Oficina Nacional de Estadística e Información (ONEI). (2023). Anuario estadístico de Cuba 2023.</w:t>
      </w:r>
      <w:r>
        <w:fldChar w:fldCharType="begin"/>
      </w:r>
      <w:r>
        <w:instrText xml:space="preserve"> HYPERLINK "https://www.onei.gob.cu/" \h </w:instrText>
      </w:r>
      <w:r>
        <w:fldChar w:fldCharType="separate"/>
      </w:r>
      <w:r>
        <w:rPr>
          <w:rFonts w:ascii="Arial" w:hAnsi="Arial" w:eastAsia="Arial" w:cs="Arial"/>
          <w:color w:val="0563C1"/>
          <w:sz w:val="24"/>
          <w:szCs w:val="24"/>
          <w:u w:val="single"/>
        </w:rPr>
        <w:t>https://www.onei.gob.cu/</w:t>
      </w:r>
      <w:r>
        <w:rPr>
          <w:rFonts w:ascii="Arial" w:hAnsi="Arial" w:eastAsia="Arial" w:cs="Arial"/>
          <w:color w:val="0563C1"/>
          <w:sz w:val="24"/>
          <w:szCs w:val="24"/>
          <w:u w:val="single"/>
        </w:rPr>
        <w:fldChar w:fldCharType="end"/>
      </w:r>
    </w:p>
    <w:p w14:paraId="30943A0C">
      <w:pPr>
        <w:spacing w:line="360" w:lineRule="auto"/>
        <w:ind w:left="0" w:leftChars="0" w:right="0" w:rightChars="0" w:firstLine="0" w:firstLineChars="0"/>
        <w:jc w:val="both"/>
        <w:rPr>
          <w:rFonts w:ascii="Arial" w:hAnsi="Arial" w:cs="Arial"/>
          <w:sz w:val="24"/>
          <w:szCs w:val="24"/>
        </w:rPr>
      </w:pPr>
      <w:r>
        <w:rPr>
          <w:rFonts w:ascii="Arial" w:hAnsi="Arial" w:eastAsia="Arial" w:cs="Arial"/>
          <w:sz w:val="24"/>
          <w:szCs w:val="24"/>
        </w:rPr>
        <w:t>Puentedura, RR (2020). El modelo SAMR: una breve introducción. Hipaso.</w:t>
      </w:r>
    </w:p>
    <w:p w14:paraId="300C0F5B">
      <w:pPr>
        <w:spacing w:line="360" w:lineRule="auto"/>
        <w:ind w:left="0" w:leftChars="0" w:right="825" w:firstLine="0" w:firstLineChars="0"/>
        <w:jc w:val="both"/>
        <w:rPr>
          <w:rFonts w:ascii="Arial" w:hAnsi="Arial" w:cs="Arial"/>
          <w:sz w:val="24"/>
          <w:szCs w:val="24"/>
          <w:lang w:val="en-US"/>
        </w:rPr>
      </w:pPr>
      <w:r>
        <w:rPr>
          <w:rFonts w:ascii="Arial" w:hAnsi="Arial" w:eastAsia="Arial" w:cs="Arial"/>
          <w:sz w:val="24"/>
          <w:szCs w:val="24"/>
        </w:rPr>
        <w:t xml:space="preserve">Ryan, RM y Deci, EL (2020). Teoría de la autodeterminación: necesidades psicológicas básicas en la motivación, el desarrollo y el bienestar. </w:t>
      </w:r>
      <w:r>
        <w:rPr>
          <w:rFonts w:ascii="Arial" w:hAnsi="Arial" w:eastAsia="Arial" w:cs="Arial"/>
          <w:sz w:val="24"/>
          <w:szCs w:val="24"/>
          <w:lang w:val="en-US"/>
        </w:rPr>
        <w:t>Guilford Press.</w:t>
      </w:r>
    </w:p>
    <w:p w14:paraId="3CB89B18">
      <w:pPr>
        <w:spacing w:line="360" w:lineRule="auto"/>
        <w:ind w:left="0" w:leftChars="0" w:firstLine="0" w:firstLineChars="0"/>
        <w:jc w:val="both"/>
        <w:rPr>
          <w:rFonts w:ascii="Arial" w:hAnsi="Arial" w:cs="Arial"/>
          <w:sz w:val="24"/>
          <w:szCs w:val="24"/>
          <w:lang w:val="en-US"/>
        </w:rPr>
      </w:pPr>
      <w:r>
        <w:rPr>
          <w:rFonts w:ascii="Arial" w:hAnsi="Arial" w:eastAsia="Arial" w:cs="Arial"/>
          <w:sz w:val="24"/>
          <w:szCs w:val="24"/>
          <w:lang w:val="en-US"/>
        </w:rPr>
        <w:t>Santrock, JW (2021). Adolescencia (18eled.). McGraw-Hill.</w:t>
      </w:r>
    </w:p>
    <w:p w14:paraId="23E4D55A">
      <w:pPr>
        <w:spacing w:line="360" w:lineRule="auto"/>
        <w:ind w:left="0" w:leftChars="0" w:firstLine="0" w:firstLineChars="0"/>
        <w:jc w:val="both"/>
        <w:rPr>
          <w:rFonts w:ascii="Arial" w:hAnsi="Arial" w:cs="Arial"/>
          <w:sz w:val="24"/>
          <w:szCs w:val="24"/>
        </w:rPr>
      </w:pPr>
      <w:r>
        <w:rPr>
          <w:rFonts w:ascii="Arial" w:hAnsi="Arial" w:eastAsia="Arial" w:cs="Arial"/>
          <w:sz w:val="24"/>
          <w:szCs w:val="24"/>
          <w:lang w:val="en-US"/>
        </w:rPr>
        <w:t xml:space="preserve">Steinberg, L. (2023). </w:t>
      </w:r>
      <w:r>
        <w:rPr>
          <w:rFonts w:ascii="Arial" w:hAnsi="Arial" w:eastAsia="Arial" w:cs="Arial"/>
          <w:sz w:val="24"/>
          <w:szCs w:val="24"/>
        </w:rPr>
        <w:t>Adolescencia (13eled.). McGraw-Hill.</w:t>
      </w:r>
    </w:p>
    <w:p w14:paraId="28135647">
      <w:pPr>
        <w:spacing w:line="360" w:lineRule="auto"/>
        <w:ind w:right="905"/>
        <w:jc w:val="both"/>
        <w:rPr>
          <w:rFonts w:ascii="Arial" w:hAnsi="Arial" w:cs="Arial"/>
          <w:sz w:val="24"/>
          <w:szCs w:val="24"/>
        </w:rPr>
      </w:pPr>
      <w:r>
        <w:rPr>
          <w:rFonts w:ascii="Arial" w:hAnsi="Arial" w:eastAsia="Arial" w:cs="Arial"/>
          <w:sz w:val="24"/>
          <w:szCs w:val="24"/>
        </w:rPr>
        <w:t>Warner, KS, &amp; Wäger, M. (2019). Construyendo capacidades dinámicas para la transformación digital: Un proceso continuo de renovación estratégica. Long Range Planning, 52(3), 326–349.</w:t>
      </w:r>
    </w:p>
    <w:p w14:paraId="1C413352">
      <w:pPr>
        <w:spacing w:line="360" w:lineRule="auto"/>
        <w:jc w:val="both"/>
        <w:rPr>
          <w:rFonts w:ascii="Arial" w:hAnsi="Arial" w:cs="Arial"/>
          <w:sz w:val="24"/>
          <w:szCs w:val="24"/>
        </w:rPr>
      </w:pPr>
      <w:r>
        <w:rPr>
          <w:rFonts w:ascii="Arial" w:hAnsi="Arial" w:eastAsia="Arial" w:cs="Arial"/>
          <w:sz w:val="24"/>
          <w:szCs w:val="24"/>
        </w:rPr>
        <w:t>Wigfield, A., y Eccles, JS (2020). Desarrollo de la motivación de logro.</w:t>
      </w:r>
      <w:r>
        <w:rPr>
          <w:rFonts w:hint="default" w:ascii="Arial" w:hAnsi="Arial" w:eastAsia="Arial" w:cs="Arial"/>
          <w:sz w:val="24"/>
          <w:szCs w:val="24"/>
          <w:lang w:val="es-ES"/>
        </w:rPr>
        <w:t xml:space="preserve"> </w:t>
      </w:r>
      <w:r>
        <w:rPr>
          <w:rFonts w:ascii="Arial" w:hAnsi="Arial" w:eastAsia="Arial" w:cs="Arial"/>
          <w:sz w:val="24"/>
          <w:szCs w:val="24"/>
        </w:rPr>
        <w:t>Academic Press.</w:t>
      </w:r>
    </w:p>
    <w:p w14:paraId="0C597F49">
      <w:pPr>
        <w:spacing w:line="360" w:lineRule="auto"/>
        <w:ind w:right="365"/>
        <w:jc w:val="both"/>
        <w:rPr>
          <w:rFonts w:ascii="Arial" w:hAnsi="Arial" w:cs="Arial"/>
          <w:sz w:val="24"/>
          <w:szCs w:val="24"/>
        </w:rPr>
        <w:sectPr>
          <w:pgSz w:w="11900" w:h="16840"/>
          <w:pgMar w:top="1410" w:right="1440" w:bottom="1440" w:left="1440" w:header="0" w:footer="0" w:gutter="0"/>
          <w:cols w:equalWidth="0" w:num="1">
            <w:col w:w="9025"/>
          </w:cols>
        </w:sectPr>
      </w:pPr>
      <w:r>
        <w:rPr>
          <w:rFonts w:ascii="Arial" w:hAnsi="Arial" w:eastAsia="Arial" w:cs="Arial"/>
          <w:sz w:val="24"/>
          <w:szCs w:val="24"/>
        </w:rPr>
        <w:t>Zheng, L. (2024). Investigación basada en el diseño en tecnología educativa: procesos y principios. Spring</w:t>
      </w:r>
    </w:p>
    <w:p w14:paraId="33980968">
      <w:pPr>
        <w:spacing w:line="360" w:lineRule="auto"/>
        <w:jc w:val="both"/>
        <w:rPr>
          <w:rFonts w:ascii="Arial" w:hAnsi="Arial" w:cs="Arial"/>
          <w:sz w:val="24"/>
          <w:szCs w:val="24"/>
        </w:rPr>
      </w:pPr>
      <w:bookmarkStart w:id="11" w:name="page17"/>
      <w:bookmarkEnd w:id="11"/>
      <w:bookmarkStart w:id="12" w:name="page16"/>
      <w:bookmarkEnd w:id="12"/>
    </w:p>
    <w:sectPr>
      <w:pgSz w:w="11900" w:h="16840"/>
      <w:pgMar w:top="1440" w:right="1440" w:bottom="875" w:left="1440" w:header="0" w:footer="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Calibri">
    <w:panose1 w:val="020F0502020204030204"/>
    <w:charset w:val="86"/>
    <w:family w:val="swiss"/>
    <w:pitch w:val="default"/>
    <w:sig w:usb0="E4002EFF" w:usb1="C2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9F6CD2"/>
    <w:multiLevelType w:val="multilevel"/>
    <w:tmpl w:val="179F6CD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62286494"/>
    <w:multiLevelType w:val="multilevel"/>
    <w:tmpl w:val="62286494"/>
    <w:lvl w:ilvl="0" w:tentative="0">
      <w:start w:val="1"/>
      <w:numFmt w:val="bullet"/>
      <w:pStyle w:val="6"/>
      <w:lvlText w:val=""/>
      <w:lvlJc w:val="left"/>
      <w:pPr>
        <w:tabs>
          <w:tab w:val="left" w:pos="720"/>
        </w:tabs>
        <w:ind w:left="720" w:hanging="360"/>
      </w:pPr>
      <w:rPr>
        <w:rFonts w:hint="default" w:ascii="Wingdings" w:hAnsi="Wingdings"/>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72"/>
  <w:documentProtection w:enforcement="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2E9"/>
    <w:rsid w:val="00071C86"/>
    <w:rsid w:val="00091DDE"/>
    <w:rsid w:val="0010788D"/>
    <w:rsid w:val="00110C5A"/>
    <w:rsid w:val="0011422C"/>
    <w:rsid w:val="0016325F"/>
    <w:rsid w:val="001E3A13"/>
    <w:rsid w:val="00217CB9"/>
    <w:rsid w:val="00347319"/>
    <w:rsid w:val="00425505"/>
    <w:rsid w:val="00552D6F"/>
    <w:rsid w:val="005978D3"/>
    <w:rsid w:val="00666137"/>
    <w:rsid w:val="00770A7E"/>
    <w:rsid w:val="007E2634"/>
    <w:rsid w:val="007E35D2"/>
    <w:rsid w:val="008E3456"/>
    <w:rsid w:val="009D71B7"/>
    <w:rsid w:val="00A85923"/>
    <w:rsid w:val="00AE078D"/>
    <w:rsid w:val="00C872E9"/>
    <w:rsid w:val="00D303DD"/>
    <w:rsid w:val="00DD5AF8"/>
    <w:rsid w:val="00E57F0B"/>
    <w:rsid w:val="00ED1282"/>
    <w:rsid w:val="00F603C2"/>
    <w:rsid w:val="00F73BEE"/>
    <w:rsid w:val="00FD0402"/>
    <w:rsid w:val="0F087FB5"/>
    <w:rsid w:val="113727A8"/>
    <w:rsid w:val="1C9B200A"/>
    <w:rsid w:val="1EFB5963"/>
    <w:rsid w:val="23BB5342"/>
    <w:rsid w:val="23D35B56"/>
    <w:rsid w:val="24DB2B05"/>
    <w:rsid w:val="2DCF214E"/>
    <w:rsid w:val="37BB657C"/>
    <w:rsid w:val="3B674B7B"/>
    <w:rsid w:val="3C624ED4"/>
    <w:rsid w:val="4C426FF4"/>
    <w:rsid w:val="5C59404C"/>
    <w:rsid w:val="6061107E"/>
    <w:rsid w:val="6442109A"/>
    <w:rsid w:val="6E3E2D5F"/>
    <w:rsid w:val="7699665E"/>
    <w:rsid w:val="7E0A24D6"/>
    <w:rsid w:val="7E1643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rPr>
      <w:rFonts w:ascii="Times New Roman" w:hAnsi="Times New Roman" w:cs="Times New Roman" w:eastAsiaTheme="minorEastAsia"/>
      <w:sz w:val="22"/>
      <w:szCs w:val="22"/>
      <w:lang w:val="zh-CN"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Strong"/>
    <w:basedOn w:val="2"/>
    <w:qFormat/>
    <w:uiPriority w:val="22"/>
    <w:rPr>
      <w:b/>
      <w:bCs/>
    </w:rPr>
  </w:style>
  <w:style w:type="paragraph" w:styleId="5">
    <w:name w:val="List Paragraph"/>
    <w:basedOn w:val="1"/>
    <w:qFormat/>
    <w:uiPriority w:val="34"/>
    <w:pPr>
      <w:ind w:left="720"/>
      <w:contextualSpacing/>
    </w:pPr>
  </w:style>
  <w:style w:type="paragraph" w:customStyle="1" w:styleId="6">
    <w:name w:val="normal 2"/>
    <w:basedOn w:val="1"/>
    <w:qFormat/>
    <w:uiPriority w:val="0"/>
    <w:pPr>
      <w:numPr>
        <w:ilvl w:val="0"/>
        <w:numId w:val="1"/>
      </w:numPr>
    </w:pPr>
    <w:rPr>
      <w:rFonts w:ascii="Calibri" w:hAnsi="Calibri"/>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4702</Words>
  <Characters>25862</Characters>
  <Lines>215</Lines>
  <Paragraphs>61</Paragraphs>
  <TotalTime>3</TotalTime>
  <ScaleCrop>false</ScaleCrop>
  <LinksUpToDate>false</LinksUpToDate>
  <CharactersWithSpaces>30503</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2026-04-05T13:26:00Z</dcterms:created>
  <dc:creator>Windows User</dc:creator>
  <cp:lastModifiedBy>Yuliesky Amador Echevarria</cp:lastModifiedBy>
  <dcterms:modified xsi:type="dcterms:W3CDTF">2026-04-07T06:02:44Z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7D2F85AD0849481BB634EA2121E7DA35_12</vt:lpwstr>
  </property>
</Properties>
</file>