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C1AEC" w14:textId="77777777" w:rsidR="00F46E03" w:rsidRPr="00453611" w:rsidRDefault="00F46E03" w:rsidP="00310482">
      <w:pPr>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object w:dxaOrig="3570" w:dyaOrig="1200" w14:anchorId="5CF54D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pt;height:60.5pt" o:ole="">
            <v:imagedata r:id="rId8" o:title=""/>
          </v:shape>
          <o:OLEObject Type="Embed" ProgID="Msxml2.SAXXMLReader.5.0" ShapeID="_x0000_i1025" DrawAspect="Content" ObjectID="_1728498763" r:id="rId9"/>
        </w:object>
      </w:r>
    </w:p>
    <w:p w14:paraId="749D293F" w14:textId="1222C6A7" w:rsidR="00491747" w:rsidRDefault="002D6BB0" w:rsidP="00491747">
      <w:pPr>
        <w:spacing w:line="240" w:lineRule="atLeast"/>
        <w:contextualSpacing/>
        <w:jc w:val="center"/>
        <w:rPr>
          <w:rFonts w:ascii="Arial" w:eastAsia="Calibri" w:hAnsi="Arial" w:cs="Arial"/>
          <w:b/>
          <w:color w:val="002060"/>
          <w:sz w:val="28"/>
          <w:szCs w:val="28"/>
          <w:lang w:eastAsia="es-ES"/>
        </w:rPr>
      </w:pPr>
      <w:r w:rsidRPr="00453611">
        <w:rPr>
          <w:rFonts w:ascii="Arial" w:eastAsia="Calibri" w:hAnsi="Arial" w:cs="Arial"/>
          <w:b/>
          <w:color w:val="002060"/>
          <w:sz w:val="28"/>
          <w:szCs w:val="28"/>
          <w:lang w:eastAsia="es-ES"/>
        </w:rPr>
        <w:t xml:space="preserve">PRINCIPALES </w:t>
      </w:r>
      <w:r w:rsidR="00183524">
        <w:rPr>
          <w:rFonts w:ascii="Arial" w:eastAsia="Calibri" w:hAnsi="Arial" w:cs="Arial"/>
          <w:b/>
          <w:color w:val="002060"/>
          <w:sz w:val="28"/>
          <w:szCs w:val="28"/>
          <w:lang w:eastAsia="es-ES"/>
        </w:rPr>
        <w:t xml:space="preserve">INFRACCIONES DEL DEBIDO PROCESO </w:t>
      </w:r>
      <w:r w:rsidRPr="00453611">
        <w:rPr>
          <w:rFonts w:ascii="Arial" w:eastAsia="Calibri" w:hAnsi="Arial" w:cs="Arial"/>
          <w:b/>
          <w:color w:val="002060"/>
          <w:sz w:val="28"/>
          <w:szCs w:val="28"/>
          <w:lang w:eastAsia="es-ES"/>
        </w:rPr>
        <w:t>DETECTADAS EN LOS PROCESOS PENALES</w:t>
      </w:r>
      <w:r w:rsidR="00776FC8" w:rsidRPr="00453611">
        <w:rPr>
          <w:rFonts w:ascii="Arial" w:eastAsia="Calibri" w:hAnsi="Arial" w:cs="Arial"/>
          <w:b/>
          <w:color w:val="002060"/>
          <w:sz w:val="28"/>
          <w:szCs w:val="28"/>
          <w:lang w:eastAsia="es-ES"/>
        </w:rPr>
        <w:t xml:space="preserve"> DURANTE LAS VISITAS DE SUPERVISIÓN </w:t>
      </w:r>
      <w:r w:rsidR="00FC492E">
        <w:rPr>
          <w:rFonts w:ascii="Arial" w:eastAsia="Calibri" w:hAnsi="Arial" w:cs="Arial"/>
          <w:b/>
          <w:color w:val="002060"/>
          <w:sz w:val="28"/>
          <w:szCs w:val="28"/>
          <w:lang w:eastAsia="es-ES"/>
        </w:rPr>
        <w:t>A</w:t>
      </w:r>
      <w:r w:rsidR="00162343">
        <w:rPr>
          <w:rFonts w:ascii="Arial" w:eastAsia="Calibri" w:hAnsi="Arial" w:cs="Arial"/>
          <w:b/>
          <w:color w:val="002060"/>
          <w:sz w:val="28"/>
          <w:szCs w:val="28"/>
          <w:lang w:eastAsia="es-ES"/>
        </w:rPr>
        <w:t xml:space="preserve">L </w:t>
      </w:r>
      <w:r w:rsidR="00776FC8" w:rsidRPr="00453611">
        <w:rPr>
          <w:rFonts w:ascii="Arial" w:eastAsia="Calibri" w:hAnsi="Arial" w:cs="Arial"/>
          <w:b/>
          <w:color w:val="002060"/>
          <w:sz w:val="28"/>
          <w:szCs w:val="28"/>
          <w:lang w:eastAsia="es-ES"/>
        </w:rPr>
        <w:t>PAÍS</w:t>
      </w:r>
      <w:r w:rsidRPr="00453611">
        <w:rPr>
          <w:rFonts w:ascii="Arial" w:eastAsia="Calibri" w:hAnsi="Arial" w:cs="Arial"/>
          <w:b/>
          <w:color w:val="002060"/>
          <w:sz w:val="28"/>
          <w:szCs w:val="28"/>
          <w:lang w:eastAsia="es-ES"/>
        </w:rPr>
        <w:t>.</w:t>
      </w:r>
    </w:p>
    <w:p w14:paraId="6777FDF2" w14:textId="7F0EC4B4" w:rsidR="00F46E03" w:rsidRPr="00491747" w:rsidRDefault="00491747" w:rsidP="00491747">
      <w:pPr>
        <w:spacing w:line="240" w:lineRule="atLeast"/>
        <w:contextualSpacing/>
        <w:jc w:val="center"/>
        <w:rPr>
          <w:rFonts w:ascii="Arial" w:eastAsia="Calibri" w:hAnsi="Arial" w:cs="Arial"/>
          <w:bCs/>
          <w:color w:val="002060"/>
          <w:sz w:val="28"/>
          <w:szCs w:val="28"/>
          <w:lang w:eastAsia="es-ES"/>
        </w:rPr>
      </w:pPr>
      <w:r w:rsidRPr="00491747">
        <w:rPr>
          <w:rFonts w:ascii="Arial" w:eastAsia="Calibri" w:hAnsi="Arial" w:cs="Arial"/>
          <w:bCs/>
          <w:color w:val="002060"/>
          <w:sz w:val="28"/>
          <w:szCs w:val="28"/>
          <w:lang w:eastAsia="es-ES"/>
        </w:rPr>
        <w:t>Enero-octubre 2022.</w:t>
      </w:r>
    </w:p>
    <w:p w14:paraId="01562122" w14:textId="77777777" w:rsidR="00F46E03" w:rsidRPr="00453611" w:rsidRDefault="00F46E03" w:rsidP="00310482">
      <w:pPr>
        <w:spacing w:line="240" w:lineRule="atLeast"/>
        <w:contextualSpacing/>
        <w:jc w:val="both"/>
        <w:rPr>
          <w:rFonts w:ascii="Arial" w:eastAsia="Calibri" w:hAnsi="Arial" w:cs="Arial"/>
          <w:color w:val="002060"/>
          <w:sz w:val="28"/>
          <w:szCs w:val="28"/>
          <w:lang w:eastAsia="es-ES"/>
        </w:rPr>
      </w:pPr>
    </w:p>
    <w:p w14:paraId="53D53A05" w14:textId="5CF2CB51" w:rsidR="00A236F6" w:rsidRPr="00453611" w:rsidRDefault="00F46E03" w:rsidP="00310482">
      <w:pPr>
        <w:spacing w:line="240" w:lineRule="atLeast"/>
        <w:contextualSpacing/>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Las deficiencias que constituyen violaciones del </w:t>
      </w:r>
      <w:r w:rsidR="00367B75" w:rsidRPr="00367B75">
        <w:rPr>
          <w:rFonts w:ascii="Times New Roman" w:eastAsia="Calibri" w:hAnsi="Times New Roman" w:cs="Times New Roman"/>
          <w:b/>
          <w:bCs/>
          <w:i/>
          <w:iCs/>
          <w:color w:val="002060"/>
          <w:sz w:val="28"/>
          <w:szCs w:val="28"/>
          <w:lang w:eastAsia="es-ES"/>
        </w:rPr>
        <w:t>DEBIDO PROCESO</w:t>
      </w:r>
      <w:r w:rsidRPr="00453611">
        <w:rPr>
          <w:rFonts w:ascii="Arial" w:eastAsia="Calibri" w:hAnsi="Arial" w:cs="Arial"/>
          <w:color w:val="002060"/>
          <w:sz w:val="28"/>
          <w:szCs w:val="28"/>
          <w:lang w:eastAsia="es-ES"/>
        </w:rPr>
        <w:t xml:space="preserve"> en fase preparatoria pueden agruparse, principalmente, en tres grupos temáticos, a saber: </w:t>
      </w:r>
    </w:p>
    <w:p w14:paraId="361FA67C" w14:textId="77777777" w:rsidR="00A236F6" w:rsidRPr="00453611" w:rsidRDefault="00F46E03" w:rsidP="00310482">
      <w:pPr>
        <w:pStyle w:val="Prrafodelista"/>
        <w:numPr>
          <w:ilvl w:val="0"/>
          <w:numId w:val="17"/>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aquellas relativas a los derechos de las víctimas y perjudicados, </w:t>
      </w:r>
    </w:p>
    <w:p w14:paraId="7742C6A0" w14:textId="77777777" w:rsidR="00A236F6" w:rsidRPr="00453611" w:rsidRDefault="00F46E03" w:rsidP="00310482">
      <w:pPr>
        <w:pStyle w:val="Prrafodelista"/>
        <w:numPr>
          <w:ilvl w:val="0"/>
          <w:numId w:val="17"/>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aquellas relacionadas con los derechos del imputado</w:t>
      </w:r>
      <w:r w:rsidR="00A236F6" w:rsidRPr="00453611">
        <w:rPr>
          <w:rFonts w:ascii="Arial" w:eastAsia="Calibri" w:hAnsi="Arial" w:cs="Arial"/>
          <w:color w:val="002060"/>
          <w:sz w:val="28"/>
          <w:szCs w:val="28"/>
          <w:lang w:eastAsia="es-ES"/>
        </w:rPr>
        <w:t>,</w:t>
      </w:r>
      <w:r w:rsidRPr="00453611">
        <w:rPr>
          <w:rFonts w:ascii="Arial" w:eastAsia="Calibri" w:hAnsi="Arial" w:cs="Arial"/>
          <w:color w:val="002060"/>
          <w:sz w:val="28"/>
          <w:szCs w:val="28"/>
          <w:lang w:eastAsia="es-ES"/>
        </w:rPr>
        <w:t xml:space="preserve"> y </w:t>
      </w:r>
    </w:p>
    <w:p w14:paraId="57CAD153" w14:textId="77777777" w:rsidR="00A236F6" w:rsidRPr="00453611" w:rsidRDefault="00F46E03" w:rsidP="00310482">
      <w:pPr>
        <w:pStyle w:val="Prrafodelista"/>
        <w:numPr>
          <w:ilvl w:val="0"/>
          <w:numId w:val="17"/>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aquellas asociadas a la</w:t>
      </w:r>
      <w:r w:rsidR="00CF13A0" w:rsidRPr="00453611">
        <w:rPr>
          <w:rFonts w:ascii="Arial" w:eastAsia="Calibri" w:hAnsi="Arial" w:cs="Arial"/>
          <w:color w:val="002060"/>
          <w:sz w:val="28"/>
          <w:szCs w:val="28"/>
          <w:lang w:eastAsia="es-ES"/>
        </w:rPr>
        <w:t xml:space="preserve">s formalidades de las diligencias probatorias y a la </w:t>
      </w:r>
      <w:r w:rsidRPr="00453611">
        <w:rPr>
          <w:rFonts w:ascii="Arial" w:eastAsia="Calibri" w:hAnsi="Arial" w:cs="Arial"/>
          <w:color w:val="002060"/>
          <w:sz w:val="28"/>
          <w:szCs w:val="28"/>
          <w:lang w:eastAsia="es-ES"/>
        </w:rPr>
        <w:t xml:space="preserve">cadena de guarda y custodia de la evidencia. </w:t>
      </w:r>
    </w:p>
    <w:p w14:paraId="1ACD37E5" w14:textId="77777777" w:rsidR="00F46E03" w:rsidRPr="00453611" w:rsidRDefault="00F46E03" w:rsidP="00310482">
      <w:pPr>
        <w:spacing w:line="240" w:lineRule="atLeast"/>
        <w:contextualSpacing/>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A su vez, estos grupos temáticos se ven transversalizados por deficiencias pertenecientes a un cuarto grupo: las nulidades y subsanaciones.</w:t>
      </w:r>
    </w:p>
    <w:p w14:paraId="4DE5FE65" w14:textId="77777777" w:rsidR="00F46E03" w:rsidRPr="00453611" w:rsidRDefault="00F46E03" w:rsidP="00310482">
      <w:pPr>
        <w:spacing w:line="240" w:lineRule="atLeast"/>
        <w:contextualSpacing/>
        <w:jc w:val="both"/>
        <w:rPr>
          <w:rFonts w:ascii="Arial" w:eastAsia="Calibri" w:hAnsi="Arial" w:cs="Arial"/>
          <w:color w:val="002060"/>
          <w:sz w:val="28"/>
          <w:szCs w:val="28"/>
          <w:lang w:eastAsia="es-ES"/>
        </w:rPr>
      </w:pPr>
    </w:p>
    <w:p w14:paraId="0B5D36FF" w14:textId="136CB4F5" w:rsidR="00F46E03" w:rsidRPr="00453611" w:rsidRDefault="00A748E1" w:rsidP="00310482">
      <w:pPr>
        <w:spacing w:line="240" w:lineRule="atLeast"/>
        <w:contextualSpacing/>
        <w:jc w:val="both"/>
        <w:rPr>
          <w:rFonts w:ascii="Times New Roman" w:eastAsia="Calibri" w:hAnsi="Times New Roman" w:cs="Times New Roman"/>
          <w:b/>
          <w:color w:val="002060"/>
          <w:sz w:val="28"/>
          <w:szCs w:val="28"/>
          <w:lang w:eastAsia="es-ES"/>
        </w:rPr>
      </w:pPr>
      <w:r w:rsidRPr="00453611">
        <w:rPr>
          <w:rFonts w:ascii="Times New Roman" w:eastAsia="Calibri" w:hAnsi="Times New Roman" w:cs="Times New Roman"/>
          <w:b/>
          <w:color w:val="002060"/>
          <w:sz w:val="28"/>
          <w:szCs w:val="28"/>
          <w:lang w:eastAsia="es-ES"/>
        </w:rPr>
        <w:t>PRIMER GRUPO: QUEBRANTAMIENTO DE LOS DERECHOS DE LAS VÍCTIMAS Y PERJUDICADOS. TRASCENDENCIA A LAS NULIDADES.</w:t>
      </w:r>
    </w:p>
    <w:p w14:paraId="121380FF" w14:textId="77777777" w:rsidR="0073617F" w:rsidRPr="00453611" w:rsidRDefault="0073617F" w:rsidP="00310482">
      <w:pPr>
        <w:spacing w:line="240" w:lineRule="atLeast"/>
        <w:contextualSpacing/>
        <w:jc w:val="both"/>
        <w:rPr>
          <w:rFonts w:ascii="Arial" w:eastAsia="Calibri" w:hAnsi="Arial" w:cs="Arial"/>
          <w:b/>
          <w:color w:val="002060"/>
          <w:sz w:val="28"/>
          <w:szCs w:val="28"/>
          <w:lang w:eastAsia="es-ES"/>
        </w:rPr>
      </w:pPr>
    </w:p>
    <w:p w14:paraId="11487E7F" w14:textId="77777777" w:rsidR="0073617F" w:rsidRPr="00453611" w:rsidRDefault="0073617F" w:rsidP="00310482">
      <w:pPr>
        <w:spacing w:line="240" w:lineRule="atLeast"/>
        <w:contextualSpacing/>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Las principales violaciones legales que se han detectado han sido las siguientes:</w:t>
      </w:r>
    </w:p>
    <w:p w14:paraId="52578C48" w14:textId="7AC94038" w:rsidR="00AC46FD" w:rsidRPr="00453611" w:rsidRDefault="00AC46FD" w:rsidP="00AC46FD">
      <w:pPr>
        <w:pStyle w:val="Prrafodelista"/>
        <w:numPr>
          <w:ilvl w:val="0"/>
          <w:numId w:val="4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No informarla de los </w:t>
      </w:r>
      <w:r w:rsidRPr="005535BD">
        <w:rPr>
          <w:rFonts w:ascii="Arial" w:eastAsia="Calibri" w:hAnsi="Arial" w:cs="Arial"/>
          <w:color w:val="002060"/>
          <w:sz w:val="28"/>
          <w:szCs w:val="28"/>
          <w:lang w:eastAsia="es-ES"/>
        </w:rPr>
        <w:t>resultados del proceso</w:t>
      </w:r>
      <w:r w:rsidRPr="00453611">
        <w:rPr>
          <w:rFonts w:ascii="Arial" w:eastAsia="Calibri" w:hAnsi="Arial" w:cs="Arial"/>
          <w:color w:val="002060"/>
          <w:sz w:val="28"/>
          <w:szCs w:val="28"/>
          <w:lang w:eastAsia="es-ES"/>
        </w:rPr>
        <w:t xml:space="preserve"> ni de las </w:t>
      </w:r>
      <w:r w:rsidRPr="005535BD">
        <w:rPr>
          <w:rFonts w:ascii="Arial" w:eastAsia="Calibri" w:hAnsi="Arial" w:cs="Arial"/>
          <w:color w:val="002060"/>
          <w:sz w:val="28"/>
          <w:szCs w:val="28"/>
          <w:lang w:eastAsia="es-ES"/>
        </w:rPr>
        <w:t>decisiones</w:t>
      </w:r>
      <w:r w:rsidRPr="00453611">
        <w:rPr>
          <w:rFonts w:ascii="Arial" w:eastAsia="Calibri" w:hAnsi="Arial" w:cs="Arial"/>
          <w:color w:val="002060"/>
          <w:sz w:val="28"/>
          <w:szCs w:val="28"/>
          <w:lang w:eastAsia="es-ES"/>
        </w:rPr>
        <w:t xml:space="preserve"> de la autoridad actuante</w:t>
      </w:r>
      <w:r w:rsidR="00717110" w:rsidRPr="00453611">
        <w:rPr>
          <w:rStyle w:val="Refdenotaalpie"/>
          <w:rFonts w:ascii="Arial" w:eastAsia="Calibri" w:hAnsi="Arial" w:cs="Arial"/>
          <w:color w:val="002060"/>
          <w:sz w:val="28"/>
          <w:szCs w:val="28"/>
          <w:lang w:eastAsia="es-ES"/>
        </w:rPr>
        <w:footnoteReference w:id="1"/>
      </w:r>
      <w:r w:rsidRPr="00453611">
        <w:rPr>
          <w:rFonts w:ascii="Arial" w:eastAsia="Calibri" w:hAnsi="Arial" w:cs="Arial"/>
          <w:color w:val="002060"/>
          <w:sz w:val="28"/>
          <w:szCs w:val="28"/>
          <w:lang w:eastAsia="es-ES"/>
        </w:rPr>
        <w:t xml:space="preserve">. Se viola lo dispuesto en el artículo 141.k) de la Ley del </w:t>
      </w:r>
      <w:r w:rsidRPr="00453611">
        <w:rPr>
          <w:rFonts w:ascii="Arial" w:eastAsia="Calibri" w:hAnsi="Arial" w:cs="Arial"/>
          <w:color w:val="002060"/>
          <w:sz w:val="28"/>
          <w:szCs w:val="28"/>
          <w:lang w:eastAsia="es-ES"/>
        </w:rPr>
        <w:lastRenderedPageBreak/>
        <w:t>Proceso Penal. Esta infracción de la L</w:t>
      </w:r>
      <w:r w:rsidR="00C549E7">
        <w:rPr>
          <w:rFonts w:ascii="Arial" w:eastAsia="Calibri" w:hAnsi="Arial" w:cs="Arial"/>
          <w:color w:val="002060"/>
          <w:sz w:val="28"/>
          <w:szCs w:val="28"/>
          <w:lang w:eastAsia="es-ES"/>
        </w:rPr>
        <w:t xml:space="preserve">ey adjetiva </w:t>
      </w:r>
      <w:r w:rsidRPr="00453611">
        <w:rPr>
          <w:rFonts w:ascii="Arial" w:eastAsia="Calibri" w:hAnsi="Arial" w:cs="Arial"/>
          <w:color w:val="002060"/>
          <w:sz w:val="28"/>
          <w:szCs w:val="28"/>
          <w:lang w:eastAsia="es-ES"/>
        </w:rPr>
        <w:t>no da lugar a una nulidad absoluta ni relativa.</w:t>
      </w:r>
    </w:p>
    <w:p w14:paraId="68CFDE04" w14:textId="77777777" w:rsidR="00AC46FD" w:rsidRDefault="00AC46FD" w:rsidP="00AC46FD">
      <w:pPr>
        <w:pStyle w:val="Prrafodelista"/>
        <w:spacing w:line="240" w:lineRule="atLeast"/>
        <w:ind w:left="360"/>
        <w:jc w:val="both"/>
        <w:rPr>
          <w:rFonts w:ascii="Arial" w:eastAsia="Calibri" w:hAnsi="Arial" w:cs="Arial"/>
          <w:color w:val="002060"/>
          <w:sz w:val="28"/>
          <w:szCs w:val="28"/>
          <w:lang w:eastAsia="es-ES"/>
        </w:rPr>
      </w:pPr>
    </w:p>
    <w:p w14:paraId="0EE70985" w14:textId="09A3387E" w:rsidR="00C549E7" w:rsidRDefault="00C549E7" w:rsidP="00AC46FD">
      <w:pPr>
        <w:pStyle w:val="Prrafodelista"/>
        <w:numPr>
          <w:ilvl w:val="0"/>
          <w:numId w:val="45"/>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No notificarle a la víctima/perjudicado, ya constituida como parte procesal, que se le tomará declaración a un testigo. Se infringe lo dispuesto en el artículo 263.</w:t>
      </w:r>
      <w:r w:rsidR="008C7ED4">
        <w:rPr>
          <w:rFonts w:ascii="Arial" w:eastAsia="Calibri" w:hAnsi="Arial" w:cs="Arial"/>
          <w:color w:val="002060"/>
          <w:sz w:val="28"/>
          <w:szCs w:val="28"/>
          <w:lang w:eastAsia="es-ES"/>
        </w:rPr>
        <w:t>1</w:t>
      </w:r>
      <w:r>
        <w:rPr>
          <w:rFonts w:ascii="Arial" w:eastAsia="Calibri" w:hAnsi="Arial" w:cs="Arial"/>
          <w:color w:val="002060"/>
          <w:sz w:val="28"/>
          <w:szCs w:val="28"/>
          <w:lang w:eastAsia="es-ES"/>
        </w:rPr>
        <w:t xml:space="preserve"> de la Ley del </w:t>
      </w:r>
      <w:r w:rsidR="0077494E">
        <w:rPr>
          <w:rFonts w:ascii="Arial" w:eastAsia="Calibri" w:hAnsi="Arial" w:cs="Arial"/>
          <w:color w:val="002060"/>
          <w:sz w:val="28"/>
          <w:szCs w:val="28"/>
          <w:lang w:eastAsia="es-ES"/>
        </w:rPr>
        <w:t xml:space="preserve">Proceso Penal, así como lo preceptuado en el artículo 94 a) de la Constitución. En tal caso, debe disponerse la nulidad absoluta de </w:t>
      </w:r>
      <w:r w:rsidR="004A229C">
        <w:rPr>
          <w:rFonts w:ascii="Arial" w:eastAsia="Calibri" w:hAnsi="Arial" w:cs="Arial"/>
          <w:color w:val="002060"/>
          <w:sz w:val="28"/>
          <w:szCs w:val="28"/>
          <w:lang w:eastAsia="es-ES"/>
        </w:rPr>
        <w:t>la declaración del testigo</w:t>
      </w:r>
      <w:r>
        <w:rPr>
          <w:rFonts w:ascii="Arial" w:eastAsia="Calibri" w:hAnsi="Arial" w:cs="Arial"/>
          <w:color w:val="002060"/>
          <w:sz w:val="28"/>
          <w:szCs w:val="28"/>
          <w:lang w:eastAsia="es-ES"/>
        </w:rPr>
        <w:t xml:space="preserve">. </w:t>
      </w:r>
      <w:r w:rsidR="00950820">
        <w:rPr>
          <w:rFonts w:ascii="Arial" w:eastAsia="Calibri" w:hAnsi="Arial" w:cs="Arial"/>
          <w:color w:val="002060"/>
          <w:sz w:val="28"/>
          <w:szCs w:val="28"/>
          <w:lang w:eastAsia="es-ES"/>
        </w:rPr>
        <w:t>Hecho que sea, debe tomársele nuevamente declaración al testigo, previa citación de la víctima.</w:t>
      </w:r>
    </w:p>
    <w:p w14:paraId="78A8222B" w14:textId="77777777" w:rsidR="008C7ED4" w:rsidRPr="008C7ED4" w:rsidRDefault="008C7ED4" w:rsidP="008C7ED4">
      <w:pPr>
        <w:pStyle w:val="Prrafodelista"/>
        <w:rPr>
          <w:rFonts w:ascii="Arial" w:eastAsia="Calibri" w:hAnsi="Arial" w:cs="Arial"/>
          <w:color w:val="002060"/>
          <w:sz w:val="28"/>
          <w:szCs w:val="28"/>
          <w:lang w:eastAsia="es-ES"/>
        </w:rPr>
      </w:pPr>
    </w:p>
    <w:p w14:paraId="2198A96B" w14:textId="39B98F72" w:rsidR="008C7ED4" w:rsidRDefault="008C7ED4" w:rsidP="00AC46FD">
      <w:pPr>
        <w:pStyle w:val="Prrafodelista"/>
        <w:numPr>
          <w:ilvl w:val="0"/>
          <w:numId w:val="45"/>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No garantizarle a la víctima/perjudicado, constituida como parte procesal, que pueda escuchar lo que acontece en la declaración del testigo, en aquellos casos en que </w:t>
      </w:r>
      <w:r w:rsidR="00950820">
        <w:rPr>
          <w:rFonts w:ascii="Arial" w:eastAsia="Calibri" w:hAnsi="Arial" w:cs="Arial"/>
          <w:color w:val="002060"/>
          <w:sz w:val="28"/>
          <w:szCs w:val="28"/>
          <w:lang w:eastAsia="es-ES"/>
        </w:rPr>
        <w:t>la autoridad actuante haya dispuesto que el testigo declare sin la presencia de las partes. Se infringe lo dispuesto en el artículo 263.2 de la Ley adjetiva y en el 94 a) de la Constitución. En este caso, debe disponerse la nulidad absoluta de la declaración del testigo, y tomársele declaración nuevamente, garantizando el actuante que la víctima pueda escuchar lo que acontece en dich</w:t>
      </w:r>
      <w:r w:rsidR="00165633">
        <w:rPr>
          <w:rFonts w:ascii="Arial" w:eastAsia="Calibri" w:hAnsi="Arial" w:cs="Arial"/>
          <w:color w:val="002060"/>
          <w:sz w:val="28"/>
          <w:szCs w:val="28"/>
          <w:lang w:eastAsia="es-ES"/>
        </w:rPr>
        <w:t>o</w:t>
      </w:r>
      <w:r w:rsidR="00950820">
        <w:rPr>
          <w:rFonts w:ascii="Arial" w:eastAsia="Calibri" w:hAnsi="Arial" w:cs="Arial"/>
          <w:color w:val="002060"/>
          <w:sz w:val="28"/>
          <w:szCs w:val="28"/>
          <w:lang w:eastAsia="es-ES"/>
        </w:rPr>
        <w:t xml:space="preserve"> testimonio.</w:t>
      </w:r>
    </w:p>
    <w:p w14:paraId="5064EF55" w14:textId="77777777" w:rsidR="00C549E7" w:rsidRPr="00C549E7" w:rsidRDefault="00C549E7" w:rsidP="00C549E7">
      <w:pPr>
        <w:pStyle w:val="Prrafodelista"/>
        <w:rPr>
          <w:rFonts w:ascii="Arial" w:eastAsia="Calibri" w:hAnsi="Arial" w:cs="Arial"/>
          <w:color w:val="002060"/>
          <w:sz w:val="28"/>
          <w:szCs w:val="28"/>
          <w:lang w:eastAsia="es-ES"/>
        </w:rPr>
      </w:pPr>
    </w:p>
    <w:p w14:paraId="4B10BD2B" w14:textId="5A8DD9BD" w:rsidR="00F9533F" w:rsidRDefault="00F9533F" w:rsidP="00AC46FD">
      <w:pPr>
        <w:pStyle w:val="Prrafodelista"/>
        <w:numPr>
          <w:ilvl w:val="0"/>
          <w:numId w:val="45"/>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No notificarle a la víctima/perjudicado que se le tomará declaración a un testigo que manifieste la posibilidad de hallarse ausente del país en la fecha probable en que habrá de celebrarse el juicio oral, o si existe </w:t>
      </w:r>
      <w:r w:rsidR="00935F2B">
        <w:rPr>
          <w:rFonts w:ascii="Arial" w:eastAsia="Calibri" w:hAnsi="Arial" w:cs="Arial"/>
          <w:color w:val="002060"/>
          <w:sz w:val="28"/>
          <w:szCs w:val="28"/>
          <w:lang w:eastAsia="es-ES"/>
        </w:rPr>
        <w:t xml:space="preserve">motivo racional para temer la muerte o incapacidad física o mental del testigo, </w:t>
      </w:r>
      <w:r w:rsidR="00902932">
        <w:rPr>
          <w:rFonts w:ascii="Arial" w:eastAsia="Calibri" w:hAnsi="Arial" w:cs="Arial"/>
          <w:color w:val="002060"/>
          <w:sz w:val="28"/>
          <w:szCs w:val="28"/>
          <w:lang w:eastAsia="es-ES"/>
        </w:rPr>
        <w:t xml:space="preserve">o cuando la autoridad decida la declaración en privado del testigo en situación de vulnerabilidad </w:t>
      </w:r>
      <w:r>
        <w:rPr>
          <w:rFonts w:ascii="Arial" w:eastAsia="Calibri" w:hAnsi="Arial" w:cs="Arial"/>
          <w:color w:val="002060"/>
          <w:sz w:val="28"/>
          <w:szCs w:val="28"/>
          <w:lang w:eastAsia="es-ES"/>
        </w:rPr>
        <w:t>(artículo 278.1 y 2 de la Ley adjetiva).</w:t>
      </w:r>
      <w:r w:rsidR="00902932">
        <w:rPr>
          <w:rFonts w:ascii="Arial" w:eastAsia="Calibri" w:hAnsi="Arial" w:cs="Arial"/>
          <w:color w:val="002060"/>
          <w:sz w:val="28"/>
          <w:szCs w:val="28"/>
          <w:lang w:eastAsia="es-ES"/>
        </w:rPr>
        <w:t xml:space="preserve"> La violación de estos artículos da lugar a una nulidad relativa de la declaración del testimoniante, la cual podrá repetirse siempre que sea posible. Sin embargo, si la víctima está constituida como parte procesal, la nulidad sería absoluta por infringirse lo dispuesto en el artículo 94 a) de la Constitución.</w:t>
      </w:r>
    </w:p>
    <w:p w14:paraId="15415B55" w14:textId="77777777" w:rsidR="00214016" w:rsidRPr="00214016" w:rsidRDefault="00214016" w:rsidP="00214016">
      <w:pPr>
        <w:pStyle w:val="Prrafodelista"/>
        <w:rPr>
          <w:rFonts w:ascii="Arial" w:eastAsia="Calibri" w:hAnsi="Arial" w:cs="Arial"/>
          <w:color w:val="002060"/>
          <w:sz w:val="28"/>
          <w:szCs w:val="28"/>
          <w:lang w:eastAsia="es-ES"/>
        </w:rPr>
      </w:pPr>
    </w:p>
    <w:p w14:paraId="69BD10FB" w14:textId="11347639" w:rsidR="00214016" w:rsidRDefault="00214016" w:rsidP="00AC46FD">
      <w:pPr>
        <w:pStyle w:val="Prrafodelista"/>
        <w:numPr>
          <w:ilvl w:val="0"/>
          <w:numId w:val="45"/>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No informarle a la víctima/perjudicado que -en los supuestos antes citados del artículo 278- tiene derecho a nombrar un abogado en un plazo de 24 horas y que, en caso de no hacerlo, se le asignará uno de oficio. La violación de esta regulación </w:t>
      </w:r>
      <w:r w:rsidR="0051333B">
        <w:rPr>
          <w:rFonts w:ascii="Arial" w:eastAsia="Calibri" w:hAnsi="Arial" w:cs="Arial"/>
          <w:color w:val="002060"/>
          <w:sz w:val="28"/>
          <w:szCs w:val="28"/>
          <w:lang w:eastAsia="es-ES"/>
        </w:rPr>
        <w:t xml:space="preserve">da lugar a una nulidad absoluta del testimonio </w:t>
      </w:r>
      <w:r w:rsidR="00790F22">
        <w:rPr>
          <w:rFonts w:ascii="Arial" w:eastAsia="Calibri" w:hAnsi="Arial" w:cs="Arial"/>
          <w:color w:val="002060"/>
          <w:sz w:val="28"/>
          <w:szCs w:val="28"/>
          <w:lang w:eastAsia="es-ES"/>
        </w:rPr>
        <w:t xml:space="preserve">del testigo </w:t>
      </w:r>
      <w:r w:rsidR="0051333B">
        <w:rPr>
          <w:rFonts w:ascii="Arial" w:eastAsia="Calibri" w:hAnsi="Arial" w:cs="Arial"/>
          <w:color w:val="002060"/>
          <w:sz w:val="28"/>
          <w:szCs w:val="28"/>
          <w:lang w:eastAsia="es-ES"/>
        </w:rPr>
        <w:t>por infracción de lo dispuesto en el artículo 94 b)</w:t>
      </w:r>
      <w:r w:rsidR="0051333B">
        <w:rPr>
          <w:rStyle w:val="Refdenotaalpie"/>
          <w:rFonts w:ascii="Arial" w:eastAsia="Calibri" w:hAnsi="Arial" w:cs="Arial"/>
          <w:color w:val="002060"/>
          <w:sz w:val="28"/>
          <w:szCs w:val="28"/>
          <w:lang w:eastAsia="es-ES"/>
        </w:rPr>
        <w:footnoteReference w:id="2"/>
      </w:r>
      <w:r w:rsidR="0051333B">
        <w:rPr>
          <w:rFonts w:ascii="Arial" w:eastAsia="Calibri" w:hAnsi="Arial" w:cs="Arial"/>
          <w:color w:val="002060"/>
          <w:sz w:val="28"/>
          <w:szCs w:val="28"/>
          <w:lang w:eastAsia="es-ES"/>
        </w:rPr>
        <w:t xml:space="preserve"> de la Constitución. </w:t>
      </w:r>
    </w:p>
    <w:p w14:paraId="26581F38" w14:textId="77777777" w:rsidR="00124078" w:rsidRPr="00124078" w:rsidRDefault="00124078" w:rsidP="00124078">
      <w:pPr>
        <w:pStyle w:val="Prrafodelista"/>
        <w:rPr>
          <w:rFonts w:ascii="Arial" w:eastAsia="Calibri" w:hAnsi="Arial" w:cs="Arial"/>
          <w:color w:val="002060"/>
          <w:sz w:val="28"/>
          <w:szCs w:val="28"/>
          <w:lang w:eastAsia="es-ES"/>
        </w:rPr>
      </w:pPr>
    </w:p>
    <w:p w14:paraId="33357F0F" w14:textId="1E590BCD" w:rsidR="00124078" w:rsidRDefault="00124078" w:rsidP="00AC46FD">
      <w:pPr>
        <w:pStyle w:val="Prrafodelista"/>
        <w:numPr>
          <w:ilvl w:val="0"/>
          <w:numId w:val="45"/>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No asignarle a la víctima/perjudicado un abogado de oficio cuando no nombra uno de su elección para la práctica de la declaración de testigos que se encuentran en los supuestos del artículo 278 de la Ley adjetiva. Al igual </w:t>
      </w:r>
      <w:r>
        <w:rPr>
          <w:rFonts w:ascii="Arial" w:eastAsia="Calibri" w:hAnsi="Arial" w:cs="Arial"/>
          <w:color w:val="002060"/>
          <w:sz w:val="28"/>
          <w:szCs w:val="28"/>
          <w:lang w:eastAsia="es-ES"/>
        </w:rPr>
        <w:lastRenderedPageBreak/>
        <w:t>que en el caso anterior, procede declarar la nulidad absoluta del testimonio del testigo al infringirse lo dispuesto en el artículo 94 b) de la Constitución.</w:t>
      </w:r>
    </w:p>
    <w:p w14:paraId="5C35F9EE" w14:textId="77777777" w:rsidR="00F9533F" w:rsidRPr="00F9533F" w:rsidRDefault="00F9533F" w:rsidP="00F9533F">
      <w:pPr>
        <w:pStyle w:val="Prrafodelista"/>
        <w:rPr>
          <w:rFonts w:ascii="Arial" w:eastAsia="Calibri" w:hAnsi="Arial" w:cs="Arial"/>
          <w:color w:val="002060"/>
          <w:sz w:val="28"/>
          <w:szCs w:val="28"/>
          <w:lang w:eastAsia="es-ES"/>
        </w:rPr>
      </w:pPr>
    </w:p>
    <w:p w14:paraId="25298908" w14:textId="376CD757" w:rsidR="00F46E03" w:rsidRPr="00453611" w:rsidRDefault="00F46E03" w:rsidP="00AC46FD">
      <w:pPr>
        <w:pStyle w:val="Prrafodelista"/>
        <w:numPr>
          <w:ilvl w:val="0"/>
          <w:numId w:val="4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solicit</w:t>
      </w:r>
      <w:r w:rsidR="0073617F" w:rsidRPr="00453611">
        <w:rPr>
          <w:rFonts w:ascii="Arial" w:eastAsia="Calibri" w:hAnsi="Arial" w:cs="Arial"/>
          <w:color w:val="002060"/>
          <w:sz w:val="28"/>
          <w:szCs w:val="28"/>
          <w:lang w:eastAsia="es-ES"/>
        </w:rPr>
        <w:t xml:space="preserve">arles a las víctimas su </w:t>
      </w:r>
      <w:r w:rsidRPr="00453611">
        <w:rPr>
          <w:rFonts w:ascii="Arial" w:eastAsia="Calibri" w:hAnsi="Arial" w:cs="Arial"/>
          <w:color w:val="002060"/>
          <w:sz w:val="28"/>
          <w:szCs w:val="28"/>
          <w:lang w:eastAsia="es-ES"/>
        </w:rPr>
        <w:t>consentimiento cuando se les va a tomar muestras corporales</w:t>
      </w:r>
      <w:r w:rsidR="005C4C40" w:rsidRPr="00453611">
        <w:rPr>
          <w:rFonts w:ascii="Arial" w:eastAsia="Calibri" w:hAnsi="Arial" w:cs="Arial"/>
          <w:color w:val="002060"/>
          <w:sz w:val="28"/>
          <w:szCs w:val="28"/>
          <w:lang w:eastAsia="es-ES"/>
        </w:rPr>
        <w:t xml:space="preserve"> o someterlas a otros exámenes científicos</w:t>
      </w:r>
      <w:r w:rsidRPr="00453611">
        <w:rPr>
          <w:rFonts w:ascii="Arial" w:eastAsia="Calibri" w:hAnsi="Arial" w:cs="Arial"/>
          <w:color w:val="002060"/>
          <w:sz w:val="28"/>
          <w:szCs w:val="28"/>
          <w:lang w:eastAsia="es-ES"/>
        </w:rPr>
        <w:t>. Aquí se viola lo dispuesto en los artículos 141 a), 298 y 190 de la Ley del Proceso Penal, así como lo previsto en el inciso d) del artículo 95 de la Constitución vigente</w:t>
      </w:r>
      <w:r w:rsidRPr="00453611">
        <w:rPr>
          <w:rStyle w:val="Refdenotaalpie"/>
          <w:rFonts w:ascii="Arial" w:eastAsia="Calibri" w:hAnsi="Arial" w:cs="Arial"/>
          <w:color w:val="002060"/>
          <w:sz w:val="28"/>
          <w:szCs w:val="28"/>
          <w:lang w:eastAsia="es-ES"/>
        </w:rPr>
        <w:footnoteReference w:id="3"/>
      </w:r>
      <w:r w:rsidRPr="00453611">
        <w:rPr>
          <w:rFonts w:ascii="Arial" w:eastAsia="Calibri" w:hAnsi="Arial" w:cs="Arial"/>
          <w:color w:val="002060"/>
          <w:sz w:val="28"/>
          <w:szCs w:val="28"/>
          <w:lang w:eastAsia="es-ES"/>
        </w:rPr>
        <w:t>.</w:t>
      </w:r>
      <w:r w:rsidR="00343540" w:rsidRPr="00453611">
        <w:rPr>
          <w:rFonts w:ascii="Arial" w:eastAsia="Calibri" w:hAnsi="Arial" w:cs="Arial"/>
          <w:color w:val="002060"/>
          <w:sz w:val="28"/>
          <w:szCs w:val="28"/>
          <w:lang w:eastAsia="es-ES"/>
        </w:rPr>
        <w:t xml:space="preserve"> </w:t>
      </w:r>
      <w:r w:rsidR="00BA6DA9" w:rsidRPr="00453611">
        <w:rPr>
          <w:rFonts w:ascii="Arial" w:eastAsia="Calibri" w:hAnsi="Arial" w:cs="Arial"/>
          <w:color w:val="002060"/>
          <w:sz w:val="28"/>
          <w:szCs w:val="28"/>
          <w:lang w:eastAsia="es-ES"/>
        </w:rPr>
        <w:t>Esta infracción da pie a una n</w:t>
      </w:r>
      <w:r w:rsidR="00343540" w:rsidRPr="00453611">
        <w:rPr>
          <w:rFonts w:ascii="Arial" w:eastAsia="Calibri" w:hAnsi="Arial" w:cs="Arial"/>
          <w:color w:val="002060"/>
          <w:sz w:val="28"/>
          <w:szCs w:val="28"/>
          <w:lang w:eastAsia="es-ES"/>
        </w:rPr>
        <w:t>ulidad absoluta</w:t>
      </w:r>
      <w:r w:rsidR="00790960">
        <w:rPr>
          <w:rFonts w:ascii="Arial" w:eastAsia="Calibri" w:hAnsi="Arial" w:cs="Arial"/>
          <w:color w:val="002060"/>
          <w:sz w:val="28"/>
          <w:szCs w:val="28"/>
          <w:lang w:eastAsia="es-ES"/>
        </w:rPr>
        <w:t>.</w:t>
      </w:r>
    </w:p>
    <w:p w14:paraId="457AC8E7"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127A2D52" w14:textId="6BC32856" w:rsidR="001274AC" w:rsidRPr="00453611" w:rsidRDefault="00F46E03" w:rsidP="00AC46FD">
      <w:pPr>
        <w:pStyle w:val="Prrafodelista"/>
        <w:numPr>
          <w:ilvl w:val="0"/>
          <w:numId w:val="4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solicitar el consentimiento del representante legal del menor victimizado para que este sea explorado</w:t>
      </w:r>
      <w:r w:rsidR="005A1CC3">
        <w:rPr>
          <w:rFonts w:ascii="Arial" w:eastAsia="Calibri" w:hAnsi="Arial" w:cs="Arial"/>
          <w:color w:val="002060"/>
          <w:sz w:val="28"/>
          <w:szCs w:val="28"/>
          <w:lang w:eastAsia="es-ES"/>
        </w:rPr>
        <w:t xml:space="preserve"> </w:t>
      </w:r>
      <w:r w:rsidR="00242EAA">
        <w:rPr>
          <w:rFonts w:ascii="Arial" w:eastAsia="Calibri" w:hAnsi="Arial" w:cs="Arial"/>
          <w:color w:val="002060"/>
          <w:sz w:val="28"/>
          <w:szCs w:val="28"/>
          <w:lang w:eastAsia="es-ES"/>
        </w:rPr>
        <w:t xml:space="preserve">(cuando es menor de 16 años) </w:t>
      </w:r>
      <w:r w:rsidR="005A1CC3">
        <w:rPr>
          <w:rFonts w:ascii="Arial" w:eastAsia="Calibri" w:hAnsi="Arial" w:cs="Arial"/>
          <w:color w:val="002060"/>
          <w:sz w:val="28"/>
          <w:szCs w:val="28"/>
          <w:lang w:eastAsia="es-ES"/>
        </w:rPr>
        <w:t xml:space="preserve">o </w:t>
      </w:r>
      <w:r w:rsidR="00E05F4F">
        <w:rPr>
          <w:rFonts w:ascii="Arial" w:eastAsia="Calibri" w:hAnsi="Arial" w:cs="Arial"/>
          <w:color w:val="002060"/>
          <w:sz w:val="28"/>
          <w:szCs w:val="28"/>
          <w:lang w:eastAsia="es-ES"/>
        </w:rPr>
        <w:t xml:space="preserve">para que </w:t>
      </w:r>
      <w:r w:rsidR="005A1CC3">
        <w:rPr>
          <w:rFonts w:ascii="Arial" w:eastAsia="Calibri" w:hAnsi="Arial" w:cs="Arial"/>
          <w:color w:val="002060"/>
          <w:sz w:val="28"/>
          <w:szCs w:val="28"/>
          <w:lang w:eastAsia="es-ES"/>
        </w:rPr>
        <w:t>se le tome declaración (cuando es mayor de 16 y menor de 18 años)</w:t>
      </w:r>
      <w:r w:rsidR="00D70415" w:rsidRPr="00453611">
        <w:rPr>
          <w:rFonts w:ascii="Arial" w:eastAsia="Calibri" w:hAnsi="Arial" w:cs="Arial"/>
          <w:color w:val="002060"/>
          <w:sz w:val="28"/>
          <w:szCs w:val="28"/>
          <w:lang w:eastAsia="es-ES"/>
        </w:rPr>
        <w:t>,</w:t>
      </w:r>
      <w:r w:rsidRPr="00453611">
        <w:rPr>
          <w:rFonts w:ascii="Arial" w:eastAsia="Calibri" w:hAnsi="Arial" w:cs="Arial"/>
          <w:color w:val="002060"/>
          <w:sz w:val="28"/>
          <w:szCs w:val="28"/>
          <w:lang w:eastAsia="es-ES"/>
        </w:rPr>
        <w:t xml:space="preserve"> para que se le tomen muestras corporales o </w:t>
      </w:r>
      <w:r w:rsidR="00D70415" w:rsidRPr="00453611">
        <w:rPr>
          <w:rFonts w:ascii="Arial" w:eastAsia="Calibri" w:hAnsi="Arial" w:cs="Arial"/>
          <w:color w:val="002060"/>
          <w:sz w:val="28"/>
          <w:szCs w:val="28"/>
          <w:lang w:eastAsia="es-ES"/>
        </w:rPr>
        <w:t xml:space="preserve">para que </w:t>
      </w:r>
      <w:r w:rsidRPr="00453611">
        <w:rPr>
          <w:rFonts w:ascii="Arial" w:eastAsia="Calibri" w:hAnsi="Arial" w:cs="Arial"/>
          <w:color w:val="002060"/>
          <w:sz w:val="28"/>
          <w:szCs w:val="28"/>
          <w:lang w:eastAsia="es-ES"/>
        </w:rPr>
        <w:t>sea sometido a otros peritajes. Se viola en este caso lo dispuesto en los artículos 141. a) y b), 271</w:t>
      </w:r>
      <w:r w:rsidRPr="00453611">
        <w:rPr>
          <w:rStyle w:val="Refdenotaalpie"/>
          <w:rFonts w:ascii="Arial" w:eastAsia="Calibri" w:hAnsi="Arial" w:cs="Arial"/>
          <w:color w:val="002060"/>
          <w:sz w:val="28"/>
          <w:szCs w:val="28"/>
          <w:lang w:eastAsia="es-ES"/>
        </w:rPr>
        <w:footnoteReference w:id="4"/>
      </w:r>
      <w:r w:rsidRPr="00453611">
        <w:rPr>
          <w:rFonts w:ascii="Arial" w:eastAsia="Calibri" w:hAnsi="Arial" w:cs="Arial"/>
          <w:color w:val="002060"/>
          <w:sz w:val="28"/>
          <w:szCs w:val="28"/>
          <w:lang w:eastAsia="es-ES"/>
        </w:rPr>
        <w:t xml:space="preserve">, </w:t>
      </w:r>
      <w:r w:rsidR="00642DE3">
        <w:rPr>
          <w:rFonts w:ascii="Arial" w:eastAsia="Calibri" w:hAnsi="Arial" w:cs="Arial"/>
          <w:color w:val="002060"/>
          <w:sz w:val="28"/>
          <w:szCs w:val="28"/>
          <w:lang w:eastAsia="es-ES"/>
        </w:rPr>
        <w:t xml:space="preserve">272, </w:t>
      </w:r>
      <w:r w:rsidRPr="00453611">
        <w:rPr>
          <w:rFonts w:ascii="Arial" w:eastAsia="Calibri" w:hAnsi="Arial" w:cs="Arial"/>
          <w:color w:val="002060"/>
          <w:sz w:val="28"/>
          <w:szCs w:val="28"/>
          <w:lang w:eastAsia="es-ES"/>
        </w:rPr>
        <w:t>298 y 190 de la Ley del Proceso Penal, así como lo estipulado en el artículo 95 inciso d) de la Constitución vigente.</w:t>
      </w:r>
      <w:r w:rsidR="001274AC" w:rsidRPr="00453611">
        <w:rPr>
          <w:rFonts w:ascii="Arial" w:eastAsia="Calibri" w:hAnsi="Arial" w:cs="Arial"/>
          <w:color w:val="002060"/>
          <w:sz w:val="28"/>
          <w:szCs w:val="28"/>
          <w:lang w:eastAsia="es-ES"/>
        </w:rPr>
        <w:t xml:space="preserve"> Nulidad absoluta, artículo 58.1 y 59 de la Ley del Proceso Penal.</w:t>
      </w:r>
    </w:p>
    <w:p w14:paraId="74296FBD"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74B09467" w14:textId="77777777" w:rsidR="00F46E03" w:rsidRPr="00453611" w:rsidRDefault="00F46E03" w:rsidP="00AC46FD">
      <w:pPr>
        <w:pStyle w:val="Prrafodelista"/>
        <w:numPr>
          <w:ilvl w:val="0"/>
          <w:numId w:val="4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concentrar en una sola sesión los distintos exámenes periciales que deben practicárseles a un menor victimizado. Se viola aquí lo dispuesto en el artículo 299 de la Ley del Proceso Penal.</w:t>
      </w:r>
    </w:p>
    <w:p w14:paraId="353A1F3E"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11CD4FB0" w14:textId="20543167" w:rsidR="00F46E03" w:rsidRPr="00453611" w:rsidRDefault="00F46E03" w:rsidP="00AC46FD">
      <w:pPr>
        <w:pStyle w:val="Prrafodelista"/>
        <w:numPr>
          <w:ilvl w:val="0"/>
          <w:numId w:val="4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Tomarles declaración </w:t>
      </w:r>
      <w:r w:rsidR="00831E9C">
        <w:rPr>
          <w:rFonts w:ascii="Arial" w:eastAsia="Calibri" w:hAnsi="Arial" w:cs="Arial"/>
          <w:color w:val="002060"/>
          <w:sz w:val="28"/>
          <w:szCs w:val="28"/>
          <w:lang w:eastAsia="es-ES"/>
        </w:rPr>
        <w:t xml:space="preserve">como </w:t>
      </w:r>
      <w:r w:rsidRPr="0010623D">
        <w:rPr>
          <w:rFonts w:ascii="Arial" w:eastAsia="Calibri" w:hAnsi="Arial" w:cs="Arial"/>
          <w:color w:val="002060"/>
          <w:sz w:val="28"/>
          <w:szCs w:val="28"/>
          <w:lang w:eastAsia="es-ES"/>
        </w:rPr>
        <w:t xml:space="preserve">testigos </w:t>
      </w:r>
      <w:r w:rsidRPr="00453611">
        <w:rPr>
          <w:rFonts w:ascii="Arial" w:eastAsia="Calibri" w:hAnsi="Arial" w:cs="Arial"/>
          <w:color w:val="002060"/>
          <w:sz w:val="28"/>
          <w:szCs w:val="28"/>
          <w:lang w:eastAsia="es-ES"/>
        </w:rPr>
        <w:t>a las víctimas y a los perjudicados</w:t>
      </w:r>
      <w:r w:rsidR="009D0D22">
        <w:rPr>
          <w:rStyle w:val="Refdenotaalpie"/>
          <w:rFonts w:ascii="Arial" w:eastAsia="Calibri" w:hAnsi="Arial" w:cs="Arial"/>
          <w:color w:val="002060"/>
          <w:sz w:val="28"/>
          <w:szCs w:val="28"/>
          <w:lang w:eastAsia="es-ES"/>
        </w:rPr>
        <w:footnoteReference w:id="5"/>
      </w:r>
      <w:r w:rsidRPr="00453611">
        <w:rPr>
          <w:rFonts w:ascii="Arial" w:eastAsia="Calibri" w:hAnsi="Arial" w:cs="Arial"/>
          <w:color w:val="002060"/>
          <w:sz w:val="28"/>
          <w:szCs w:val="28"/>
          <w:lang w:eastAsia="es-ES"/>
        </w:rPr>
        <w:t xml:space="preserve">, excluyéndolos así de toda información sobre los derechos previstos en los </w:t>
      </w:r>
      <w:r w:rsidRPr="00453611">
        <w:rPr>
          <w:rFonts w:ascii="Arial" w:eastAsia="Calibri" w:hAnsi="Arial" w:cs="Arial"/>
          <w:color w:val="002060"/>
          <w:sz w:val="28"/>
          <w:szCs w:val="28"/>
          <w:lang w:eastAsia="es-ES"/>
        </w:rPr>
        <w:lastRenderedPageBreak/>
        <w:t>artículos 141 y 142 de la Ley del Proceso Penal.</w:t>
      </w:r>
      <w:r w:rsidR="000F15C4" w:rsidRPr="00453611">
        <w:rPr>
          <w:rFonts w:ascii="Arial" w:eastAsia="Calibri" w:hAnsi="Arial" w:cs="Arial"/>
          <w:color w:val="002060"/>
          <w:sz w:val="28"/>
          <w:szCs w:val="28"/>
          <w:lang w:eastAsia="es-ES"/>
        </w:rPr>
        <w:t xml:space="preserve"> Se viola lo establecido en el artículo 95 i) de la Constitución. Nulidad absoluta.</w:t>
      </w:r>
    </w:p>
    <w:p w14:paraId="0C76D554"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45E2A872" w14:textId="77777777" w:rsidR="00F46E03" w:rsidRPr="00453611" w:rsidRDefault="00F46E03" w:rsidP="00AC46FD">
      <w:pPr>
        <w:pStyle w:val="Prrafodelista"/>
        <w:numPr>
          <w:ilvl w:val="0"/>
          <w:numId w:val="4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Consignar en los modelos de declaración de víctimas que a estas se les apercibe de los derechos regulados en el artículo 141 de la Ley del Proceso Penal. </w:t>
      </w:r>
      <w:r w:rsidR="00877050" w:rsidRPr="00453611">
        <w:rPr>
          <w:rFonts w:ascii="Arial" w:eastAsia="Calibri" w:hAnsi="Arial" w:cs="Arial"/>
          <w:color w:val="002060"/>
          <w:sz w:val="28"/>
          <w:szCs w:val="28"/>
          <w:lang w:eastAsia="es-ES"/>
        </w:rPr>
        <w:t xml:space="preserve">Aunque esta forma de plasmar </w:t>
      </w:r>
      <w:r w:rsidRPr="00453611">
        <w:rPr>
          <w:rFonts w:ascii="Arial" w:eastAsia="Calibri" w:hAnsi="Arial" w:cs="Arial"/>
          <w:color w:val="002060"/>
          <w:sz w:val="28"/>
          <w:szCs w:val="28"/>
          <w:lang w:eastAsia="es-ES"/>
        </w:rPr>
        <w:t xml:space="preserve">el cumplimiento de esa garantía procesal </w:t>
      </w:r>
      <w:r w:rsidR="00877050" w:rsidRPr="00453611">
        <w:rPr>
          <w:rFonts w:ascii="Arial" w:eastAsia="Calibri" w:hAnsi="Arial" w:cs="Arial"/>
          <w:color w:val="002060"/>
          <w:sz w:val="28"/>
          <w:szCs w:val="28"/>
          <w:lang w:eastAsia="es-ES"/>
        </w:rPr>
        <w:t xml:space="preserve">no indica por sí una violación legal, </w:t>
      </w:r>
      <w:r w:rsidRPr="00453611">
        <w:rPr>
          <w:rFonts w:ascii="Arial" w:eastAsia="Calibri" w:hAnsi="Arial" w:cs="Arial"/>
          <w:color w:val="002060"/>
          <w:sz w:val="28"/>
          <w:szCs w:val="28"/>
          <w:lang w:eastAsia="es-ES"/>
        </w:rPr>
        <w:t>presenta</w:t>
      </w:r>
      <w:r w:rsidR="00AA7D08" w:rsidRPr="00453611">
        <w:rPr>
          <w:rFonts w:ascii="Arial" w:eastAsia="Calibri" w:hAnsi="Arial" w:cs="Arial"/>
          <w:color w:val="002060"/>
          <w:sz w:val="28"/>
          <w:szCs w:val="28"/>
          <w:lang w:eastAsia="es-ES"/>
        </w:rPr>
        <w:t>, sin embargo,</w:t>
      </w:r>
      <w:r w:rsidRPr="00453611">
        <w:rPr>
          <w:rFonts w:ascii="Arial" w:eastAsia="Calibri" w:hAnsi="Arial" w:cs="Arial"/>
          <w:color w:val="002060"/>
          <w:sz w:val="28"/>
          <w:szCs w:val="28"/>
          <w:lang w:eastAsia="es-ES"/>
        </w:rPr>
        <w:t xml:space="preserve"> los siguientes inconvenientes:</w:t>
      </w:r>
    </w:p>
    <w:p w14:paraId="2364E858" w14:textId="77777777" w:rsidR="00F46E03" w:rsidRPr="00453611" w:rsidRDefault="00F46E03" w:rsidP="00310482">
      <w:pPr>
        <w:pStyle w:val="Prrafodelista"/>
        <w:spacing w:line="240" w:lineRule="atLeast"/>
        <w:ind w:left="786"/>
        <w:jc w:val="both"/>
        <w:rPr>
          <w:rFonts w:ascii="Arial" w:eastAsia="Calibri" w:hAnsi="Arial" w:cs="Arial"/>
          <w:color w:val="002060"/>
          <w:sz w:val="28"/>
          <w:szCs w:val="28"/>
          <w:lang w:eastAsia="es-ES"/>
        </w:rPr>
      </w:pPr>
    </w:p>
    <w:p w14:paraId="6E5D85DB" w14:textId="4239ACBA" w:rsidR="0014785B" w:rsidRPr="00453611" w:rsidRDefault="00F46E03" w:rsidP="00310482">
      <w:pPr>
        <w:pStyle w:val="Prrafodelista"/>
        <w:numPr>
          <w:ilvl w:val="0"/>
          <w:numId w:val="10"/>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No asegura que la víctima haya sido </w:t>
      </w:r>
      <w:r w:rsidR="007C3C81">
        <w:rPr>
          <w:rFonts w:ascii="Arial" w:eastAsia="Calibri" w:hAnsi="Arial" w:cs="Arial"/>
          <w:color w:val="002060"/>
          <w:sz w:val="28"/>
          <w:szCs w:val="28"/>
          <w:lang w:eastAsia="es-ES"/>
        </w:rPr>
        <w:t xml:space="preserve">realmente </w:t>
      </w:r>
      <w:r w:rsidRPr="00453611">
        <w:rPr>
          <w:rFonts w:ascii="Arial" w:eastAsia="Calibri" w:hAnsi="Arial" w:cs="Arial"/>
          <w:color w:val="002060"/>
          <w:sz w:val="28"/>
          <w:szCs w:val="28"/>
          <w:lang w:eastAsia="es-ES"/>
        </w:rPr>
        <w:t>informada de esos derechos. El modelo</w:t>
      </w:r>
      <w:r w:rsidR="00604F02" w:rsidRPr="00453611">
        <w:rPr>
          <w:rFonts w:ascii="Arial" w:eastAsia="Calibri" w:hAnsi="Arial" w:cs="Arial"/>
          <w:color w:val="002060"/>
          <w:sz w:val="28"/>
          <w:szCs w:val="28"/>
          <w:lang w:eastAsia="es-ES"/>
        </w:rPr>
        <w:t xml:space="preserve"> </w:t>
      </w:r>
      <w:r w:rsidRPr="00453611">
        <w:rPr>
          <w:rFonts w:ascii="Arial" w:eastAsia="Calibri" w:hAnsi="Arial" w:cs="Arial"/>
          <w:color w:val="002060"/>
          <w:sz w:val="28"/>
          <w:szCs w:val="28"/>
          <w:lang w:eastAsia="es-ES"/>
        </w:rPr>
        <w:t>expresa lo que debe hacer la autoridad actuante (apercibir, advertir, informar…), lo cual –en la prácti</w:t>
      </w:r>
      <w:r w:rsidR="002E14AC" w:rsidRPr="00453611">
        <w:rPr>
          <w:rFonts w:ascii="Arial" w:eastAsia="Calibri" w:hAnsi="Arial" w:cs="Arial"/>
          <w:color w:val="002060"/>
          <w:sz w:val="28"/>
          <w:szCs w:val="28"/>
          <w:lang w:eastAsia="es-ES"/>
        </w:rPr>
        <w:t xml:space="preserve">ca- puede </w:t>
      </w:r>
      <w:r w:rsidR="0010623D">
        <w:rPr>
          <w:rFonts w:ascii="Arial" w:eastAsia="Calibri" w:hAnsi="Arial" w:cs="Arial"/>
          <w:color w:val="002060"/>
          <w:sz w:val="28"/>
          <w:szCs w:val="28"/>
          <w:lang w:eastAsia="es-ES"/>
        </w:rPr>
        <w:t xml:space="preserve">que no se cumpla </w:t>
      </w:r>
      <w:r w:rsidRPr="00453611">
        <w:rPr>
          <w:rFonts w:ascii="Arial" w:eastAsia="Calibri" w:hAnsi="Arial" w:cs="Arial"/>
          <w:color w:val="002060"/>
          <w:sz w:val="28"/>
          <w:szCs w:val="28"/>
          <w:lang w:eastAsia="es-ES"/>
        </w:rPr>
        <w:t>sin que el modelo lo refleje, pues</w:t>
      </w:r>
      <w:r w:rsidR="005E5848">
        <w:rPr>
          <w:rFonts w:ascii="Arial" w:eastAsia="Calibri" w:hAnsi="Arial" w:cs="Arial"/>
          <w:color w:val="002060"/>
          <w:sz w:val="28"/>
          <w:szCs w:val="28"/>
          <w:lang w:eastAsia="es-ES"/>
        </w:rPr>
        <w:t xml:space="preserve"> </w:t>
      </w:r>
      <w:r w:rsidR="007E2B8E">
        <w:rPr>
          <w:rFonts w:ascii="Arial" w:eastAsia="Calibri" w:hAnsi="Arial" w:cs="Arial"/>
          <w:color w:val="002060"/>
          <w:sz w:val="28"/>
          <w:szCs w:val="28"/>
          <w:lang w:eastAsia="es-ES"/>
        </w:rPr>
        <w:t xml:space="preserve">el mero hecho de que ese apercibimiento se plasme en </w:t>
      </w:r>
      <w:r w:rsidR="00E22550">
        <w:rPr>
          <w:rFonts w:ascii="Arial" w:eastAsia="Calibri" w:hAnsi="Arial" w:cs="Arial"/>
          <w:color w:val="002060"/>
          <w:sz w:val="28"/>
          <w:szCs w:val="28"/>
          <w:lang w:eastAsia="es-ES"/>
        </w:rPr>
        <w:t xml:space="preserve">un </w:t>
      </w:r>
      <w:r w:rsidR="007E2B8E">
        <w:rPr>
          <w:rFonts w:ascii="Arial" w:eastAsia="Calibri" w:hAnsi="Arial" w:cs="Arial"/>
          <w:color w:val="002060"/>
          <w:sz w:val="28"/>
          <w:szCs w:val="28"/>
          <w:lang w:eastAsia="es-ES"/>
        </w:rPr>
        <w:t xml:space="preserve">modelo implica que se </w:t>
      </w:r>
      <w:r w:rsidRPr="00453611">
        <w:rPr>
          <w:rFonts w:ascii="Arial" w:eastAsia="Calibri" w:hAnsi="Arial" w:cs="Arial"/>
          <w:color w:val="002060"/>
          <w:sz w:val="28"/>
          <w:szCs w:val="28"/>
          <w:lang w:eastAsia="es-ES"/>
        </w:rPr>
        <w:t xml:space="preserve">da por </w:t>
      </w:r>
      <w:r w:rsidR="007E2B8E">
        <w:rPr>
          <w:rFonts w:ascii="Arial" w:eastAsia="Calibri" w:hAnsi="Arial" w:cs="Arial"/>
          <w:color w:val="002060"/>
          <w:sz w:val="28"/>
          <w:szCs w:val="28"/>
          <w:lang w:eastAsia="es-ES"/>
        </w:rPr>
        <w:t>cumplido</w:t>
      </w:r>
      <w:r w:rsidRPr="00453611">
        <w:rPr>
          <w:rFonts w:ascii="Arial" w:eastAsia="Calibri" w:hAnsi="Arial" w:cs="Arial"/>
          <w:color w:val="002060"/>
          <w:sz w:val="28"/>
          <w:szCs w:val="28"/>
          <w:lang w:eastAsia="es-ES"/>
        </w:rPr>
        <w:t xml:space="preserve">. Por tanto, habría que </w:t>
      </w:r>
      <w:r w:rsidR="004660F4" w:rsidRPr="00453611">
        <w:rPr>
          <w:rFonts w:ascii="Arial" w:eastAsia="Calibri" w:hAnsi="Arial" w:cs="Arial"/>
          <w:color w:val="002060"/>
          <w:sz w:val="28"/>
          <w:szCs w:val="28"/>
          <w:lang w:eastAsia="es-ES"/>
        </w:rPr>
        <w:t xml:space="preserve">tomarle declaración a </w:t>
      </w:r>
      <w:r w:rsidRPr="00453611">
        <w:rPr>
          <w:rFonts w:ascii="Arial" w:eastAsia="Calibri" w:hAnsi="Arial" w:cs="Arial"/>
          <w:color w:val="002060"/>
          <w:sz w:val="28"/>
          <w:szCs w:val="28"/>
          <w:lang w:eastAsia="es-ES"/>
        </w:rPr>
        <w:t xml:space="preserve">la víctima para saber si </w:t>
      </w:r>
      <w:r w:rsidR="002E14AC" w:rsidRPr="00453611">
        <w:rPr>
          <w:rFonts w:ascii="Arial" w:eastAsia="Calibri" w:hAnsi="Arial" w:cs="Arial"/>
          <w:color w:val="002060"/>
          <w:sz w:val="28"/>
          <w:szCs w:val="28"/>
          <w:lang w:eastAsia="es-ES"/>
        </w:rPr>
        <w:t xml:space="preserve">realmente </w:t>
      </w:r>
      <w:r w:rsidRPr="00453611">
        <w:rPr>
          <w:rFonts w:ascii="Arial" w:eastAsia="Calibri" w:hAnsi="Arial" w:cs="Arial"/>
          <w:color w:val="002060"/>
          <w:sz w:val="28"/>
          <w:szCs w:val="28"/>
          <w:lang w:eastAsia="es-ES"/>
        </w:rPr>
        <w:t>fue informada de sus derechos, tal como se refiere en el modelo.</w:t>
      </w:r>
      <w:r w:rsidR="000F15C4" w:rsidRPr="00453611">
        <w:rPr>
          <w:rFonts w:ascii="Arial" w:eastAsia="Calibri" w:hAnsi="Arial" w:cs="Arial"/>
          <w:color w:val="002060"/>
          <w:sz w:val="28"/>
          <w:szCs w:val="28"/>
          <w:lang w:eastAsia="es-ES"/>
        </w:rPr>
        <w:t xml:space="preserve"> </w:t>
      </w:r>
    </w:p>
    <w:p w14:paraId="7251A498" w14:textId="77777777" w:rsidR="0014785B" w:rsidRPr="00453611" w:rsidRDefault="0014785B" w:rsidP="00310482">
      <w:pPr>
        <w:pStyle w:val="Prrafodelista"/>
        <w:spacing w:line="240" w:lineRule="atLeast"/>
        <w:ind w:left="786"/>
        <w:jc w:val="both"/>
        <w:rPr>
          <w:rFonts w:ascii="Arial" w:eastAsia="Calibri" w:hAnsi="Arial" w:cs="Arial"/>
          <w:color w:val="002060"/>
          <w:sz w:val="28"/>
          <w:szCs w:val="28"/>
          <w:lang w:eastAsia="es-ES"/>
        </w:rPr>
      </w:pPr>
    </w:p>
    <w:p w14:paraId="71324405" w14:textId="2CA9F35B" w:rsidR="00F46E03" w:rsidRPr="00453611" w:rsidRDefault="00AA7D08" w:rsidP="00310482">
      <w:pPr>
        <w:pStyle w:val="Prrafodelista"/>
        <w:spacing w:line="240" w:lineRule="atLeast"/>
        <w:ind w:left="786"/>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Si del resultado de la entrevista se advirtiera que no fue </w:t>
      </w:r>
      <w:r w:rsidR="00B21788" w:rsidRPr="00453611">
        <w:rPr>
          <w:rFonts w:ascii="Arial" w:eastAsia="Calibri" w:hAnsi="Arial" w:cs="Arial"/>
          <w:color w:val="002060"/>
          <w:sz w:val="28"/>
          <w:szCs w:val="28"/>
          <w:lang w:eastAsia="es-ES"/>
        </w:rPr>
        <w:t>informada</w:t>
      </w:r>
      <w:r w:rsidR="004660F4" w:rsidRPr="00453611">
        <w:rPr>
          <w:rFonts w:ascii="Arial" w:eastAsia="Calibri" w:hAnsi="Arial" w:cs="Arial"/>
          <w:color w:val="002060"/>
          <w:sz w:val="28"/>
          <w:szCs w:val="28"/>
          <w:lang w:eastAsia="es-ES"/>
        </w:rPr>
        <w:t xml:space="preserve">, </w:t>
      </w:r>
      <w:r w:rsidR="00137F9D" w:rsidRPr="00453611">
        <w:rPr>
          <w:rFonts w:ascii="Times New Roman" w:eastAsia="Calibri" w:hAnsi="Times New Roman" w:cs="Times New Roman"/>
          <w:color w:val="002060"/>
          <w:sz w:val="28"/>
          <w:szCs w:val="28"/>
          <w:lang w:eastAsia="es-ES"/>
        </w:rPr>
        <w:t>NO PROCEDERÍA DICTAR AUTO DISPONIENDO LA NULIDAD ABSOLUTA</w:t>
      </w:r>
      <w:r w:rsidR="004660F4" w:rsidRPr="00453611">
        <w:rPr>
          <w:rFonts w:ascii="Arial" w:eastAsia="Calibri" w:hAnsi="Arial" w:cs="Arial"/>
          <w:color w:val="002060"/>
          <w:sz w:val="28"/>
          <w:szCs w:val="28"/>
          <w:lang w:eastAsia="es-ES"/>
        </w:rPr>
        <w:t xml:space="preserve"> por infracción de lo establecido en los artículos 141 y 142</w:t>
      </w:r>
      <w:r w:rsidR="0031608D" w:rsidRPr="00453611">
        <w:rPr>
          <w:rFonts w:ascii="Arial" w:eastAsia="Calibri" w:hAnsi="Arial" w:cs="Arial"/>
          <w:color w:val="002060"/>
          <w:sz w:val="28"/>
          <w:szCs w:val="28"/>
          <w:lang w:eastAsia="es-ES"/>
        </w:rPr>
        <w:t xml:space="preserve"> de la Ley del Proceso Penal y 9</w:t>
      </w:r>
      <w:r w:rsidR="004660F4" w:rsidRPr="00453611">
        <w:rPr>
          <w:rFonts w:ascii="Arial" w:eastAsia="Calibri" w:hAnsi="Arial" w:cs="Arial"/>
          <w:color w:val="002060"/>
          <w:sz w:val="28"/>
          <w:szCs w:val="28"/>
          <w:lang w:eastAsia="es-ES"/>
        </w:rPr>
        <w:t>5 i) de la Constitución vigente</w:t>
      </w:r>
      <w:r w:rsidR="0031608D" w:rsidRPr="00453611">
        <w:rPr>
          <w:rStyle w:val="Refdenotaalpie"/>
          <w:rFonts w:ascii="Arial" w:eastAsia="Calibri" w:hAnsi="Arial" w:cs="Arial"/>
          <w:color w:val="002060"/>
          <w:sz w:val="28"/>
          <w:szCs w:val="28"/>
          <w:lang w:eastAsia="es-ES"/>
        </w:rPr>
        <w:footnoteReference w:id="6"/>
      </w:r>
      <w:r w:rsidR="0014785B" w:rsidRPr="00453611">
        <w:rPr>
          <w:rFonts w:ascii="Arial" w:eastAsia="Calibri" w:hAnsi="Arial" w:cs="Arial"/>
          <w:color w:val="002060"/>
          <w:sz w:val="28"/>
          <w:szCs w:val="28"/>
          <w:lang w:eastAsia="es-ES"/>
        </w:rPr>
        <w:t>, pues</w:t>
      </w:r>
      <w:r w:rsidR="00137F9D" w:rsidRPr="00453611">
        <w:rPr>
          <w:rFonts w:ascii="Arial" w:eastAsia="Calibri" w:hAnsi="Arial" w:cs="Arial"/>
          <w:color w:val="002060"/>
          <w:sz w:val="28"/>
          <w:szCs w:val="28"/>
          <w:lang w:eastAsia="es-ES"/>
        </w:rPr>
        <w:t>,</w:t>
      </w:r>
      <w:r w:rsidR="0014785B" w:rsidRPr="00453611">
        <w:rPr>
          <w:rFonts w:ascii="Arial" w:eastAsia="Calibri" w:hAnsi="Arial" w:cs="Arial"/>
          <w:color w:val="002060"/>
          <w:sz w:val="28"/>
          <w:szCs w:val="28"/>
          <w:lang w:eastAsia="es-ES"/>
        </w:rPr>
        <w:t xml:space="preserve"> aunque se viola aquí un derecho constitucional, </w:t>
      </w:r>
      <w:r w:rsidR="00137F9D" w:rsidRPr="00453611">
        <w:rPr>
          <w:rFonts w:ascii="Times New Roman" w:eastAsia="Calibri" w:hAnsi="Times New Roman" w:cs="Times New Roman"/>
          <w:color w:val="002060"/>
          <w:sz w:val="28"/>
          <w:szCs w:val="28"/>
          <w:lang w:eastAsia="es-ES"/>
        </w:rPr>
        <w:t>NO TIENE SENTIDO QUE SE ANULE LA PROPIA DECLARACIÓN DE LA VÍCTIMA</w:t>
      </w:r>
      <w:r w:rsidR="0021744E" w:rsidRPr="00453611">
        <w:rPr>
          <w:rFonts w:ascii="Times New Roman" w:eastAsia="Calibri" w:hAnsi="Times New Roman" w:cs="Times New Roman"/>
          <w:color w:val="002060"/>
          <w:sz w:val="28"/>
          <w:szCs w:val="28"/>
          <w:lang w:eastAsia="es-ES"/>
        </w:rPr>
        <w:t xml:space="preserve">, </w:t>
      </w:r>
      <w:r w:rsidR="0021744E" w:rsidRPr="00453611">
        <w:rPr>
          <w:rFonts w:ascii="Arial" w:eastAsia="Calibri" w:hAnsi="Arial" w:cs="Arial"/>
          <w:color w:val="002060"/>
          <w:sz w:val="28"/>
          <w:szCs w:val="28"/>
          <w:lang w:eastAsia="es-ES"/>
        </w:rPr>
        <w:t>dado que ello, más que beneficiarla, la perjudica</w:t>
      </w:r>
      <w:r w:rsidR="0014785B" w:rsidRPr="00453611">
        <w:rPr>
          <w:rFonts w:ascii="Arial" w:eastAsia="Calibri" w:hAnsi="Arial" w:cs="Arial"/>
          <w:color w:val="002060"/>
          <w:sz w:val="28"/>
          <w:szCs w:val="28"/>
          <w:lang w:eastAsia="es-ES"/>
        </w:rPr>
        <w:t>.</w:t>
      </w:r>
      <w:r w:rsidR="00F9059B" w:rsidRPr="00453611">
        <w:rPr>
          <w:rFonts w:ascii="Arial" w:eastAsia="Calibri" w:hAnsi="Arial" w:cs="Arial"/>
          <w:color w:val="002060"/>
          <w:sz w:val="28"/>
          <w:szCs w:val="28"/>
          <w:lang w:eastAsia="es-ES"/>
        </w:rPr>
        <w:t xml:space="preserve"> En ese caso, </w:t>
      </w:r>
      <w:r w:rsidR="00562F8F" w:rsidRPr="00453611">
        <w:rPr>
          <w:rFonts w:ascii="Arial" w:eastAsia="Calibri" w:hAnsi="Arial" w:cs="Arial"/>
          <w:color w:val="002060"/>
          <w:sz w:val="28"/>
          <w:szCs w:val="28"/>
          <w:lang w:eastAsia="es-ES"/>
        </w:rPr>
        <w:t xml:space="preserve">lo correcto es que se le informe a </w:t>
      </w:r>
      <w:r w:rsidR="00562F8F" w:rsidRPr="00453611">
        <w:rPr>
          <w:rFonts w:ascii="Arial" w:eastAsia="Calibri" w:hAnsi="Arial" w:cs="Arial"/>
          <w:color w:val="002060"/>
          <w:sz w:val="28"/>
          <w:szCs w:val="28"/>
          <w:lang w:eastAsia="es-ES"/>
        </w:rPr>
        <w:lastRenderedPageBreak/>
        <w:t xml:space="preserve">la víctima </w:t>
      </w:r>
      <w:r w:rsidR="00F9059B" w:rsidRPr="00453611">
        <w:rPr>
          <w:rFonts w:ascii="Arial" w:eastAsia="Calibri" w:hAnsi="Arial" w:cs="Arial"/>
          <w:color w:val="002060"/>
          <w:sz w:val="28"/>
          <w:szCs w:val="28"/>
          <w:lang w:eastAsia="es-ES"/>
        </w:rPr>
        <w:t>los derechos que se regulan en los artículos 141 y 142 de la Ley del Proceso Penal.</w:t>
      </w:r>
    </w:p>
    <w:p w14:paraId="30685BAB" w14:textId="77777777" w:rsidR="000F15C4" w:rsidRPr="00453611" w:rsidRDefault="000F15C4" w:rsidP="00310482">
      <w:pPr>
        <w:pStyle w:val="Prrafodelista"/>
        <w:spacing w:line="240" w:lineRule="atLeast"/>
        <w:ind w:left="786"/>
        <w:jc w:val="both"/>
        <w:rPr>
          <w:rFonts w:ascii="Arial" w:eastAsia="Calibri" w:hAnsi="Arial" w:cs="Arial"/>
          <w:color w:val="002060"/>
          <w:sz w:val="28"/>
          <w:szCs w:val="28"/>
          <w:lang w:eastAsia="es-ES"/>
        </w:rPr>
      </w:pPr>
    </w:p>
    <w:p w14:paraId="2E917FAC" w14:textId="77777777" w:rsidR="00F46E03" w:rsidRPr="00453611" w:rsidRDefault="00F46E03" w:rsidP="00310482">
      <w:pPr>
        <w:pStyle w:val="Prrafodelista"/>
        <w:numPr>
          <w:ilvl w:val="0"/>
          <w:numId w:val="10"/>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No incluye los derechos de la víctima previstos en el artículo 142 de la propia ley procesal, por lo que, si fue informada de ellos, no queda constancia y al fiscal o al juez tampoco les consta de la mera lectura de la declaración. </w:t>
      </w:r>
      <w:r w:rsidR="00064D80" w:rsidRPr="00453611">
        <w:rPr>
          <w:rFonts w:ascii="Arial" w:eastAsia="Calibri" w:hAnsi="Arial" w:cs="Arial"/>
          <w:color w:val="002060"/>
          <w:sz w:val="28"/>
          <w:szCs w:val="28"/>
          <w:lang w:eastAsia="es-ES"/>
        </w:rPr>
        <w:t>En este caso debe procederse como en el inciso anterior.</w:t>
      </w:r>
    </w:p>
    <w:p w14:paraId="1EDBA714" w14:textId="77777777" w:rsidR="00064D80" w:rsidRPr="00453611" w:rsidRDefault="00064D80" w:rsidP="00310482">
      <w:pPr>
        <w:pStyle w:val="Prrafodelista"/>
        <w:spacing w:line="240" w:lineRule="atLeast"/>
        <w:ind w:left="786"/>
        <w:jc w:val="both"/>
        <w:rPr>
          <w:rFonts w:ascii="Arial" w:eastAsia="Calibri" w:hAnsi="Arial" w:cs="Arial"/>
          <w:color w:val="002060"/>
          <w:sz w:val="28"/>
          <w:szCs w:val="28"/>
          <w:lang w:eastAsia="es-ES"/>
        </w:rPr>
      </w:pPr>
    </w:p>
    <w:p w14:paraId="6BA56994" w14:textId="77777777" w:rsidR="00F46E03" w:rsidRPr="00453611" w:rsidRDefault="00F46E03" w:rsidP="00310482">
      <w:pPr>
        <w:pStyle w:val="Prrafodelista"/>
        <w:numPr>
          <w:ilvl w:val="0"/>
          <w:numId w:val="10"/>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incluye la posibilidad de que la víctima deje constancia de que desea o no ser parte en el proceso</w:t>
      </w:r>
      <w:r w:rsidR="00064D80" w:rsidRPr="00453611">
        <w:rPr>
          <w:rFonts w:ascii="Arial" w:eastAsia="Calibri" w:hAnsi="Arial" w:cs="Arial"/>
          <w:color w:val="002060"/>
          <w:sz w:val="28"/>
          <w:szCs w:val="28"/>
          <w:lang w:eastAsia="es-ES"/>
        </w:rPr>
        <w:t>. Ídem al supuesto anterior.</w:t>
      </w:r>
    </w:p>
    <w:p w14:paraId="43D03F43" w14:textId="3340E08A" w:rsidR="00F46E03" w:rsidRPr="00453611" w:rsidRDefault="00A748E1" w:rsidP="00310482">
      <w:pPr>
        <w:spacing w:line="240" w:lineRule="atLeast"/>
        <w:contextualSpacing/>
        <w:jc w:val="both"/>
        <w:rPr>
          <w:rFonts w:ascii="Times New Roman" w:eastAsia="Calibri" w:hAnsi="Times New Roman" w:cs="Times New Roman"/>
          <w:b/>
          <w:color w:val="002060"/>
          <w:sz w:val="28"/>
          <w:szCs w:val="28"/>
          <w:lang w:eastAsia="es-ES"/>
        </w:rPr>
      </w:pPr>
      <w:r w:rsidRPr="00453611">
        <w:rPr>
          <w:rFonts w:ascii="Times New Roman" w:eastAsia="Calibri" w:hAnsi="Times New Roman" w:cs="Times New Roman"/>
          <w:b/>
          <w:color w:val="002060"/>
          <w:sz w:val="28"/>
          <w:szCs w:val="28"/>
          <w:lang w:eastAsia="es-ES"/>
        </w:rPr>
        <w:t>SEGUNDO GRUPO: INFRACCIONES RELATIVAS A LOS DERECHOS DEL IMPUTADO. TRASCENDENCIA A LAS NULIDADES.</w:t>
      </w:r>
    </w:p>
    <w:p w14:paraId="2717C7C8" w14:textId="77777777" w:rsidR="00F46E03" w:rsidRPr="00453611" w:rsidRDefault="00F46E03" w:rsidP="00310482">
      <w:pPr>
        <w:spacing w:line="240" w:lineRule="atLeast"/>
        <w:contextualSpacing/>
        <w:jc w:val="both"/>
        <w:rPr>
          <w:rFonts w:ascii="Arial" w:eastAsia="Calibri" w:hAnsi="Arial" w:cs="Arial"/>
          <w:color w:val="002060"/>
          <w:sz w:val="28"/>
          <w:szCs w:val="28"/>
          <w:lang w:eastAsia="es-ES"/>
        </w:rPr>
      </w:pPr>
    </w:p>
    <w:p w14:paraId="56580059" w14:textId="77777777" w:rsidR="00F46E03" w:rsidRPr="00453611" w:rsidRDefault="00F46E03" w:rsidP="00310482">
      <w:pPr>
        <w:spacing w:line="240" w:lineRule="atLeast"/>
        <w:contextualSpacing/>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Las </w:t>
      </w:r>
      <w:r w:rsidR="00F9059B" w:rsidRPr="00453611">
        <w:rPr>
          <w:rFonts w:ascii="Arial" w:eastAsia="Calibri" w:hAnsi="Arial" w:cs="Arial"/>
          <w:color w:val="002060"/>
          <w:sz w:val="28"/>
          <w:szCs w:val="28"/>
          <w:lang w:eastAsia="es-ES"/>
        </w:rPr>
        <w:t xml:space="preserve">violaciones legales asociadas a </w:t>
      </w:r>
      <w:r w:rsidRPr="00453611">
        <w:rPr>
          <w:rFonts w:ascii="Arial" w:eastAsia="Calibri" w:hAnsi="Arial" w:cs="Arial"/>
          <w:color w:val="002060"/>
          <w:sz w:val="28"/>
          <w:szCs w:val="28"/>
          <w:lang w:eastAsia="es-ES"/>
        </w:rPr>
        <w:t xml:space="preserve">los derechos del imputado suelen </w:t>
      </w:r>
      <w:r w:rsidR="00F9059B" w:rsidRPr="00453611">
        <w:rPr>
          <w:rFonts w:ascii="Arial" w:eastAsia="Calibri" w:hAnsi="Arial" w:cs="Arial"/>
          <w:color w:val="002060"/>
          <w:sz w:val="28"/>
          <w:szCs w:val="28"/>
          <w:lang w:eastAsia="es-ES"/>
        </w:rPr>
        <w:t xml:space="preserve">observarse </w:t>
      </w:r>
      <w:r w:rsidR="000C7B60" w:rsidRPr="00453611">
        <w:rPr>
          <w:rFonts w:ascii="Arial" w:eastAsia="Calibri" w:hAnsi="Arial" w:cs="Arial"/>
          <w:color w:val="002060"/>
          <w:sz w:val="28"/>
          <w:szCs w:val="28"/>
          <w:lang w:eastAsia="es-ES"/>
        </w:rPr>
        <w:t xml:space="preserve">en </w:t>
      </w:r>
      <w:r w:rsidR="00C86F71" w:rsidRPr="00453611">
        <w:rPr>
          <w:rFonts w:ascii="Arial" w:eastAsia="Calibri" w:hAnsi="Arial" w:cs="Arial"/>
          <w:color w:val="002060"/>
          <w:sz w:val="28"/>
          <w:szCs w:val="28"/>
          <w:lang w:eastAsia="es-ES"/>
        </w:rPr>
        <w:t>los siguientes casos</w:t>
      </w:r>
      <w:r w:rsidRPr="00453611">
        <w:rPr>
          <w:rFonts w:ascii="Arial" w:eastAsia="Calibri" w:hAnsi="Arial" w:cs="Arial"/>
          <w:color w:val="002060"/>
          <w:sz w:val="28"/>
          <w:szCs w:val="28"/>
          <w:lang w:eastAsia="es-ES"/>
        </w:rPr>
        <w:t>:</w:t>
      </w:r>
    </w:p>
    <w:p w14:paraId="59FDB15C" w14:textId="1DD275B3" w:rsidR="005201F9" w:rsidRPr="006C4C99" w:rsidRDefault="00064BCC" w:rsidP="00310482">
      <w:pPr>
        <w:pStyle w:val="Prrafodelista"/>
        <w:numPr>
          <w:ilvl w:val="0"/>
          <w:numId w:val="11"/>
        </w:numPr>
        <w:spacing w:line="240" w:lineRule="atLeast"/>
        <w:jc w:val="both"/>
        <w:rPr>
          <w:rFonts w:ascii="Arial" w:eastAsia="Calibri" w:hAnsi="Arial" w:cs="Arial"/>
          <w:color w:val="002060"/>
          <w:sz w:val="28"/>
          <w:szCs w:val="28"/>
          <w:lang w:eastAsia="es-ES"/>
        </w:rPr>
      </w:pPr>
      <w:r>
        <w:rPr>
          <w:rFonts w:ascii="Times New Roman" w:eastAsia="Calibri" w:hAnsi="Times New Roman" w:cs="Times New Roman"/>
          <w:color w:val="002060"/>
          <w:sz w:val="28"/>
          <w:szCs w:val="28"/>
          <w:u w:val="single"/>
          <w:lang w:eastAsia="es-ES"/>
        </w:rPr>
        <w:t>EN</w:t>
      </w:r>
      <w:r w:rsidR="005201F9" w:rsidRPr="006C4C99">
        <w:rPr>
          <w:rFonts w:ascii="Times New Roman" w:eastAsia="Calibri" w:hAnsi="Times New Roman" w:cs="Times New Roman"/>
          <w:color w:val="002060"/>
          <w:sz w:val="28"/>
          <w:szCs w:val="28"/>
          <w:u w:val="single"/>
          <w:lang w:eastAsia="es-ES"/>
        </w:rPr>
        <w:t xml:space="preserve"> LA DETENCIÓN</w:t>
      </w:r>
      <w:r w:rsidR="005201F9" w:rsidRPr="006C4C99">
        <w:rPr>
          <w:rFonts w:ascii="Arial" w:eastAsia="Calibri" w:hAnsi="Arial" w:cs="Arial"/>
          <w:color w:val="002060"/>
          <w:sz w:val="28"/>
          <w:szCs w:val="28"/>
          <w:lang w:eastAsia="es-ES"/>
        </w:rPr>
        <w:t xml:space="preserve">: No consignación de la hora en que se detiene al individuo. </w:t>
      </w:r>
      <w:r w:rsidR="006F0D36" w:rsidRPr="006C4C99">
        <w:rPr>
          <w:rFonts w:ascii="Arial" w:eastAsia="Calibri" w:hAnsi="Arial" w:cs="Arial"/>
          <w:color w:val="002060"/>
          <w:sz w:val="28"/>
          <w:szCs w:val="28"/>
          <w:lang w:eastAsia="es-ES"/>
        </w:rPr>
        <w:t>Esta omisión</w:t>
      </w:r>
      <w:r w:rsidR="00A379E4" w:rsidRPr="006C4C99">
        <w:rPr>
          <w:rFonts w:ascii="Arial" w:eastAsia="Calibri" w:hAnsi="Arial" w:cs="Arial"/>
          <w:color w:val="002060"/>
          <w:sz w:val="28"/>
          <w:szCs w:val="28"/>
          <w:lang w:eastAsia="es-ES"/>
        </w:rPr>
        <w:t xml:space="preserve"> </w:t>
      </w:r>
      <w:r w:rsidR="00DB5F73" w:rsidRPr="006C4C99">
        <w:rPr>
          <w:rFonts w:ascii="Arial" w:eastAsia="Calibri" w:hAnsi="Arial" w:cs="Arial"/>
          <w:color w:val="002060"/>
          <w:sz w:val="28"/>
          <w:szCs w:val="28"/>
          <w:lang w:eastAsia="es-ES"/>
        </w:rPr>
        <w:t xml:space="preserve">dificulta verificar </w:t>
      </w:r>
      <w:r w:rsidR="00765C05" w:rsidRPr="006C4C99">
        <w:rPr>
          <w:rFonts w:ascii="Arial" w:eastAsia="Calibri" w:hAnsi="Arial" w:cs="Arial"/>
          <w:color w:val="002060"/>
          <w:sz w:val="28"/>
          <w:szCs w:val="28"/>
          <w:lang w:eastAsia="es-ES"/>
        </w:rPr>
        <w:t xml:space="preserve">no solo </w:t>
      </w:r>
      <w:r w:rsidR="00DB5F73" w:rsidRPr="006C4C99">
        <w:rPr>
          <w:rFonts w:ascii="Arial" w:eastAsia="Calibri" w:hAnsi="Arial" w:cs="Arial"/>
          <w:color w:val="002060"/>
          <w:sz w:val="28"/>
          <w:szCs w:val="28"/>
          <w:lang w:eastAsia="es-ES"/>
        </w:rPr>
        <w:t>si la instructiva de cargos del detenido se hizo dentro de las 24 horas a partir de su detención (artículo 129.3 de la Ley del Proceso Penal)</w:t>
      </w:r>
      <w:r w:rsidR="0098736D" w:rsidRPr="006C4C99">
        <w:rPr>
          <w:rFonts w:ascii="Arial" w:eastAsia="Calibri" w:hAnsi="Arial" w:cs="Arial"/>
          <w:color w:val="002060"/>
          <w:sz w:val="28"/>
          <w:szCs w:val="28"/>
          <w:lang w:eastAsia="es-ES"/>
        </w:rPr>
        <w:t xml:space="preserve">, </w:t>
      </w:r>
      <w:r w:rsidR="00765C05" w:rsidRPr="006C4C99">
        <w:rPr>
          <w:rFonts w:ascii="Arial" w:eastAsia="Calibri" w:hAnsi="Arial" w:cs="Arial"/>
          <w:color w:val="002060"/>
          <w:sz w:val="28"/>
          <w:szCs w:val="28"/>
          <w:lang w:eastAsia="es-ES"/>
        </w:rPr>
        <w:t>sino también e</w:t>
      </w:r>
      <w:r w:rsidR="0098736D" w:rsidRPr="006C4C99">
        <w:rPr>
          <w:rFonts w:ascii="Arial" w:eastAsia="Calibri" w:hAnsi="Arial" w:cs="Arial"/>
          <w:color w:val="002060"/>
          <w:sz w:val="28"/>
          <w:szCs w:val="28"/>
          <w:lang w:eastAsia="es-ES"/>
        </w:rPr>
        <w:t xml:space="preserve">l momento a partir del cual empiezan a </w:t>
      </w:r>
      <w:r w:rsidR="00697ECB" w:rsidRPr="006C4C99">
        <w:rPr>
          <w:rFonts w:ascii="Arial" w:eastAsia="Calibri" w:hAnsi="Arial" w:cs="Arial"/>
          <w:color w:val="002060"/>
          <w:sz w:val="28"/>
          <w:szCs w:val="28"/>
          <w:lang w:eastAsia="es-ES"/>
        </w:rPr>
        <w:t xml:space="preserve">garantizarse </w:t>
      </w:r>
      <w:r w:rsidR="0098736D" w:rsidRPr="006C4C99">
        <w:rPr>
          <w:rFonts w:ascii="Arial" w:eastAsia="Calibri" w:hAnsi="Arial" w:cs="Arial"/>
          <w:color w:val="002060"/>
          <w:sz w:val="28"/>
          <w:szCs w:val="28"/>
          <w:lang w:eastAsia="es-ES"/>
        </w:rPr>
        <w:t>los derechos procesales del imputado.</w:t>
      </w:r>
    </w:p>
    <w:p w14:paraId="6C48BB32" w14:textId="77777777" w:rsidR="005201F9" w:rsidRPr="005201F9" w:rsidRDefault="005201F9" w:rsidP="005201F9">
      <w:pPr>
        <w:pStyle w:val="Prrafodelista"/>
        <w:spacing w:line="240" w:lineRule="atLeast"/>
        <w:ind w:left="360"/>
        <w:jc w:val="both"/>
        <w:rPr>
          <w:rFonts w:ascii="Arial" w:eastAsia="Calibri" w:hAnsi="Arial" w:cs="Arial"/>
          <w:color w:val="002060"/>
          <w:sz w:val="28"/>
          <w:szCs w:val="28"/>
          <w:lang w:eastAsia="es-ES"/>
        </w:rPr>
      </w:pPr>
    </w:p>
    <w:p w14:paraId="0912351F" w14:textId="703F31F9" w:rsidR="00F46E03" w:rsidRPr="00453611" w:rsidRDefault="00DB3A16" w:rsidP="00310482">
      <w:pPr>
        <w:pStyle w:val="Prrafodelista"/>
        <w:numPr>
          <w:ilvl w:val="0"/>
          <w:numId w:val="11"/>
        </w:numPr>
        <w:spacing w:line="240" w:lineRule="atLeast"/>
        <w:jc w:val="both"/>
        <w:rPr>
          <w:rFonts w:ascii="Arial" w:eastAsia="Calibri" w:hAnsi="Arial" w:cs="Arial"/>
          <w:color w:val="002060"/>
          <w:sz w:val="28"/>
          <w:szCs w:val="28"/>
          <w:lang w:eastAsia="es-ES"/>
        </w:rPr>
      </w:pPr>
      <w:r>
        <w:rPr>
          <w:rFonts w:ascii="Times New Roman" w:eastAsia="Calibri" w:hAnsi="Times New Roman" w:cs="Times New Roman"/>
          <w:color w:val="002060"/>
          <w:sz w:val="28"/>
          <w:szCs w:val="28"/>
          <w:u w:val="single"/>
          <w:lang w:eastAsia="es-ES"/>
        </w:rPr>
        <w:t xml:space="preserve">EN </w:t>
      </w:r>
      <w:r w:rsidR="00A748E1" w:rsidRPr="00453611">
        <w:rPr>
          <w:rFonts w:ascii="Times New Roman" w:eastAsia="Calibri" w:hAnsi="Times New Roman" w:cs="Times New Roman"/>
          <w:color w:val="002060"/>
          <w:sz w:val="28"/>
          <w:szCs w:val="28"/>
          <w:u w:val="single"/>
          <w:lang w:eastAsia="es-ES"/>
        </w:rPr>
        <w:t>LA INSTRUCTIVA DE CARGOS</w:t>
      </w:r>
      <w:r w:rsidR="00BB4457" w:rsidRPr="00453611">
        <w:rPr>
          <w:rFonts w:ascii="Times New Roman" w:eastAsia="Calibri" w:hAnsi="Times New Roman" w:cs="Times New Roman"/>
          <w:color w:val="002060"/>
          <w:sz w:val="28"/>
          <w:szCs w:val="28"/>
          <w:u w:val="single"/>
          <w:lang w:eastAsia="es-ES"/>
        </w:rPr>
        <w:t xml:space="preserve"> </w:t>
      </w:r>
      <w:r w:rsidR="00C83433">
        <w:rPr>
          <w:rFonts w:ascii="Times New Roman" w:eastAsia="Calibri" w:hAnsi="Times New Roman" w:cs="Times New Roman"/>
          <w:color w:val="002060"/>
          <w:sz w:val="28"/>
          <w:szCs w:val="28"/>
          <w:u w:val="single"/>
          <w:lang w:eastAsia="es-ES"/>
        </w:rPr>
        <w:t>y en la</w:t>
      </w:r>
      <w:r w:rsidR="003D3F97">
        <w:rPr>
          <w:rFonts w:ascii="Times New Roman" w:eastAsia="Calibri" w:hAnsi="Times New Roman" w:cs="Times New Roman"/>
          <w:color w:val="002060"/>
          <w:sz w:val="28"/>
          <w:szCs w:val="28"/>
          <w:u w:val="single"/>
          <w:lang w:eastAsia="es-ES"/>
        </w:rPr>
        <w:t xml:space="preserve"> </w:t>
      </w:r>
      <w:r w:rsidR="00BB4457" w:rsidRPr="00453611">
        <w:rPr>
          <w:rFonts w:ascii="Times New Roman" w:eastAsia="Calibri" w:hAnsi="Times New Roman" w:cs="Times New Roman"/>
          <w:color w:val="002060"/>
          <w:sz w:val="28"/>
          <w:szCs w:val="28"/>
          <w:u w:val="single"/>
          <w:lang w:eastAsia="es-ES"/>
        </w:rPr>
        <w:t>LECTURA DE SUS DERECHOS</w:t>
      </w:r>
      <w:r w:rsidR="00A748E1" w:rsidRPr="00453611">
        <w:rPr>
          <w:rFonts w:ascii="Arial" w:eastAsia="Calibri" w:hAnsi="Arial" w:cs="Arial"/>
          <w:color w:val="002060"/>
          <w:sz w:val="28"/>
          <w:szCs w:val="28"/>
          <w:lang w:eastAsia="es-ES"/>
        </w:rPr>
        <w:t xml:space="preserve"> </w:t>
      </w:r>
      <w:r w:rsidR="00F46E03" w:rsidRPr="00453611">
        <w:rPr>
          <w:rFonts w:ascii="Arial" w:eastAsia="Calibri" w:hAnsi="Arial" w:cs="Arial"/>
          <w:color w:val="002060"/>
          <w:sz w:val="28"/>
          <w:szCs w:val="28"/>
          <w:lang w:eastAsia="es-ES"/>
        </w:rPr>
        <w:t>(artículos 129.2 y 130</w:t>
      </w:r>
      <w:r w:rsidR="00E460E3">
        <w:rPr>
          <w:rFonts w:ascii="Arial" w:eastAsia="Calibri" w:hAnsi="Arial" w:cs="Arial"/>
          <w:color w:val="002060"/>
          <w:sz w:val="28"/>
          <w:szCs w:val="28"/>
          <w:lang w:eastAsia="es-ES"/>
        </w:rPr>
        <w:t>, respectivamente,</w:t>
      </w:r>
      <w:r w:rsidR="00F46E03" w:rsidRPr="00453611">
        <w:rPr>
          <w:rFonts w:ascii="Arial" w:eastAsia="Calibri" w:hAnsi="Arial" w:cs="Arial"/>
          <w:color w:val="002060"/>
          <w:sz w:val="28"/>
          <w:szCs w:val="28"/>
          <w:lang w:eastAsia="es-ES"/>
        </w:rPr>
        <w:t xml:space="preserve"> de la Ley del Proceso Penal):</w:t>
      </w:r>
    </w:p>
    <w:p w14:paraId="1A8C9120"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26D7604B" w14:textId="7A6B38F1" w:rsidR="00190945" w:rsidRDefault="00190945" w:rsidP="00400C2C">
      <w:pPr>
        <w:pStyle w:val="Prrafodelista"/>
        <w:numPr>
          <w:ilvl w:val="0"/>
          <w:numId w:val="12"/>
        </w:numPr>
        <w:spacing w:line="240" w:lineRule="atLeast"/>
        <w:ind w:left="714" w:hanging="357"/>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Por tomarle declaración como testigo, conociéndose de antemano que es el presunto responsable del delito investigado. En este caso, el individuo es sometido a un fuero procesal impropio, que implica obligarlo a d</w:t>
      </w:r>
      <w:r w:rsidR="00C80F91">
        <w:rPr>
          <w:rFonts w:ascii="Arial" w:eastAsia="Calibri" w:hAnsi="Arial" w:cs="Arial"/>
          <w:color w:val="002060"/>
          <w:sz w:val="28"/>
          <w:szCs w:val="28"/>
          <w:lang w:eastAsia="es-ES"/>
        </w:rPr>
        <w:t>ecir</w:t>
      </w:r>
      <w:r>
        <w:rPr>
          <w:rFonts w:ascii="Arial" w:eastAsia="Calibri" w:hAnsi="Arial" w:cs="Arial"/>
          <w:color w:val="002060"/>
          <w:sz w:val="28"/>
          <w:szCs w:val="28"/>
          <w:lang w:eastAsia="es-ES"/>
        </w:rPr>
        <w:t xml:space="preserve"> la verdad so pena de incurrir en responsabilidad penal (artículo 264 de la Ley del Proceso Penal); en otras palabras, </w:t>
      </w:r>
      <w:r w:rsidR="005C3A1C">
        <w:rPr>
          <w:rFonts w:ascii="Arial" w:eastAsia="Calibri" w:hAnsi="Arial" w:cs="Arial"/>
          <w:color w:val="002060"/>
          <w:sz w:val="28"/>
          <w:szCs w:val="28"/>
          <w:lang w:eastAsia="es-ES"/>
        </w:rPr>
        <w:t xml:space="preserve">significa </w:t>
      </w:r>
      <w:r>
        <w:rPr>
          <w:rFonts w:ascii="Arial" w:eastAsia="Calibri" w:hAnsi="Arial" w:cs="Arial"/>
          <w:color w:val="002060"/>
          <w:sz w:val="28"/>
          <w:szCs w:val="28"/>
          <w:lang w:eastAsia="es-ES"/>
        </w:rPr>
        <w:t>coaccionarlo para que confiese un hecho del que se supone responsable, o que realmente cometió</w:t>
      </w:r>
      <w:r w:rsidR="00C80F91">
        <w:rPr>
          <w:rFonts w:ascii="Arial" w:eastAsia="Calibri" w:hAnsi="Arial" w:cs="Arial"/>
          <w:color w:val="002060"/>
          <w:sz w:val="28"/>
          <w:szCs w:val="28"/>
          <w:lang w:eastAsia="es-ES"/>
        </w:rPr>
        <w:t>, en lugar de instruirlo de cargos y tomarle declaración como imputado</w:t>
      </w:r>
      <w:r>
        <w:rPr>
          <w:rFonts w:ascii="Arial" w:eastAsia="Calibri" w:hAnsi="Arial" w:cs="Arial"/>
          <w:color w:val="002060"/>
          <w:sz w:val="28"/>
          <w:szCs w:val="28"/>
          <w:lang w:eastAsia="es-ES"/>
        </w:rPr>
        <w:t xml:space="preserve">. Con ello se viola lo establecido en </w:t>
      </w:r>
      <w:r w:rsidR="00EA1141">
        <w:rPr>
          <w:rFonts w:ascii="Arial" w:eastAsia="Calibri" w:hAnsi="Arial" w:cs="Arial"/>
          <w:color w:val="002060"/>
          <w:sz w:val="28"/>
          <w:szCs w:val="28"/>
          <w:lang w:eastAsia="es-ES"/>
        </w:rPr>
        <w:t xml:space="preserve">los </w:t>
      </w:r>
      <w:r>
        <w:rPr>
          <w:rFonts w:ascii="Arial" w:eastAsia="Calibri" w:hAnsi="Arial" w:cs="Arial"/>
          <w:color w:val="002060"/>
          <w:sz w:val="28"/>
          <w:szCs w:val="28"/>
          <w:lang w:eastAsia="es-ES"/>
        </w:rPr>
        <w:t>artículo</w:t>
      </w:r>
      <w:r w:rsidR="00EA1141">
        <w:rPr>
          <w:rFonts w:ascii="Arial" w:eastAsia="Calibri" w:hAnsi="Arial" w:cs="Arial"/>
          <w:color w:val="002060"/>
          <w:sz w:val="28"/>
          <w:szCs w:val="28"/>
          <w:lang w:eastAsia="es-ES"/>
        </w:rPr>
        <w:t>s</w:t>
      </w:r>
      <w:r>
        <w:rPr>
          <w:rFonts w:ascii="Arial" w:eastAsia="Calibri" w:hAnsi="Arial" w:cs="Arial"/>
          <w:color w:val="002060"/>
          <w:sz w:val="28"/>
          <w:szCs w:val="28"/>
          <w:lang w:eastAsia="es-ES"/>
        </w:rPr>
        <w:t xml:space="preserve"> </w:t>
      </w:r>
      <w:r w:rsidR="00EA1141">
        <w:rPr>
          <w:rFonts w:ascii="Arial" w:eastAsia="Calibri" w:hAnsi="Arial" w:cs="Arial"/>
          <w:color w:val="002060"/>
          <w:sz w:val="28"/>
          <w:szCs w:val="28"/>
          <w:lang w:eastAsia="es-ES"/>
        </w:rPr>
        <w:t>95 d)</w:t>
      </w:r>
      <w:r w:rsidR="008D1241" w:rsidRPr="008D1241">
        <w:rPr>
          <w:rStyle w:val="Refdenotaalpie"/>
          <w:rFonts w:ascii="Arial" w:eastAsia="Calibri" w:hAnsi="Arial" w:cs="Arial"/>
          <w:color w:val="002060"/>
          <w:sz w:val="28"/>
          <w:szCs w:val="28"/>
          <w:lang w:eastAsia="es-ES"/>
        </w:rPr>
        <w:t xml:space="preserve"> </w:t>
      </w:r>
      <w:r w:rsidR="008D1241">
        <w:rPr>
          <w:rStyle w:val="Refdenotaalpie"/>
          <w:rFonts w:ascii="Arial" w:eastAsia="Calibri" w:hAnsi="Arial" w:cs="Arial"/>
          <w:color w:val="002060"/>
          <w:sz w:val="28"/>
          <w:szCs w:val="28"/>
          <w:lang w:eastAsia="es-ES"/>
        </w:rPr>
        <w:footnoteReference w:id="7"/>
      </w:r>
      <w:r w:rsidR="00EA1141">
        <w:rPr>
          <w:rFonts w:ascii="Arial" w:eastAsia="Calibri" w:hAnsi="Arial" w:cs="Arial"/>
          <w:color w:val="002060"/>
          <w:sz w:val="28"/>
          <w:szCs w:val="28"/>
          <w:lang w:eastAsia="es-ES"/>
        </w:rPr>
        <w:t xml:space="preserve"> e)</w:t>
      </w:r>
      <w:r w:rsidR="008D1241">
        <w:rPr>
          <w:rStyle w:val="Refdenotaalpie"/>
          <w:rFonts w:ascii="Arial" w:eastAsia="Calibri" w:hAnsi="Arial" w:cs="Arial"/>
          <w:color w:val="002060"/>
          <w:sz w:val="28"/>
          <w:szCs w:val="28"/>
          <w:lang w:eastAsia="es-ES"/>
        </w:rPr>
        <w:footnoteReference w:id="8"/>
      </w:r>
      <w:r w:rsidR="00EA1141">
        <w:rPr>
          <w:rFonts w:ascii="Arial" w:eastAsia="Calibri" w:hAnsi="Arial" w:cs="Arial"/>
          <w:color w:val="002060"/>
          <w:sz w:val="28"/>
          <w:szCs w:val="28"/>
          <w:lang w:eastAsia="es-ES"/>
        </w:rPr>
        <w:t xml:space="preserve"> y f)</w:t>
      </w:r>
      <w:r w:rsidR="008D1241">
        <w:rPr>
          <w:rStyle w:val="Refdenotaalpie"/>
          <w:rFonts w:ascii="Arial" w:eastAsia="Calibri" w:hAnsi="Arial" w:cs="Arial"/>
          <w:color w:val="002060"/>
          <w:sz w:val="28"/>
          <w:szCs w:val="28"/>
          <w:lang w:eastAsia="es-ES"/>
        </w:rPr>
        <w:footnoteReference w:id="9"/>
      </w:r>
      <w:r w:rsidR="00EA1141">
        <w:rPr>
          <w:rFonts w:ascii="Arial" w:eastAsia="Calibri" w:hAnsi="Arial" w:cs="Arial"/>
          <w:color w:val="002060"/>
          <w:sz w:val="28"/>
          <w:szCs w:val="28"/>
          <w:lang w:eastAsia="es-ES"/>
        </w:rPr>
        <w:t xml:space="preserve"> de la Constitución</w:t>
      </w:r>
      <w:r w:rsidR="00A66F23">
        <w:rPr>
          <w:rFonts w:ascii="Arial" w:eastAsia="Calibri" w:hAnsi="Arial" w:cs="Arial"/>
          <w:color w:val="002060"/>
          <w:sz w:val="28"/>
          <w:szCs w:val="28"/>
          <w:lang w:eastAsia="es-ES"/>
        </w:rPr>
        <w:t xml:space="preserve">; así como lo preceptuado en los artículos </w:t>
      </w:r>
      <w:r w:rsidR="005C3A1C">
        <w:rPr>
          <w:rFonts w:ascii="Arial" w:eastAsia="Calibri" w:hAnsi="Arial" w:cs="Arial"/>
          <w:color w:val="002060"/>
          <w:sz w:val="28"/>
          <w:szCs w:val="28"/>
          <w:lang w:eastAsia="es-ES"/>
        </w:rPr>
        <w:t xml:space="preserve">7 </w:t>
      </w:r>
      <w:r w:rsidR="00A66F23">
        <w:rPr>
          <w:rFonts w:ascii="Arial" w:eastAsia="Calibri" w:hAnsi="Arial" w:cs="Arial"/>
          <w:color w:val="002060"/>
          <w:sz w:val="28"/>
          <w:szCs w:val="28"/>
          <w:lang w:eastAsia="es-ES"/>
        </w:rPr>
        <w:t xml:space="preserve">y </w:t>
      </w:r>
      <w:r w:rsidR="008D1241">
        <w:rPr>
          <w:rFonts w:ascii="Arial" w:eastAsia="Calibri" w:hAnsi="Arial" w:cs="Arial"/>
          <w:color w:val="002060"/>
          <w:sz w:val="28"/>
          <w:szCs w:val="28"/>
          <w:lang w:eastAsia="es-ES"/>
        </w:rPr>
        <w:t xml:space="preserve">129 </w:t>
      </w:r>
      <w:r w:rsidR="005C3A1C">
        <w:rPr>
          <w:rFonts w:ascii="Arial" w:eastAsia="Calibri" w:hAnsi="Arial" w:cs="Arial"/>
          <w:color w:val="002060"/>
          <w:sz w:val="28"/>
          <w:szCs w:val="28"/>
          <w:lang w:eastAsia="es-ES"/>
        </w:rPr>
        <w:t>de la Ley del Proceso Penal</w:t>
      </w:r>
      <w:r w:rsidR="00400C2C">
        <w:rPr>
          <w:rFonts w:ascii="Arial" w:eastAsia="Calibri" w:hAnsi="Arial" w:cs="Arial"/>
          <w:color w:val="002060"/>
          <w:sz w:val="28"/>
          <w:szCs w:val="28"/>
          <w:lang w:eastAsia="es-ES"/>
        </w:rPr>
        <w:t>. Debe disponerse la nulidad absoluta de la declaración de testigo.</w:t>
      </w:r>
    </w:p>
    <w:p w14:paraId="22DF4A96" w14:textId="77777777" w:rsidR="00190945" w:rsidRDefault="00190945" w:rsidP="00190945">
      <w:pPr>
        <w:pStyle w:val="Prrafodelista"/>
        <w:spacing w:line="240" w:lineRule="atLeast"/>
        <w:jc w:val="both"/>
        <w:rPr>
          <w:rFonts w:ascii="Arial" w:eastAsia="Calibri" w:hAnsi="Arial" w:cs="Arial"/>
          <w:color w:val="002060"/>
          <w:sz w:val="28"/>
          <w:szCs w:val="28"/>
          <w:lang w:eastAsia="es-ES"/>
        </w:rPr>
      </w:pPr>
    </w:p>
    <w:p w14:paraId="1DA82835" w14:textId="4E4A63B4"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Por realizarse </w:t>
      </w:r>
      <w:r w:rsidR="003E6F61">
        <w:rPr>
          <w:rFonts w:ascii="Arial" w:eastAsia="Calibri" w:hAnsi="Arial" w:cs="Arial"/>
          <w:color w:val="002060"/>
          <w:sz w:val="28"/>
          <w:szCs w:val="28"/>
          <w:lang w:eastAsia="es-ES"/>
        </w:rPr>
        <w:t xml:space="preserve">la instructiva de cargos </w:t>
      </w:r>
      <w:r w:rsidRPr="00453611">
        <w:rPr>
          <w:rFonts w:ascii="Arial" w:eastAsia="Calibri" w:hAnsi="Arial" w:cs="Arial"/>
          <w:color w:val="002060"/>
          <w:sz w:val="28"/>
          <w:szCs w:val="28"/>
          <w:lang w:eastAsia="es-ES"/>
        </w:rPr>
        <w:t>después de la primera declaración del imputado.</w:t>
      </w:r>
      <w:r w:rsidR="00B50588" w:rsidRPr="00453611">
        <w:rPr>
          <w:rFonts w:ascii="Arial" w:eastAsia="Calibri" w:hAnsi="Arial" w:cs="Arial"/>
          <w:color w:val="002060"/>
          <w:sz w:val="28"/>
          <w:szCs w:val="28"/>
          <w:lang w:eastAsia="es-ES"/>
        </w:rPr>
        <w:t xml:space="preserve"> En este supuesto</w:t>
      </w:r>
      <w:r w:rsidR="00A71D7F">
        <w:rPr>
          <w:rFonts w:ascii="Arial" w:eastAsia="Calibri" w:hAnsi="Arial" w:cs="Arial"/>
          <w:color w:val="002060"/>
          <w:sz w:val="28"/>
          <w:szCs w:val="28"/>
          <w:lang w:eastAsia="es-ES"/>
        </w:rPr>
        <w:t>,</w:t>
      </w:r>
      <w:r w:rsidR="00B50588" w:rsidRPr="00453611">
        <w:rPr>
          <w:rFonts w:ascii="Arial" w:eastAsia="Calibri" w:hAnsi="Arial" w:cs="Arial"/>
          <w:color w:val="002060"/>
          <w:sz w:val="28"/>
          <w:szCs w:val="28"/>
          <w:lang w:eastAsia="es-ES"/>
        </w:rPr>
        <w:t xml:space="preserve"> la nulidad absoluta recae sobre la primera declaración del imputado, pues se realizó sin previa instructiva de </w:t>
      </w:r>
      <w:r w:rsidR="00B50588" w:rsidRPr="00453611">
        <w:rPr>
          <w:rFonts w:ascii="Arial" w:eastAsia="Calibri" w:hAnsi="Arial" w:cs="Arial"/>
          <w:color w:val="002060"/>
          <w:sz w:val="28"/>
          <w:szCs w:val="28"/>
          <w:lang w:eastAsia="es-ES"/>
        </w:rPr>
        <w:lastRenderedPageBreak/>
        <w:t>cargos, violando así lo establecido en el artículo 95 f) de la Constitución, y lo dispuesto en los artículos 12.1. 2 y 129 de la Ley del Proceso Penal</w:t>
      </w:r>
      <w:r w:rsidR="00125378">
        <w:rPr>
          <w:rStyle w:val="Refdenotaalpie"/>
          <w:rFonts w:ascii="Arial" w:eastAsia="Calibri" w:hAnsi="Arial" w:cs="Arial"/>
          <w:color w:val="002060"/>
          <w:sz w:val="28"/>
          <w:szCs w:val="28"/>
          <w:lang w:eastAsia="es-ES"/>
        </w:rPr>
        <w:footnoteReference w:id="10"/>
      </w:r>
      <w:r w:rsidR="00B50588" w:rsidRPr="00453611">
        <w:rPr>
          <w:rFonts w:ascii="Arial" w:eastAsia="Calibri" w:hAnsi="Arial" w:cs="Arial"/>
          <w:color w:val="002060"/>
          <w:sz w:val="28"/>
          <w:szCs w:val="28"/>
          <w:lang w:eastAsia="es-ES"/>
        </w:rPr>
        <w:t>.</w:t>
      </w:r>
    </w:p>
    <w:p w14:paraId="571B39D7"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4A86DCF9" w14:textId="51F207B9"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Por omitir </w:t>
      </w:r>
      <w:r w:rsidR="00027708">
        <w:rPr>
          <w:rFonts w:ascii="Arial" w:eastAsia="Calibri" w:hAnsi="Arial" w:cs="Arial"/>
          <w:color w:val="002060"/>
          <w:sz w:val="28"/>
          <w:szCs w:val="28"/>
          <w:lang w:eastAsia="es-ES"/>
        </w:rPr>
        <w:t xml:space="preserve">la instructiva de cargos </w:t>
      </w:r>
      <w:r w:rsidRPr="00453611">
        <w:rPr>
          <w:rFonts w:ascii="Arial" w:eastAsia="Calibri" w:hAnsi="Arial" w:cs="Arial"/>
          <w:color w:val="002060"/>
          <w:sz w:val="28"/>
          <w:szCs w:val="28"/>
          <w:lang w:eastAsia="es-ES"/>
        </w:rPr>
        <w:t>los hechos que se imputan. En estos casos</w:t>
      </w:r>
      <w:r w:rsidR="00027708">
        <w:rPr>
          <w:rFonts w:ascii="Arial" w:eastAsia="Calibri" w:hAnsi="Arial" w:cs="Arial"/>
          <w:color w:val="002060"/>
          <w:sz w:val="28"/>
          <w:szCs w:val="28"/>
          <w:lang w:eastAsia="es-ES"/>
        </w:rPr>
        <w:t>,</w:t>
      </w:r>
      <w:r w:rsidRPr="00453611">
        <w:rPr>
          <w:rFonts w:ascii="Arial" w:eastAsia="Calibri" w:hAnsi="Arial" w:cs="Arial"/>
          <w:color w:val="002060"/>
          <w:sz w:val="28"/>
          <w:szCs w:val="28"/>
          <w:lang w:eastAsia="es-ES"/>
        </w:rPr>
        <w:t xml:space="preserve"> el espacio que el modelo le asigna a los hechos está en blanco. </w:t>
      </w:r>
      <w:r w:rsidR="002750B8" w:rsidRPr="00453611">
        <w:rPr>
          <w:rFonts w:ascii="Arial" w:eastAsia="Calibri" w:hAnsi="Arial" w:cs="Arial"/>
          <w:color w:val="002060"/>
          <w:sz w:val="28"/>
          <w:szCs w:val="28"/>
          <w:lang w:eastAsia="es-ES"/>
        </w:rPr>
        <w:t xml:space="preserve">Se viola </w:t>
      </w:r>
      <w:r w:rsidR="00B50588" w:rsidRPr="00453611">
        <w:rPr>
          <w:rFonts w:ascii="Arial" w:eastAsia="Calibri" w:hAnsi="Arial" w:cs="Arial"/>
          <w:color w:val="002060"/>
          <w:sz w:val="28"/>
          <w:szCs w:val="28"/>
          <w:lang w:eastAsia="es-ES"/>
        </w:rPr>
        <w:t xml:space="preserve">lo establecido en el artículo 129.2 de la Ley del Proceso Penal y </w:t>
      </w:r>
      <w:r w:rsidR="002750B8" w:rsidRPr="00453611">
        <w:rPr>
          <w:rFonts w:ascii="Arial" w:eastAsia="Calibri" w:hAnsi="Arial" w:cs="Arial"/>
          <w:color w:val="002060"/>
          <w:sz w:val="28"/>
          <w:szCs w:val="28"/>
          <w:lang w:eastAsia="es-ES"/>
        </w:rPr>
        <w:t xml:space="preserve">en </w:t>
      </w:r>
      <w:r w:rsidR="00B50588" w:rsidRPr="00453611">
        <w:rPr>
          <w:rFonts w:ascii="Arial" w:eastAsia="Calibri" w:hAnsi="Arial" w:cs="Arial"/>
          <w:color w:val="002060"/>
          <w:sz w:val="28"/>
          <w:szCs w:val="28"/>
          <w:lang w:eastAsia="es-ES"/>
        </w:rPr>
        <w:t>el 95 f) de la Constitución vigente.</w:t>
      </w:r>
      <w:r w:rsidR="002750B8" w:rsidRPr="00453611">
        <w:rPr>
          <w:rFonts w:ascii="Arial" w:eastAsia="Calibri" w:hAnsi="Arial" w:cs="Arial"/>
          <w:color w:val="002060"/>
          <w:sz w:val="28"/>
          <w:szCs w:val="28"/>
          <w:lang w:eastAsia="es-ES"/>
        </w:rPr>
        <w:t xml:space="preserve"> Nulidad absoluta.</w:t>
      </w:r>
    </w:p>
    <w:p w14:paraId="32D81D91"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27F306BD"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Por atribuirle los hechos a otras personas. Por ejemplo: “…</w:t>
      </w:r>
      <w:r w:rsidRPr="00453611">
        <w:rPr>
          <w:rFonts w:ascii="Times New Roman" w:eastAsia="Calibri" w:hAnsi="Times New Roman" w:cs="Times New Roman"/>
          <w:i/>
          <w:color w:val="002060"/>
          <w:sz w:val="28"/>
          <w:szCs w:val="28"/>
          <w:lang w:eastAsia="es-ES"/>
        </w:rPr>
        <w:t>que personas desconocidas penetraron en la vivienda de la víctima y sustrajeron</w:t>
      </w:r>
      <w:r w:rsidRPr="00453611">
        <w:rPr>
          <w:rFonts w:ascii="Arial" w:eastAsia="Calibri" w:hAnsi="Arial" w:cs="Arial"/>
          <w:color w:val="002060"/>
          <w:sz w:val="28"/>
          <w:szCs w:val="28"/>
          <w:lang w:eastAsia="es-ES"/>
        </w:rPr>
        <w:t>…”</w:t>
      </w:r>
      <w:r w:rsidR="00AC7C85" w:rsidRPr="00453611">
        <w:rPr>
          <w:rFonts w:ascii="Arial" w:eastAsia="Calibri" w:hAnsi="Arial" w:cs="Arial"/>
          <w:color w:val="002060"/>
          <w:sz w:val="28"/>
          <w:szCs w:val="28"/>
          <w:lang w:eastAsia="es-ES"/>
        </w:rPr>
        <w:t>. Ídem al caso anterior.</w:t>
      </w:r>
    </w:p>
    <w:p w14:paraId="315649F1"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565F6EC0"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Por considerar al imputado una víctima de los hechos. Ejemplo: se le imputa “…</w:t>
      </w:r>
      <w:r w:rsidRPr="00453611">
        <w:rPr>
          <w:rFonts w:ascii="Times New Roman" w:eastAsia="Calibri" w:hAnsi="Times New Roman" w:cs="Times New Roman"/>
          <w:i/>
          <w:color w:val="002060"/>
          <w:sz w:val="28"/>
          <w:szCs w:val="28"/>
          <w:lang w:eastAsia="es-ES"/>
        </w:rPr>
        <w:t>que le fue sustraído un reloj y una billetera en fecha</w:t>
      </w:r>
      <w:r w:rsidRPr="00453611">
        <w:rPr>
          <w:rFonts w:ascii="Arial" w:eastAsia="Calibri" w:hAnsi="Arial" w:cs="Arial"/>
          <w:color w:val="002060"/>
          <w:sz w:val="28"/>
          <w:szCs w:val="28"/>
          <w:lang w:eastAsia="es-ES"/>
        </w:rPr>
        <w:t>…”</w:t>
      </w:r>
      <w:r w:rsidR="00AC7C85" w:rsidRPr="00453611">
        <w:rPr>
          <w:rFonts w:ascii="Arial" w:eastAsia="Calibri" w:hAnsi="Arial" w:cs="Arial"/>
          <w:color w:val="002060"/>
          <w:sz w:val="28"/>
          <w:szCs w:val="28"/>
          <w:lang w:eastAsia="es-ES"/>
        </w:rPr>
        <w:t>. Ídem.</w:t>
      </w:r>
    </w:p>
    <w:p w14:paraId="2628B18A"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022FC34B"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Por no consignar todos los hechos que se investigan. </w:t>
      </w:r>
      <w:r w:rsidR="00B66209" w:rsidRPr="00453611">
        <w:rPr>
          <w:rFonts w:ascii="Arial" w:eastAsia="Calibri" w:hAnsi="Arial" w:cs="Arial"/>
          <w:color w:val="002060"/>
          <w:sz w:val="28"/>
          <w:szCs w:val="28"/>
          <w:lang w:eastAsia="es-ES"/>
        </w:rPr>
        <w:t>Ídem.</w:t>
      </w:r>
    </w:p>
    <w:p w14:paraId="7D63C4A5"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777BFB2E"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Por omitir el nombre de la persona que denuncia.</w:t>
      </w:r>
      <w:r w:rsidR="00AC7C85" w:rsidRPr="00453611">
        <w:rPr>
          <w:rFonts w:ascii="Arial" w:eastAsia="Calibri" w:hAnsi="Arial" w:cs="Arial"/>
          <w:color w:val="002060"/>
          <w:sz w:val="28"/>
          <w:szCs w:val="28"/>
          <w:lang w:eastAsia="es-ES"/>
        </w:rPr>
        <w:t xml:space="preserve"> Se viola </w:t>
      </w:r>
      <w:r w:rsidR="00D6005A" w:rsidRPr="00453611">
        <w:rPr>
          <w:rFonts w:ascii="Arial" w:eastAsia="Calibri" w:hAnsi="Arial" w:cs="Arial"/>
          <w:color w:val="002060"/>
          <w:sz w:val="28"/>
          <w:szCs w:val="28"/>
          <w:lang w:eastAsia="es-ES"/>
        </w:rPr>
        <w:t xml:space="preserve">aquí </w:t>
      </w:r>
      <w:r w:rsidR="00AC7C85" w:rsidRPr="00453611">
        <w:rPr>
          <w:rFonts w:ascii="Arial" w:eastAsia="Calibri" w:hAnsi="Arial" w:cs="Arial"/>
          <w:color w:val="002060"/>
          <w:sz w:val="28"/>
          <w:szCs w:val="28"/>
          <w:lang w:eastAsia="es-ES"/>
        </w:rPr>
        <w:t xml:space="preserve">lo establecido en el inciso 2 del artículo 129 de la Ley del Proceso Penal. En estos casos debe verificarse si la omisión obedece a que nunca se le informó al imputado, o a que el actuante olvidó consignarlo en la instructiva, aunque sí </w:t>
      </w:r>
      <w:r w:rsidR="00810547" w:rsidRPr="00453611">
        <w:rPr>
          <w:rFonts w:ascii="Arial" w:eastAsia="Calibri" w:hAnsi="Arial" w:cs="Arial"/>
          <w:color w:val="002060"/>
          <w:sz w:val="28"/>
          <w:szCs w:val="28"/>
          <w:lang w:eastAsia="es-ES"/>
        </w:rPr>
        <w:t>lo comunicó a</w:t>
      </w:r>
      <w:r w:rsidR="00AC7C85" w:rsidRPr="00453611">
        <w:rPr>
          <w:rFonts w:ascii="Arial" w:eastAsia="Calibri" w:hAnsi="Arial" w:cs="Arial"/>
          <w:color w:val="002060"/>
          <w:sz w:val="28"/>
          <w:szCs w:val="28"/>
          <w:lang w:eastAsia="es-ES"/>
        </w:rPr>
        <w:t xml:space="preserve">l imputado. En el primer caso, procede disponer una nulidad relativa de la instructiva de cargos, tras lo cual </w:t>
      </w:r>
      <w:r w:rsidR="00810547" w:rsidRPr="00453611">
        <w:rPr>
          <w:rFonts w:ascii="Arial" w:eastAsia="Calibri" w:hAnsi="Arial" w:cs="Arial"/>
          <w:color w:val="002060"/>
          <w:sz w:val="28"/>
          <w:szCs w:val="28"/>
          <w:lang w:eastAsia="es-ES"/>
        </w:rPr>
        <w:t xml:space="preserve">esta </w:t>
      </w:r>
      <w:r w:rsidR="00AC7C85" w:rsidRPr="00453611">
        <w:rPr>
          <w:rFonts w:ascii="Arial" w:eastAsia="Calibri" w:hAnsi="Arial" w:cs="Arial"/>
          <w:color w:val="002060"/>
          <w:sz w:val="28"/>
          <w:szCs w:val="28"/>
          <w:lang w:eastAsia="es-ES"/>
        </w:rPr>
        <w:t xml:space="preserve">debe realizarse nuevamente. En el segundo caso, procede subsanar la diligencia tomándole una declaración al acusado para que aclare que sí fue informado </w:t>
      </w:r>
      <w:r w:rsidR="00810547" w:rsidRPr="00453611">
        <w:rPr>
          <w:rFonts w:ascii="Arial" w:eastAsia="Calibri" w:hAnsi="Arial" w:cs="Arial"/>
          <w:color w:val="002060"/>
          <w:sz w:val="28"/>
          <w:szCs w:val="28"/>
          <w:lang w:eastAsia="es-ES"/>
        </w:rPr>
        <w:t xml:space="preserve">sobre </w:t>
      </w:r>
      <w:r w:rsidR="00AC7C85" w:rsidRPr="00453611">
        <w:rPr>
          <w:rFonts w:ascii="Arial" w:eastAsia="Calibri" w:hAnsi="Arial" w:cs="Arial"/>
          <w:color w:val="002060"/>
          <w:sz w:val="28"/>
          <w:szCs w:val="28"/>
          <w:lang w:eastAsia="es-ES"/>
        </w:rPr>
        <w:t>la persona que denunció el hecho.</w:t>
      </w:r>
    </w:p>
    <w:p w14:paraId="6A60139C"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02DD4A47"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Por omitir la calificación jurídica de los hechos.</w:t>
      </w:r>
      <w:r w:rsidR="00AB5484" w:rsidRPr="00453611">
        <w:rPr>
          <w:rFonts w:ascii="Arial" w:eastAsia="Calibri" w:hAnsi="Arial" w:cs="Arial"/>
          <w:color w:val="002060"/>
          <w:sz w:val="28"/>
          <w:szCs w:val="28"/>
          <w:lang w:eastAsia="es-ES"/>
        </w:rPr>
        <w:t xml:space="preserve"> Ídem al supuesto anterior.</w:t>
      </w:r>
    </w:p>
    <w:p w14:paraId="7E7729E8"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3C8F9841"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Por omitir los elementos de prueba que sustentan la imputación.</w:t>
      </w:r>
      <w:r w:rsidR="00AB5484" w:rsidRPr="00453611">
        <w:rPr>
          <w:rFonts w:ascii="Arial" w:eastAsia="Calibri" w:hAnsi="Arial" w:cs="Arial"/>
          <w:color w:val="002060"/>
          <w:sz w:val="28"/>
          <w:szCs w:val="28"/>
          <w:lang w:eastAsia="es-ES"/>
        </w:rPr>
        <w:t xml:space="preserve"> Ídem</w:t>
      </w:r>
      <w:r w:rsidR="00525014" w:rsidRPr="00453611">
        <w:rPr>
          <w:rFonts w:ascii="Arial" w:eastAsia="Calibri" w:hAnsi="Arial" w:cs="Arial"/>
          <w:color w:val="002060"/>
          <w:sz w:val="28"/>
          <w:szCs w:val="28"/>
          <w:lang w:eastAsia="es-ES"/>
        </w:rPr>
        <w:t>.</w:t>
      </w:r>
    </w:p>
    <w:p w14:paraId="6BD0C077"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427480AE" w14:textId="77777777" w:rsidR="00F46E03" w:rsidRPr="00453611"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Por referirse a tales elementos de forma en extremo genérica. Por ejemplo: “…</w:t>
      </w:r>
      <w:r w:rsidRPr="00453611">
        <w:rPr>
          <w:rFonts w:ascii="Times New Roman" w:eastAsia="Calibri" w:hAnsi="Times New Roman" w:cs="Times New Roman"/>
          <w:i/>
          <w:color w:val="002060"/>
          <w:sz w:val="28"/>
          <w:szCs w:val="28"/>
          <w:lang w:eastAsia="es-ES"/>
        </w:rPr>
        <w:t>declaraciones de testigos y peritajes</w:t>
      </w:r>
      <w:r w:rsidRPr="00453611">
        <w:rPr>
          <w:rFonts w:ascii="Arial" w:eastAsia="Calibri" w:hAnsi="Arial" w:cs="Arial"/>
          <w:color w:val="002060"/>
          <w:sz w:val="28"/>
          <w:szCs w:val="28"/>
          <w:lang w:eastAsia="es-ES"/>
        </w:rPr>
        <w:t>…”</w:t>
      </w:r>
      <w:r w:rsidR="00190A74" w:rsidRPr="00453611">
        <w:rPr>
          <w:rStyle w:val="Refdenotaalpie"/>
          <w:rFonts w:ascii="Arial" w:eastAsia="Calibri" w:hAnsi="Arial" w:cs="Arial"/>
          <w:color w:val="002060"/>
          <w:sz w:val="28"/>
          <w:szCs w:val="28"/>
          <w:lang w:eastAsia="es-ES"/>
        </w:rPr>
        <w:footnoteReference w:id="11"/>
      </w:r>
      <w:r w:rsidR="00525014" w:rsidRPr="00453611">
        <w:rPr>
          <w:rFonts w:ascii="Arial" w:eastAsia="Calibri" w:hAnsi="Arial" w:cs="Arial"/>
          <w:color w:val="002060"/>
          <w:sz w:val="28"/>
          <w:szCs w:val="28"/>
          <w:lang w:eastAsia="es-ES"/>
        </w:rPr>
        <w:t xml:space="preserve">. </w:t>
      </w:r>
    </w:p>
    <w:p w14:paraId="0A7958F9" w14:textId="77777777" w:rsidR="002750B8" w:rsidRPr="00453611" w:rsidRDefault="002750B8" w:rsidP="00310482">
      <w:pPr>
        <w:pStyle w:val="Prrafodelista"/>
        <w:spacing w:line="240" w:lineRule="atLeast"/>
        <w:jc w:val="both"/>
        <w:rPr>
          <w:rFonts w:ascii="Arial" w:eastAsia="Calibri" w:hAnsi="Arial" w:cs="Arial"/>
          <w:color w:val="002060"/>
          <w:sz w:val="28"/>
          <w:szCs w:val="28"/>
          <w:lang w:eastAsia="es-ES"/>
        </w:rPr>
      </w:pPr>
    </w:p>
    <w:p w14:paraId="6C57000D" w14:textId="6B7E6178" w:rsidR="00F46E03" w:rsidRDefault="00F46E03"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lastRenderedPageBreak/>
        <w:t>Por no dejar clara constancia de que el imputado fue informado de los derechos regulados en el artículo 130.1 de la Ley del Proceso Penal, o de los relacionados en el inciso 2 del propio artículo, cuando el imputado tiene 16 años y menos de 18. En estos casos, el modelo suele decir que al imputado se le apercibe de los derechos regulados en el artículo 130.1 o 2 –según los casos- de la Ley del Proceso Penal</w:t>
      </w:r>
      <w:r w:rsidR="001D6DBF">
        <w:rPr>
          <w:rFonts w:ascii="Arial" w:eastAsia="Calibri" w:hAnsi="Arial" w:cs="Arial"/>
          <w:color w:val="002060"/>
          <w:sz w:val="28"/>
          <w:szCs w:val="28"/>
          <w:lang w:eastAsia="es-ES"/>
        </w:rPr>
        <w:t>, sin que tal apercibimiento asegure que así ocurrió realmente</w:t>
      </w:r>
      <w:r w:rsidRPr="00453611">
        <w:rPr>
          <w:rFonts w:ascii="Arial" w:eastAsia="Calibri" w:hAnsi="Arial" w:cs="Arial"/>
          <w:color w:val="002060"/>
          <w:sz w:val="28"/>
          <w:szCs w:val="28"/>
          <w:lang w:eastAsia="es-ES"/>
        </w:rPr>
        <w:t>.</w:t>
      </w:r>
      <w:r w:rsidR="00CA6EC3" w:rsidRPr="00453611">
        <w:rPr>
          <w:rFonts w:ascii="Arial" w:eastAsia="Calibri" w:hAnsi="Arial" w:cs="Arial"/>
          <w:color w:val="002060"/>
          <w:sz w:val="28"/>
          <w:szCs w:val="28"/>
          <w:lang w:eastAsia="es-ES"/>
        </w:rPr>
        <w:t xml:space="preserve"> Ídem a los casos anteriores.</w:t>
      </w:r>
    </w:p>
    <w:p w14:paraId="133B0187" w14:textId="77777777" w:rsidR="009225D7" w:rsidRPr="009225D7" w:rsidRDefault="009225D7" w:rsidP="009225D7">
      <w:pPr>
        <w:pStyle w:val="Prrafodelista"/>
        <w:rPr>
          <w:rFonts w:ascii="Arial" w:eastAsia="Calibri" w:hAnsi="Arial" w:cs="Arial"/>
          <w:color w:val="002060"/>
          <w:sz w:val="28"/>
          <w:szCs w:val="28"/>
          <w:lang w:eastAsia="es-ES"/>
        </w:rPr>
      </w:pPr>
    </w:p>
    <w:p w14:paraId="1D20ED44" w14:textId="79E829E7" w:rsidR="009225D7" w:rsidRPr="006C4C99" w:rsidRDefault="00F15499" w:rsidP="00310482">
      <w:pPr>
        <w:pStyle w:val="Prrafodelista"/>
        <w:numPr>
          <w:ilvl w:val="0"/>
          <w:numId w:val="12"/>
        </w:numPr>
        <w:spacing w:line="240" w:lineRule="atLeast"/>
        <w:jc w:val="both"/>
        <w:rPr>
          <w:rFonts w:ascii="Arial" w:eastAsia="Calibri" w:hAnsi="Arial" w:cs="Arial"/>
          <w:color w:val="002060"/>
          <w:sz w:val="28"/>
          <w:szCs w:val="28"/>
          <w:lang w:eastAsia="es-ES"/>
        </w:rPr>
      </w:pPr>
      <w:r w:rsidRPr="006C4C99">
        <w:rPr>
          <w:rFonts w:ascii="Arial" w:eastAsia="Calibri" w:hAnsi="Arial" w:cs="Arial"/>
          <w:color w:val="002060"/>
          <w:sz w:val="28"/>
          <w:szCs w:val="28"/>
          <w:lang w:eastAsia="es-ES"/>
        </w:rPr>
        <w:t>No dejar constancia de la traducción</w:t>
      </w:r>
      <w:r w:rsidR="00DB4D84" w:rsidRPr="006C4C99">
        <w:rPr>
          <w:rStyle w:val="Refdenotaalpie"/>
          <w:rFonts w:ascii="Arial" w:eastAsia="Calibri" w:hAnsi="Arial" w:cs="Arial"/>
          <w:color w:val="002060"/>
          <w:sz w:val="28"/>
          <w:szCs w:val="28"/>
          <w:lang w:eastAsia="es-ES"/>
        </w:rPr>
        <w:footnoteReference w:id="12"/>
      </w:r>
      <w:r w:rsidRPr="006C4C99">
        <w:rPr>
          <w:rFonts w:ascii="Arial" w:eastAsia="Calibri" w:hAnsi="Arial" w:cs="Arial"/>
          <w:color w:val="002060"/>
          <w:sz w:val="28"/>
          <w:szCs w:val="28"/>
          <w:lang w:eastAsia="es-ES"/>
        </w:rPr>
        <w:t xml:space="preserve"> </w:t>
      </w:r>
      <w:r w:rsidR="00DC3543" w:rsidRPr="006C4C99">
        <w:rPr>
          <w:rFonts w:ascii="Arial" w:eastAsia="Calibri" w:hAnsi="Arial" w:cs="Arial"/>
          <w:color w:val="002060"/>
          <w:sz w:val="28"/>
          <w:szCs w:val="28"/>
          <w:lang w:eastAsia="es-ES"/>
        </w:rPr>
        <w:t>al idioma hablado por el imputado de diligencias</w:t>
      </w:r>
      <w:r w:rsidR="00DC3543" w:rsidRPr="006C4C99">
        <w:rPr>
          <w:rStyle w:val="Refdenotaalpie"/>
          <w:rFonts w:ascii="Arial" w:eastAsia="Calibri" w:hAnsi="Arial" w:cs="Arial"/>
          <w:color w:val="002060"/>
          <w:sz w:val="28"/>
          <w:szCs w:val="28"/>
          <w:lang w:eastAsia="es-ES"/>
        </w:rPr>
        <w:footnoteReference w:id="13"/>
      </w:r>
      <w:r w:rsidR="00DC3543" w:rsidRPr="006C4C99">
        <w:rPr>
          <w:rFonts w:ascii="Arial" w:eastAsia="Calibri" w:hAnsi="Arial" w:cs="Arial"/>
          <w:color w:val="002060"/>
          <w:sz w:val="28"/>
          <w:szCs w:val="28"/>
          <w:lang w:eastAsia="es-ES"/>
        </w:rPr>
        <w:t xml:space="preserve"> re</w:t>
      </w:r>
      <w:r w:rsidR="004B5015" w:rsidRPr="006C4C99">
        <w:rPr>
          <w:rFonts w:ascii="Arial" w:eastAsia="Calibri" w:hAnsi="Arial" w:cs="Arial"/>
          <w:color w:val="002060"/>
          <w:sz w:val="28"/>
          <w:szCs w:val="28"/>
          <w:lang w:eastAsia="es-ES"/>
        </w:rPr>
        <w:t>lacionadas con su persona</w:t>
      </w:r>
      <w:r w:rsidRPr="006C4C99">
        <w:rPr>
          <w:rFonts w:ascii="Arial" w:eastAsia="Calibri" w:hAnsi="Arial" w:cs="Arial"/>
          <w:color w:val="002060"/>
          <w:sz w:val="28"/>
          <w:szCs w:val="28"/>
          <w:lang w:eastAsia="es-ES"/>
        </w:rPr>
        <w:t xml:space="preserve">, cuando se trata de un extranjero </w:t>
      </w:r>
      <w:r w:rsidR="00EA27D3" w:rsidRPr="006C4C99">
        <w:rPr>
          <w:rFonts w:ascii="Arial" w:eastAsia="Calibri" w:hAnsi="Arial" w:cs="Arial"/>
          <w:color w:val="002060"/>
          <w:sz w:val="28"/>
          <w:szCs w:val="28"/>
          <w:lang w:eastAsia="es-ES"/>
        </w:rPr>
        <w:t xml:space="preserve">que no </w:t>
      </w:r>
      <w:r w:rsidR="00DC3543" w:rsidRPr="006C4C99">
        <w:rPr>
          <w:rFonts w:ascii="Arial" w:eastAsia="Calibri" w:hAnsi="Arial" w:cs="Arial"/>
          <w:color w:val="002060"/>
          <w:sz w:val="28"/>
          <w:szCs w:val="28"/>
          <w:lang w:eastAsia="es-ES"/>
        </w:rPr>
        <w:t xml:space="preserve">conoce o </w:t>
      </w:r>
      <w:r w:rsidR="00422E06" w:rsidRPr="006C4C99">
        <w:rPr>
          <w:rFonts w:ascii="Arial" w:eastAsia="Calibri" w:hAnsi="Arial" w:cs="Arial"/>
          <w:color w:val="002060"/>
          <w:sz w:val="28"/>
          <w:szCs w:val="28"/>
          <w:lang w:eastAsia="es-ES"/>
        </w:rPr>
        <w:t xml:space="preserve">no </w:t>
      </w:r>
      <w:r w:rsidR="00333362" w:rsidRPr="006C4C99">
        <w:rPr>
          <w:rFonts w:ascii="Arial" w:eastAsia="Calibri" w:hAnsi="Arial" w:cs="Arial"/>
          <w:color w:val="002060"/>
          <w:sz w:val="28"/>
          <w:szCs w:val="28"/>
          <w:lang w:eastAsia="es-ES"/>
        </w:rPr>
        <w:t xml:space="preserve">entiende </w:t>
      </w:r>
      <w:r w:rsidR="00EA27D3" w:rsidRPr="006C4C99">
        <w:rPr>
          <w:rFonts w:ascii="Arial" w:eastAsia="Calibri" w:hAnsi="Arial" w:cs="Arial"/>
          <w:color w:val="002060"/>
          <w:sz w:val="28"/>
          <w:szCs w:val="28"/>
          <w:lang w:eastAsia="es-ES"/>
        </w:rPr>
        <w:t xml:space="preserve">el </w:t>
      </w:r>
      <w:r w:rsidR="001F5B69" w:rsidRPr="006C4C99">
        <w:rPr>
          <w:rFonts w:ascii="Arial" w:eastAsia="Calibri" w:hAnsi="Arial" w:cs="Arial"/>
          <w:color w:val="002060"/>
          <w:sz w:val="28"/>
          <w:szCs w:val="28"/>
          <w:lang w:eastAsia="es-ES"/>
        </w:rPr>
        <w:t xml:space="preserve">idioma </w:t>
      </w:r>
      <w:r w:rsidR="00A57DCC" w:rsidRPr="006C4C99">
        <w:rPr>
          <w:rFonts w:ascii="Arial" w:eastAsia="Calibri" w:hAnsi="Arial" w:cs="Arial"/>
          <w:color w:val="002060"/>
          <w:sz w:val="28"/>
          <w:szCs w:val="28"/>
          <w:lang w:eastAsia="es-ES"/>
        </w:rPr>
        <w:t>español</w:t>
      </w:r>
      <w:r w:rsidRPr="006C4C99">
        <w:rPr>
          <w:rFonts w:ascii="Arial" w:eastAsia="Calibri" w:hAnsi="Arial" w:cs="Arial"/>
          <w:color w:val="002060"/>
          <w:sz w:val="28"/>
          <w:szCs w:val="28"/>
          <w:lang w:eastAsia="es-ES"/>
        </w:rPr>
        <w:t>.</w:t>
      </w:r>
      <w:r w:rsidR="00846E89" w:rsidRPr="006C4C99">
        <w:rPr>
          <w:rFonts w:ascii="Arial" w:eastAsia="Calibri" w:hAnsi="Arial" w:cs="Arial"/>
          <w:color w:val="002060"/>
          <w:sz w:val="28"/>
          <w:szCs w:val="28"/>
          <w:lang w:eastAsia="es-ES"/>
        </w:rPr>
        <w:t xml:space="preserve"> </w:t>
      </w:r>
      <w:r w:rsidR="00A57DCC" w:rsidRPr="006C4C99">
        <w:rPr>
          <w:rFonts w:ascii="Arial" w:eastAsia="Calibri" w:hAnsi="Arial" w:cs="Arial"/>
          <w:color w:val="002060"/>
          <w:sz w:val="28"/>
          <w:szCs w:val="28"/>
          <w:lang w:eastAsia="es-ES"/>
        </w:rPr>
        <w:t xml:space="preserve">Aunque </w:t>
      </w:r>
      <w:r w:rsidR="000A117A" w:rsidRPr="006C4C99">
        <w:rPr>
          <w:rFonts w:ascii="Arial" w:eastAsia="Calibri" w:hAnsi="Arial" w:cs="Arial"/>
          <w:color w:val="002060"/>
          <w:sz w:val="28"/>
          <w:szCs w:val="28"/>
          <w:lang w:eastAsia="es-ES"/>
        </w:rPr>
        <w:t xml:space="preserve">el proceder </w:t>
      </w:r>
      <w:r w:rsidR="003445F7" w:rsidRPr="006C4C99">
        <w:rPr>
          <w:rFonts w:ascii="Arial" w:eastAsia="Calibri" w:hAnsi="Arial" w:cs="Arial"/>
          <w:color w:val="002060"/>
          <w:sz w:val="28"/>
          <w:szCs w:val="28"/>
          <w:lang w:eastAsia="es-ES"/>
        </w:rPr>
        <w:t xml:space="preserve">cuya violación exponemos </w:t>
      </w:r>
      <w:r w:rsidR="00A57DCC" w:rsidRPr="006C4C99">
        <w:rPr>
          <w:rFonts w:ascii="Arial" w:eastAsia="Calibri" w:hAnsi="Arial" w:cs="Arial"/>
          <w:color w:val="002060"/>
          <w:sz w:val="28"/>
          <w:szCs w:val="28"/>
          <w:lang w:eastAsia="es-ES"/>
        </w:rPr>
        <w:t xml:space="preserve">no </w:t>
      </w:r>
      <w:r w:rsidR="009C5241" w:rsidRPr="006C4C99">
        <w:rPr>
          <w:rFonts w:ascii="Arial" w:eastAsia="Calibri" w:hAnsi="Arial" w:cs="Arial"/>
          <w:color w:val="002060"/>
          <w:sz w:val="28"/>
          <w:szCs w:val="28"/>
          <w:lang w:eastAsia="es-ES"/>
        </w:rPr>
        <w:t xml:space="preserve">está </w:t>
      </w:r>
      <w:r w:rsidR="00A57DCC" w:rsidRPr="006C4C99">
        <w:rPr>
          <w:rFonts w:ascii="Arial" w:eastAsia="Calibri" w:hAnsi="Arial" w:cs="Arial"/>
          <w:color w:val="002060"/>
          <w:sz w:val="28"/>
          <w:szCs w:val="28"/>
          <w:lang w:eastAsia="es-ES"/>
        </w:rPr>
        <w:t>contemplad</w:t>
      </w:r>
      <w:r w:rsidR="000A117A" w:rsidRPr="006C4C99">
        <w:rPr>
          <w:rFonts w:ascii="Arial" w:eastAsia="Calibri" w:hAnsi="Arial" w:cs="Arial"/>
          <w:color w:val="002060"/>
          <w:sz w:val="28"/>
          <w:szCs w:val="28"/>
          <w:lang w:eastAsia="es-ES"/>
        </w:rPr>
        <w:t>o</w:t>
      </w:r>
      <w:r w:rsidR="00A57DCC" w:rsidRPr="006C4C99">
        <w:rPr>
          <w:rFonts w:ascii="Arial" w:eastAsia="Calibri" w:hAnsi="Arial" w:cs="Arial"/>
          <w:color w:val="002060"/>
          <w:sz w:val="28"/>
          <w:szCs w:val="28"/>
          <w:lang w:eastAsia="es-ES"/>
        </w:rPr>
        <w:t xml:space="preserve"> expresamente en la Ley del Proceso Penal, se infiere </w:t>
      </w:r>
      <w:r w:rsidR="00333362" w:rsidRPr="006C4C99">
        <w:rPr>
          <w:rFonts w:ascii="Arial" w:eastAsia="Calibri" w:hAnsi="Arial" w:cs="Arial"/>
          <w:color w:val="002060"/>
          <w:sz w:val="28"/>
          <w:szCs w:val="28"/>
          <w:lang w:eastAsia="es-ES"/>
        </w:rPr>
        <w:t>de dos de sus preceptos: 1.-</w:t>
      </w:r>
      <w:r w:rsidR="00A57DCC" w:rsidRPr="006C4C99">
        <w:rPr>
          <w:rFonts w:ascii="Arial" w:eastAsia="Calibri" w:hAnsi="Arial" w:cs="Arial"/>
          <w:color w:val="002060"/>
          <w:sz w:val="28"/>
          <w:szCs w:val="28"/>
          <w:lang w:eastAsia="es-ES"/>
        </w:rPr>
        <w:t xml:space="preserve">del derecho que le concede </w:t>
      </w:r>
      <w:r w:rsidR="008E1DB4" w:rsidRPr="006C4C99">
        <w:rPr>
          <w:rFonts w:ascii="Arial" w:eastAsia="Calibri" w:hAnsi="Arial" w:cs="Arial"/>
          <w:color w:val="002060"/>
          <w:sz w:val="28"/>
          <w:szCs w:val="28"/>
          <w:lang w:eastAsia="es-ES"/>
        </w:rPr>
        <w:t xml:space="preserve">al imputado </w:t>
      </w:r>
      <w:r w:rsidR="00A57DCC" w:rsidRPr="006C4C99">
        <w:rPr>
          <w:rFonts w:ascii="Arial" w:eastAsia="Calibri" w:hAnsi="Arial" w:cs="Arial"/>
          <w:color w:val="002060"/>
          <w:sz w:val="28"/>
          <w:szCs w:val="28"/>
          <w:lang w:eastAsia="es-ES"/>
        </w:rPr>
        <w:t>el artículo 130. 1 f)</w:t>
      </w:r>
      <w:r w:rsidR="00C94E20">
        <w:rPr>
          <w:rStyle w:val="Refdenotaalpie"/>
          <w:rFonts w:ascii="Arial" w:eastAsia="Calibri" w:hAnsi="Arial" w:cs="Arial"/>
          <w:color w:val="002060"/>
          <w:sz w:val="28"/>
          <w:szCs w:val="28"/>
          <w:lang w:eastAsia="es-ES"/>
        </w:rPr>
        <w:footnoteReference w:id="14"/>
      </w:r>
      <w:r w:rsidR="00846E89" w:rsidRPr="006C4C99">
        <w:rPr>
          <w:rFonts w:ascii="Arial" w:eastAsia="Calibri" w:hAnsi="Arial" w:cs="Arial"/>
          <w:color w:val="002060"/>
          <w:sz w:val="28"/>
          <w:szCs w:val="28"/>
          <w:lang w:eastAsia="es-ES"/>
        </w:rPr>
        <w:t xml:space="preserve">, el cual </w:t>
      </w:r>
      <w:r w:rsidR="008E1DB4" w:rsidRPr="006C4C99">
        <w:rPr>
          <w:rFonts w:ascii="Arial" w:eastAsia="Calibri" w:hAnsi="Arial" w:cs="Arial"/>
          <w:color w:val="002060"/>
          <w:sz w:val="28"/>
          <w:szCs w:val="28"/>
          <w:lang w:eastAsia="es-ES"/>
        </w:rPr>
        <w:t xml:space="preserve">-en este caso- </w:t>
      </w:r>
      <w:r w:rsidR="00846E89" w:rsidRPr="006C4C99">
        <w:rPr>
          <w:rFonts w:ascii="Arial" w:eastAsia="Calibri" w:hAnsi="Arial" w:cs="Arial"/>
          <w:color w:val="002060"/>
          <w:sz w:val="28"/>
          <w:szCs w:val="28"/>
          <w:lang w:eastAsia="es-ES"/>
        </w:rPr>
        <w:t xml:space="preserve">no </w:t>
      </w:r>
      <w:r w:rsidR="008E1DB4" w:rsidRPr="006C4C99">
        <w:rPr>
          <w:rFonts w:ascii="Arial" w:eastAsia="Calibri" w:hAnsi="Arial" w:cs="Arial"/>
          <w:color w:val="002060"/>
          <w:sz w:val="28"/>
          <w:szCs w:val="28"/>
          <w:lang w:eastAsia="es-ES"/>
        </w:rPr>
        <w:t xml:space="preserve">puede verse </w:t>
      </w:r>
      <w:r w:rsidR="00333362" w:rsidRPr="006C4C99">
        <w:rPr>
          <w:rFonts w:ascii="Arial" w:eastAsia="Calibri" w:hAnsi="Arial" w:cs="Arial"/>
          <w:color w:val="002060"/>
          <w:sz w:val="28"/>
          <w:szCs w:val="28"/>
          <w:lang w:eastAsia="es-ES"/>
        </w:rPr>
        <w:t xml:space="preserve">meramente </w:t>
      </w:r>
      <w:r w:rsidR="008E1DB4" w:rsidRPr="006C4C99">
        <w:rPr>
          <w:rFonts w:ascii="Arial" w:eastAsia="Calibri" w:hAnsi="Arial" w:cs="Arial"/>
          <w:color w:val="002060"/>
          <w:sz w:val="28"/>
          <w:szCs w:val="28"/>
          <w:lang w:eastAsia="es-ES"/>
        </w:rPr>
        <w:t xml:space="preserve">como un </w:t>
      </w:r>
      <w:r w:rsidR="00846E89" w:rsidRPr="006C4C99">
        <w:rPr>
          <w:rFonts w:ascii="Arial" w:eastAsia="Calibri" w:hAnsi="Arial" w:cs="Arial"/>
          <w:color w:val="002060"/>
          <w:sz w:val="28"/>
          <w:szCs w:val="28"/>
          <w:lang w:eastAsia="es-ES"/>
        </w:rPr>
        <w:t xml:space="preserve">derecho </w:t>
      </w:r>
      <w:r w:rsidR="008E1DB4" w:rsidRPr="006C4C99">
        <w:rPr>
          <w:rFonts w:ascii="Arial" w:eastAsia="Calibri" w:hAnsi="Arial" w:cs="Arial"/>
          <w:color w:val="002060"/>
          <w:sz w:val="28"/>
          <w:szCs w:val="28"/>
          <w:lang w:eastAsia="es-ES"/>
        </w:rPr>
        <w:t xml:space="preserve">al que </w:t>
      </w:r>
      <w:r w:rsidR="00846E89" w:rsidRPr="006C4C99">
        <w:rPr>
          <w:rFonts w:ascii="Arial" w:eastAsia="Calibri" w:hAnsi="Arial" w:cs="Arial"/>
          <w:color w:val="002060"/>
          <w:sz w:val="28"/>
          <w:szCs w:val="28"/>
          <w:lang w:eastAsia="es-ES"/>
        </w:rPr>
        <w:t>puede renunciar</w:t>
      </w:r>
      <w:r w:rsidR="00A36922" w:rsidRPr="006C4C99">
        <w:rPr>
          <w:rFonts w:ascii="Arial" w:eastAsia="Calibri" w:hAnsi="Arial" w:cs="Arial"/>
          <w:color w:val="002060"/>
          <w:sz w:val="28"/>
          <w:szCs w:val="28"/>
          <w:lang w:eastAsia="es-ES"/>
        </w:rPr>
        <w:t>, sino como una obligación de la autoridad actuante</w:t>
      </w:r>
      <w:r w:rsidR="0053796E" w:rsidRPr="006C4C99">
        <w:rPr>
          <w:rFonts w:ascii="Arial" w:eastAsia="Calibri" w:hAnsi="Arial" w:cs="Arial"/>
          <w:color w:val="002060"/>
          <w:sz w:val="28"/>
          <w:szCs w:val="28"/>
          <w:lang w:eastAsia="es-ES"/>
        </w:rPr>
        <w:t>, sin cuyo ejercicio no es posible comunicación alguna con el imputado</w:t>
      </w:r>
      <w:r w:rsidR="00333362" w:rsidRPr="006C4C99">
        <w:rPr>
          <w:rFonts w:ascii="Arial" w:eastAsia="Calibri" w:hAnsi="Arial" w:cs="Arial"/>
          <w:color w:val="002060"/>
          <w:sz w:val="28"/>
          <w:szCs w:val="28"/>
          <w:lang w:eastAsia="es-ES"/>
        </w:rPr>
        <w:t xml:space="preserve">; y 2.-del modelo de actuación que describe el artículo 251.1 (declaración del imputado que no habla o </w:t>
      </w:r>
      <w:r w:rsidR="001F6C5A" w:rsidRPr="006C4C99">
        <w:rPr>
          <w:rFonts w:ascii="Arial" w:eastAsia="Calibri" w:hAnsi="Arial" w:cs="Arial"/>
          <w:color w:val="002060"/>
          <w:sz w:val="28"/>
          <w:szCs w:val="28"/>
          <w:lang w:eastAsia="es-ES"/>
        </w:rPr>
        <w:t xml:space="preserve">no </w:t>
      </w:r>
      <w:r w:rsidR="00333362" w:rsidRPr="006C4C99">
        <w:rPr>
          <w:rFonts w:ascii="Arial" w:eastAsia="Calibri" w:hAnsi="Arial" w:cs="Arial"/>
          <w:color w:val="002060"/>
          <w:sz w:val="28"/>
          <w:szCs w:val="28"/>
          <w:lang w:eastAsia="es-ES"/>
        </w:rPr>
        <w:t xml:space="preserve">entiende el idioma español)  </w:t>
      </w:r>
    </w:p>
    <w:p w14:paraId="40B84252" w14:textId="77777777" w:rsidR="003445F7" w:rsidRPr="006C4C99" w:rsidRDefault="003445F7" w:rsidP="003445F7">
      <w:pPr>
        <w:pStyle w:val="Prrafodelista"/>
        <w:rPr>
          <w:rFonts w:ascii="Arial" w:eastAsia="Calibri" w:hAnsi="Arial" w:cs="Arial"/>
          <w:color w:val="002060"/>
          <w:sz w:val="28"/>
          <w:szCs w:val="28"/>
          <w:lang w:eastAsia="es-ES"/>
        </w:rPr>
      </w:pPr>
    </w:p>
    <w:p w14:paraId="6639B87C" w14:textId="04C3B7EF" w:rsidR="003445F7" w:rsidRPr="006C4C99" w:rsidRDefault="003445F7" w:rsidP="003445F7">
      <w:pPr>
        <w:pStyle w:val="Prrafodelista"/>
        <w:spacing w:line="240" w:lineRule="atLeast"/>
        <w:jc w:val="both"/>
        <w:rPr>
          <w:rFonts w:ascii="Arial" w:eastAsia="Calibri" w:hAnsi="Arial" w:cs="Arial"/>
          <w:color w:val="002060"/>
          <w:sz w:val="28"/>
          <w:szCs w:val="28"/>
          <w:lang w:eastAsia="es-ES"/>
        </w:rPr>
      </w:pPr>
      <w:r w:rsidRPr="006C4C99">
        <w:rPr>
          <w:rFonts w:ascii="Arial" w:eastAsia="Calibri" w:hAnsi="Arial" w:cs="Arial"/>
          <w:color w:val="002060"/>
          <w:sz w:val="28"/>
          <w:szCs w:val="28"/>
          <w:lang w:eastAsia="es-ES"/>
        </w:rPr>
        <w:t xml:space="preserve">Esta infracción </w:t>
      </w:r>
      <w:r w:rsidR="00CC6913" w:rsidRPr="006C4C99">
        <w:rPr>
          <w:rFonts w:ascii="Arial" w:eastAsia="Calibri" w:hAnsi="Arial" w:cs="Arial"/>
          <w:color w:val="002060"/>
          <w:sz w:val="28"/>
          <w:szCs w:val="28"/>
          <w:lang w:eastAsia="es-ES"/>
        </w:rPr>
        <w:t xml:space="preserve">del artículo 130 1.f) de la Ley del Proceso Penal </w:t>
      </w:r>
      <w:r w:rsidR="0006009B" w:rsidRPr="006C4C99">
        <w:rPr>
          <w:rFonts w:ascii="Arial" w:eastAsia="Calibri" w:hAnsi="Arial" w:cs="Arial"/>
          <w:color w:val="002060"/>
          <w:sz w:val="28"/>
          <w:szCs w:val="28"/>
          <w:lang w:eastAsia="es-ES"/>
        </w:rPr>
        <w:t xml:space="preserve">da lugar a la nulidad absoluta de la diligencia </w:t>
      </w:r>
      <w:r w:rsidR="00CC116A" w:rsidRPr="006C4C99">
        <w:rPr>
          <w:rFonts w:ascii="Arial" w:eastAsia="Calibri" w:hAnsi="Arial" w:cs="Arial"/>
          <w:color w:val="002060"/>
          <w:sz w:val="28"/>
          <w:szCs w:val="28"/>
          <w:lang w:eastAsia="es-ES"/>
        </w:rPr>
        <w:t>practicada</w:t>
      </w:r>
      <w:r w:rsidR="0006009B" w:rsidRPr="006C4C99">
        <w:rPr>
          <w:rFonts w:ascii="Arial" w:eastAsia="Calibri" w:hAnsi="Arial" w:cs="Arial"/>
          <w:color w:val="002060"/>
          <w:sz w:val="28"/>
          <w:szCs w:val="28"/>
          <w:lang w:eastAsia="es-ES"/>
        </w:rPr>
        <w:t xml:space="preserve">, pues implica </w:t>
      </w:r>
      <w:r w:rsidR="008D0009" w:rsidRPr="006C4C99">
        <w:rPr>
          <w:rFonts w:ascii="Arial" w:eastAsia="Calibri" w:hAnsi="Arial" w:cs="Arial"/>
          <w:color w:val="002060"/>
          <w:sz w:val="28"/>
          <w:szCs w:val="28"/>
          <w:lang w:eastAsia="es-ES"/>
        </w:rPr>
        <w:t xml:space="preserve">la violación de garantías de rango constitucional como las que se regulan en los artículos </w:t>
      </w:r>
      <w:r w:rsidR="009A3D19" w:rsidRPr="006C4C99">
        <w:rPr>
          <w:rFonts w:ascii="Arial" w:eastAsia="Calibri" w:hAnsi="Arial" w:cs="Arial"/>
          <w:color w:val="002060"/>
          <w:sz w:val="28"/>
          <w:szCs w:val="28"/>
          <w:lang w:eastAsia="es-ES"/>
        </w:rPr>
        <w:t>94 a) referido a la igualdad de oportunidades en los procesos en que interviene como parte; 94 c) solicitar la exclusión de los medios de prueba que hayan sido obtenidos violando lo establecido; 95 d) ser tratado con respecto a su dignidad e integridad física, psíquica y moral, 95 e) no declarar contra sí mismo…; 95 f) ser informado sobre la imputación en su contra; etc.</w:t>
      </w:r>
      <w:r w:rsidR="00316591" w:rsidRPr="006C4C99">
        <w:rPr>
          <w:rFonts w:ascii="Arial" w:eastAsia="Calibri" w:hAnsi="Arial" w:cs="Arial"/>
          <w:color w:val="002060"/>
          <w:sz w:val="28"/>
          <w:szCs w:val="28"/>
          <w:lang w:eastAsia="es-ES"/>
        </w:rPr>
        <w:t>, todos de la Constitución vigente.</w:t>
      </w:r>
      <w:r w:rsidR="009A3D19" w:rsidRPr="006C4C99">
        <w:rPr>
          <w:rFonts w:ascii="Arial" w:eastAsia="Calibri" w:hAnsi="Arial" w:cs="Arial"/>
          <w:color w:val="002060"/>
          <w:sz w:val="28"/>
          <w:szCs w:val="28"/>
          <w:lang w:eastAsia="es-ES"/>
        </w:rPr>
        <w:t xml:space="preserve"> </w:t>
      </w:r>
      <w:r w:rsidR="0006009B" w:rsidRPr="006C4C99">
        <w:rPr>
          <w:rFonts w:ascii="Arial" w:eastAsia="Calibri" w:hAnsi="Arial" w:cs="Arial"/>
          <w:color w:val="002060"/>
          <w:sz w:val="28"/>
          <w:szCs w:val="28"/>
          <w:lang w:eastAsia="es-ES"/>
        </w:rPr>
        <w:t>Obsérvese que n</w:t>
      </w:r>
      <w:r w:rsidR="009A3D19" w:rsidRPr="006C4C99">
        <w:rPr>
          <w:rFonts w:ascii="Arial" w:eastAsia="Calibri" w:hAnsi="Arial" w:cs="Arial"/>
          <w:color w:val="002060"/>
          <w:sz w:val="28"/>
          <w:szCs w:val="28"/>
          <w:lang w:eastAsia="es-ES"/>
        </w:rPr>
        <w:t>inguno de estos derechos puede ejercerse si el imputado desconoce de qué se le está hablando.</w:t>
      </w:r>
    </w:p>
    <w:p w14:paraId="60A9EA62"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71918E96" w14:textId="534997BA" w:rsidR="00F46E03" w:rsidRPr="00453611" w:rsidRDefault="00E62A5D" w:rsidP="00310482">
      <w:pPr>
        <w:pStyle w:val="Prrafodelista"/>
        <w:numPr>
          <w:ilvl w:val="0"/>
          <w:numId w:val="11"/>
        </w:numPr>
        <w:spacing w:line="240" w:lineRule="atLeast"/>
        <w:jc w:val="both"/>
        <w:rPr>
          <w:rFonts w:ascii="Arial" w:eastAsia="Calibri" w:hAnsi="Arial" w:cs="Arial"/>
          <w:color w:val="002060"/>
          <w:sz w:val="28"/>
          <w:szCs w:val="28"/>
          <w:lang w:eastAsia="es-ES"/>
        </w:rPr>
      </w:pPr>
      <w:r w:rsidRPr="00453611">
        <w:rPr>
          <w:rFonts w:ascii="Times New Roman" w:eastAsia="Calibri" w:hAnsi="Times New Roman" w:cs="Times New Roman"/>
          <w:color w:val="002060"/>
          <w:sz w:val="28"/>
          <w:szCs w:val="28"/>
          <w:u w:val="single"/>
          <w:lang w:eastAsia="es-ES"/>
        </w:rPr>
        <w:t>LA ASISTENCIA LETRADA AL PRESTAR DECLARACIÓN</w:t>
      </w:r>
      <w:r w:rsidR="00F46E03" w:rsidRPr="00453611">
        <w:rPr>
          <w:rFonts w:ascii="Arial" w:eastAsia="Calibri" w:hAnsi="Arial" w:cs="Arial"/>
          <w:color w:val="002060"/>
          <w:sz w:val="28"/>
          <w:szCs w:val="28"/>
          <w:lang w:eastAsia="es-ES"/>
        </w:rPr>
        <w:t xml:space="preserve">. La respuesta del imputado a si desea o no asistencia letrada para prestar declaración en el proceso o si para tal diligencia desea designar un abogado de su elección o que se le ponga uno de oficio, forma parte del derecho que se regula en </w:t>
      </w:r>
      <w:r w:rsidR="00660B78" w:rsidRPr="00453611">
        <w:rPr>
          <w:rFonts w:ascii="Arial" w:eastAsia="Calibri" w:hAnsi="Arial" w:cs="Arial"/>
          <w:color w:val="002060"/>
          <w:sz w:val="28"/>
          <w:szCs w:val="28"/>
          <w:lang w:eastAsia="es-ES"/>
        </w:rPr>
        <w:t xml:space="preserve">los artículos 12.1.2 </w:t>
      </w:r>
      <w:r w:rsidR="00660B78">
        <w:rPr>
          <w:rFonts w:ascii="Arial" w:eastAsia="Calibri" w:hAnsi="Arial" w:cs="Arial"/>
          <w:color w:val="002060"/>
          <w:sz w:val="28"/>
          <w:szCs w:val="28"/>
          <w:lang w:eastAsia="es-ES"/>
        </w:rPr>
        <w:t xml:space="preserve">y </w:t>
      </w:r>
      <w:r w:rsidR="00F46E03" w:rsidRPr="00453611">
        <w:rPr>
          <w:rFonts w:ascii="Arial" w:eastAsia="Calibri" w:hAnsi="Arial" w:cs="Arial"/>
          <w:color w:val="002060"/>
          <w:sz w:val="28"/>
          <w:szCs w:val="28"/>
          <w:lang w:eastAsia="es-ES"/>
        </w:rPr>
        <w:t xml:space="preserve">130.1 c) de la Ley 143 del Proceso Penal. Su respuesta –en el supuesto de estar detenido- determina si se le conceden 48 horas para que designe un abogado de su elección, o si se le </w:t>
      </w:r>
      <w:r w:rsidR="003F2C9D">
        <w:rPr>
          <w:rFonts w:ascii="Arial" w:eastAsia="Calibri" w:hAnsi="Arial" w:cs="Arial"/>
          <w:color w:val="002060"/>
          <w:sz w:val="28"/>
          <w:szCs w:val="28"/>
          <w:lang w:eastAsia="es-ES"/>
        </w:rPr>
        <w:t xml:space="preserve">asigna </w:t>
      </w:r>
      <w:r w:rsidR="00F46E03" w:rsidRPr="00453611">
        <w:rPr>
          <w:rFonts w:ascii="Arial" w:eastAsia="Calibri" w:hAnsi="Arial" w:cs="Arial"/>
          <w:color w:val="002060"/>
          <w:sz w:val="28"/>
          <w:szCs w:val="28"/>
          <w:lang w:eastAsia="es-ES"/>
        </w:rPr>
        <w:t xml:space="preserve">uno de oficio si así </w:t>
      </w:r>
      <w:r w:rsidR="00F46E03" w:rsidRPr="00453611">
        <w:rPr>
          <w:rFonts w:ascii="Arial" w:eastAsia="Calibri" w:hAnsi="Arial" w:cs="Arial"/>
          <w:color w:val="002060"/>
          <w:sz w:val="28"/>
          <w:szCs w:val="28"/>
          <w:lang w:eastAsia="es-ES"/>
        </w:rPr>
        <w:lastRenderedPageBreak/>
        <w:t xml:space="preserve">lo solicita, o si se le puede tomar </w:t>
      </w:r>
      <w:r w:rsidR="00CA6EC3" w:rsidRPr="00453611">
        <w:rPr>
          <w:rFonts w:ascii="Arial" w:eastAsia="Calibri" w:hAnsi="Arial" w:cs="Arial"/>
          <w:color w:val="002060"/>
          <w:sz w:val="28"/>
          <w:szCs w:val="28"/>
          <w:lang w:eastAsia="es-ES"/>
        </w:rPr>
        <w:t xml:space="preserve">la </w:t>
      </w:r>
      <w:r w:rsidR="00F46E03" w:rsidRPr="00453611">
        <w:rPr>
          <w:rFonts w:ascii="Arial" w:eastAsia="Calibri" w:hAnsi="Arial" w:cs="Arial"/>
          <w:color w:val="002060"/>
          <w:sz w:val="28"/>
          <w:szCs w:val="28"/>
          <w:lang w:eastAsia="es-ES"/>
        </w:rPr>
        <w:t xml:space="preserve">declaración </w:t>
      </w:r>
      <w:r w:rsidR="00CA6EC3" w:rsidRPr="00453611">
        <w:rPr>
          <w:rFonts w:ascii="Arial" w:eastAsia="Calibri" w:hAnsi="Arial" w:cs="Arial"/>
          <w:color w:val="002060"/>
          <w:sz w:val="28"/>
          <w:szCs w:val="28"/>
          <w:lang w:eastAsia="es-ES"/>
        </w:rPr>
        <w:t xml:space="preserve">inicial </w:t>
      </w:r>
      <w:r w:rsidR="00F46E03" w:rsidRPr="00453611">
        <w:rPr>
          <w:rFonts w:ascii="Arial" w:eastAsia="Calibri" w:hAnsi="Arial" w:cs="Arial"/>
          <w:color w:val="002060"/>
          <w:sz w:val="28"/>
          <w:szCs w:val="28"/>
          <w:lang w:eastAsia="es-ES"/>
        </w:rPr>
        <w:t>sin asistencia letrada, tal como refiere</w:t>
      </w:r>
      <w:r w:rsidR="00660B78">
        <w:rPr>
          <w:rFonts w:ascii="Arial" w:eastAsia="Calibri" w:hAnsi="Arial" w:cs="Arial"/>
          <w:color w:val="002060"/>
          <w:sz w:val="28"/>
          <w:szCs w:val="28"/>
          <w:lang w:eastAsia="es-ES"/>
        </w:rPr>
        <w:t xml:space="preserve"> el artículo </w:t>
      </w:r>
      <w:r w:rsidR="00F46E03" w:rsidRPr="00453611">
        <w:rPr>
          <w:rFonts w:ascii="Arial" w:eastAsia="Calibri" w:hAnsi="Arial" w:cs="Arial"/>
          <w:color w:val="002060"/>
          <w:sz w:val="28"/>
          <w:szCs w:val="28"/>
          <w:lang w:eastAsia="es-ES"/>
        </w:rPr>
        <w:t>248 de la Ley del Proceso Penal.</w:t>
      </w:r>
    </w:p>
    <w:p w14:paraId="7817FA4A"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4AE9D501"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En tal sentido, se han detectado varios problemas: </w:t>
      </w:r>
    </w:p>
    <w:p w14:paraId="079D6567"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3C47D252" w14:textId="5B41A21B" w:rsidR="00F46E03" w:rsidRPr="00453611" w:rsidRDefault="00F46E03" w:rsidP="00310482">
      <w:pPr>
        <w:pStyle w:val="Prrafodelista"/>
        <w:numPr>
          <w:ilvl w:val="0"/>
          <w:numId w:val="1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preguntarle al imputado si desea ser asistido por un abogado al serle tomada una segunda o tercera declaración. Se viola aquí lo dispuesto en el artículo 248 de la Ley del Proceso Penal</w:t>
      </w:r>
      <w:r w:rsidR="002F706F" w:rsidRPr="00453611">
        <w:rPr>
          <w:rFonts w:ascii="Arial" w:eastAsia="Calibri" w:hAnsi="Arial" w:cs="Arial"/>
          <w:color w:val="002060"/>
          <w:sz w:val="28"/>
          <w:szCs w:val="28"/>
          <w:lang w:eastAsia="es-ES"/>
        </w:rPr>
        <w:t>, así como lo preceptuado en el artículo 94 b) de la Constitución vigente</w:t>
      </w:r>
      <w:r w:rsidR="00B66E94" w:rsidRPr="00453611">
        <w:rPr>
          <w:rStyle w:val="Refdenotaalpie"/>
          <w:rFonts w:ascii="Arial" w:eastAsia="Calibri" w:hAnsi="Arial" w:cs="Arial"/>
          <w:color w:val="002060"/>
          <w:sz w:val="28"/>
          <w:szCs w:val="28"/>
          <w:lang w:eastAsia="es-ES"/>
        </w:rPr>
        <w:footnoteReference w:id="15"/>
      </w:r>
      <w:r w:rsidR="002F706F" w:rsidRPr="00453611">
        <w:rPr>
          <w:rFonts w:ascii="Arial" w:eastAsia="Calibri" w:hAnsi="Arial" w:cs="Arial"/>
          <w:color w:val="002060"/>
          <w:sz w:val="28"/>
          <w:szCs w:val="28"/>
          <w:lang w:eastAsia="es-ES"/>
        </w:rPr>
        <w:t xml:space="preserve">. De ambos artículos se infiere que el </w:t>
      </w:r>
      <w:r w:rsidRPr="00453611">
        <w:rPr>
          <w:rFonts w:ascii="Arial" w:eastAsia="Calibri" w:hAnsi="Arial" w:cs="Arial"/>
          <w:color w:val="002060"/>
          <w:sz w:val="28"/>
          <w:szCs w:val="28"/>
          <w:lang w:eastAsia="es-ES"/>
        </w:rPr>
        <w:t xml:space="preserve">derecho </w:t>
      </w:r>
      <w:r w:rsidR="00DC2794" w:rsidRPr="00204BA3">
        <w:rPr>
          <w:rFonts w:ascii="Times New Roman" w:eastAsia="Calibri" w:hAnsi="Times New Roman" w:cs="Times New Roman"/>
          <w:i/>
          <w:iCs/>
          <w:color w:val="002060"/>
          <w:sz w:val="28"/>
          <w:szCs w:val="28"/>
          <w:lang w:eastAsia="es-ES"/>
        </w:rPr>
        <w:t>A DECIDIR</w:t>
      </w:r>
      <w:r w:rsidR="00DC2794" w:rsidRPr="00453611">
        <w:rPr>
          <w:rFonts w:ascii="Arial" w:eastAsia="Calibri" w:hAnsi="Arial" w:cs="Arial"/>
          <w:color w:val="002060"/>
          <w:sz w:val="28"/>
          <w:szCs w:val="28"/>
          <w:lang w:eastAsia="es-ES"/>
        </w:rPr>
        <w:t xml:space="preserve"> sobre </w:t>
      </w:r>
      <w:r w:rsidRPr="00453611">
        <w:rPr>
          <w:rFonts w:ascii="Arial" w:eastAsia="Calibri" w:hAnsi="Arial" w:cs="Arial"/>
          <w:color w:val="002060"/>
          <w:sz w:val="28"/>
          <w:szCs w:val="28"/>
          <w:lang w:eastAsia="es-ES"/>
        </w:rPr>
        <w:t xml:space="preserve">la asistencia letrada para declarar es </w:t>
      </w:r>
      <w:r w:rsidR="004F3564" w:rsidRPr="004F3564">
        <w:rPr>
          <w:rFonts w:ascii="Times New Roman" w:eastAsia="Calibri" w:hAnsi="Times New Roman" w:cs="Times New Roman"/>
          <w:i/>
          <w:iCs/>
          <w:color w:val="002060"/>
          <w:sz w:val="28"/>
          <w:szCs w:val="28"/>
          <w:lang w:eastAsia="es-ES"/>
        </w:rPr>
        <w:t>PERMANENTE</w:t>
      </w:r>
      <w:r w:rsidRPr="00453611">
        <w:rPr>
          <w:rFonts w:ascii="Arial" w:eastAsia="Calibri" w:hAnsi="Arial" w:cs="Arial"/>
          <w:color w:val="002060"/>
          <w:sz w:val="28"/>
          <w:szCs w:val="28"/>
          <w:lang w:eastAsia="es-ES"/>
        </w:rPr>
        <w:t>, no solo para prestar una primera declaración.</w:t>
      </w:r>
      <w:r w:rsidR="002F706F" w:rsidRPr="00453611">
        <w:rPr>
          <w:rFonts w:ascii="Arial" w:eastAsia="Calibri" w:hAnsi="Arial" w:cs="Arial"/>
          <w:color w:val="002060"/>
          <w:sz w:val="28"/>
          <w:szCs w:val="28"/>
          <w:lang w:eastAsia="es-ES"/>
        </w:rPr>
        <w:t xml:space="preserve"> Procede aquí dictar auto de nulidad absoluta de la declaración en cuestión.</w:t>
      </w:r>
    </w:p>
    <w:p w14:paraId="002B554E" w14:textId="77777777" w:rsidR="000A15B1" w:rsidRPr="00453611" w:rsidRDefault="000A15B1" w:rsidP="00310482">
      <w:pPr>
        <w:pStyle w:val="Prrafodelista"/>
        <w:spacing w:line="240" w:lineRule="atLeast"/>
        <w:ind w:left="786"/>
        <w:jc w:val="both"/>
        <w:rPr>
          <w:rFonts w:ascii="Arial" w:eastAsia="Calibri" w:hAnsi="Arial" w:cs="Arial"/>
          <w:color w:val="002060"/>
          <w:sz w:val="28"/>
          <w:szCs w:val="28"/>
          <w:lang w:eastAsia="es-ES"/>
        </w:rPr>
      </w:pPr>
    </w:p>
    <w:p w14:paraId="5BE21036" w14:textId="56D94C44" w:rsidR="000A15B1" w:rsidRPr="00453611" w:rsidRDefault="000A15B1" w:rsidP="00310482">
      <w:pPr>
        <w:pStyle w:val="Prrafodelista"/>
        <w:numPr>
          <w:ilvl w:val="0"/>
          <w:numId w:val="1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garantizarle un abogado de oficio cuando, estando detenido el imputado, lo solicita para prestar una segunda o tercera declaración.</w:t>
      </w:r>
      <w:r w:rsidR="007872EC" w:rsidRPr="00453611">
        <w:rPr>
          <w:rFonts w:ascii="Arial" w:eastAsia="Calibri" w:hAnsi="Arial" w:cs="Arial"/>
          <w:color w:val="002060"/>
          <w:sz w:val="28"/>
          <w:szCs w:val="28"/>
          <w:lang w:eastAsia="es-ES"/>
        </w:rPr>
        <w:t xml:space="preserve"> Se viola aquí lo dispuesto en </w:t>
      </w:r>
      <w:r w:rsidR="00962458">
        <w:rPr>
          <w:rFonts w:ascii="Arial" w:eastAsia="Calibri" w:hAnsi="Arial" w:cs="Arial"/>
          <w:color w:val="002060"/>
          <w:sz w:val="28"/>
          <w:szCs w:val="28"/>
          <w:lang w:eastAsia="es-ES"/>
        </w:rPr>
        <w:t xml:space="preserve">los </w:t>
      </w:r>
      <w:r w:rsidR="007872EC" w:rsidRPr="00453611">
        <w:rPr>
          <w:rFonts w:ascii="Arial" w:eastAsia="Calibri" w:hAnsi="Arial" w:cs="Arial"/>
          <w:color w:val="002060"/>
          <w:sz w:val="28"/>
          <w:szCs w:val="28"/>
          <w:lang w:eastAsia="es-ES"/>
        </w:rPr>
        <w:t>artículo</w:t>
      </w:r>
      <w:r w:rsidR="00962458">
        <w:rPr>
          <w:rFonts w:ascii="Arial" w:eastAsia="Calibri" w:hAnsi="Arial" w:cs="Arial"/>
          <w:color w:val="002060"/>
          <w:sz w:val="28"/>
          <w:szCs w:val="28"/>
          <w:lang w:eastAsia="es-ES"/>
        </w:rPr>
        <w:t>s 12. 1 y 2, y</w:t>
      </w:r>
      <w:r w:rsidR="007872EC" w:rsidRPr="00453611">
        <w:rPr>
          <w:rFonts w:ascii="Arial" w:eastAsia="Calibri" w:hAnsi="Arial" w:cs="Arial"/>
          <w:color w:val="002060"/>
          <w:sz w:val="28"/>
          <w:szCs w:val="28"/>
          <w:lang w:eastAsia="es-ES"/>
        </w:rPr>
        <w:t xml:space="preserve"> 130</w:t>
      </w:r>
      <w:r w:rsidR="00204BA3">
        <w:rPr>
          <w:rFonts w:ascii="Arial" w:eastAsia="Calibri" w:hAnsi="Arial" w:cs="Arial"/>
          <w:color w:val="002060"/>
          <w:sz w:val="28"/>
          <w:szCs w:val="28"/>
          <w:lang w:eastAsia="es-ES"/>
        </w:rPr>
        <w:t>.1</w:t>
      </w:r>
      <w:r w:rsidR="007872EC" w:rsidRPr="00453611">
        <w:rPr>
          <w:rFonts w:ascii="Arial" w:eastAsia="Calibri" w:hAnsi="Arial" w:cs="Arial"/>
          <w:color w:val="002060"/>
          <w:sz w:val="28"/>
          <w:szCs w:val="28"/>
          <w:lang w:eastAsia="es-ES"/>
        </w:rPr>
        <w:t xml:space="preserve"> c) de la Ley del Proceso Penal</w:t>
      </w:r>
      <w:r w:rsidR="00962458">
        <w:rPr>
          <w:rFonts w:ascii="Arial" w:eastAsia="Calibri" w:hAnsi="Arial" w:cs="Arial"/>
          <w:color w:val="002060"/>
          <w:sz w:val="28"/>
          <w:szCs w:val="28"/>
          <w:lang w:eastAsia="es-ES"/>
        </w:rPr>
        <w:t xml:space="preserve">, así como </w:t>
      </w:r>
      <w:r w:rsidR="007872EC" w:rsidRPr="00453611">
        <w:rPr>
          <w:rFonts w:ascii="Arial" w:eastAsia="Calibri" w:hAnsi="Arial" w:cs="Arial"/>
          <w:color w:val="002060"/>
          <w:sz w:val="28"/>
          <w:szCs w:val="28"/>
          <w:lang w:eastAsia="es-ES"/>
        </w:rPr>
        <w:t xml:space="preserve">en </w:t>
      </w:r>
      <w:r w:rsidR="00395127">
        <w:rPr>
          <w:rFonts w:ascii="Arial" w:eastAsia="Calibri" w:hAnsi="Arial" w:cs="Arial"/>
          <w:color w:val="002060"/>
          <w:sz w:val="28"/>
          <w:szCs w:val="28"/>
          <w:lang w:eastAsia="es-ES"/>
        </w:rPr>
        <w:t xml:space="preserve">los </w:t>
      </w:r>
      <w:r w:rsidR="007872EC" w:rsidRPr="00453611">
        <w:rPr>
          <w:rFonts w:ascii="Arial" w:eastAsia="Calibri" w:hAnsi="Arial" w:cs="Arial"/>
          <w:color w:val="002060"/>
          <w:sz w:val="28"/>
          <w:szCs w:val="28"/>
          <w:lang w:eastAsia="es-ES"/>
        </w:rPr>
        <w:t>artículo</w:t>
      </w:r>
      <w:r w:rsidR="00395127">
        <w:rPr>
          <w:rFonts w:ascii="Arial" w:eastAsia="Calibri" w:hAnsi="Arial" w:cs="Arial"/>
          <w:color w:val="002060"/>
          <w:sz w:val="28"/>
          <w:szCs w:val="28"/>
          <w:lang w:eastAsia="es-ES"/>
        </w:rPr>
        <w:t>s</w:t>
      </w:r>
      <w:r w:rsidR="007872EC" w:rsidRPr="00453611">
        <w:rPr>
          <w:rFonts w:ascii="Arial" w:eastAsia="Calibri" w:hAnsi="Arial" w:cs="Arial"/>
          <w:color w:val="002060"/>
          <w:sz w:val="28"/>
          <w:szCs w:val="28"/>
          <w:lang w:eastAsia="es-ES"/>
        </w:rPr>
        <w:t xml:space="preserve"> 94 b) </w:t>
      </w:r>
      <w:r w:rsidR="00395127">
        <w:rPr>
          <w:rFonts w:ascii="Arial" w:eastAsia="Calibri" w:hAnsi="Arial" w:cs="Arial"/>
          <w:color w:val="002060"/>
          <w:sz w:val="28"/>
          <w:szCs w:val="28"/>
          <w:lang w:eastAsia="es-ES"/>
        </w:rPr>
        <w:t xml:space="preserve">y 95 b) </w:t>
      </w:r>
      <w:r w:rsidR="007872EC" w:rsidRPr="00453611">
        <w:rPr>
          <w:rFonts w:ascii="Arial" w:eastAsia="Calibri" w:hAnsi="Arial" w:cs="Arial"/>
          <w:color w:val="002060"/>
          <w:sz w:val="28"/>
          <w:szCs w:val="28"/>
          <w:lang w:eastAsia="es-ES"/>
        </w:rPr>
        <w:t>de la Constitución.</w:t>
      </w:r>
    </w:p>
    <w:p w14:paraId="2A5C6C95" w14:textId="77777777" w:rsidR="00F46E03" w:rsidRPr="00453611" w:rsidRDefault="00F46E03" w:rsidP="00310482">
      <w:pPr>
        <w:pStyle w:val="Prrafodelista"/>
        <w:spacing w:line="240" w:lineRule="atLeast"/>
        <w:ind w:left="786"/>
        <w:jc w:val="both"/>
        <w:rPr>
          <w:rFonts w:ascii="Arial" w:eastAsia="Calibri" w:hAnsi="Arial" w:cs="Arial"/>
          <w:color w:val="002060"/>
          <w:sz w:val="28"/>
          <w:szCs w:val="28"/>
          <w:lang w:eastAsia="es-ES"/>
        </w:rPr>
      </w:pPr>
    </w:p>
    <w:p w14:paraId="36BE4CF9" w14:textId="21998539" w:rsidR="00F46E03" w:rsidRPr="00453611" w:rsidRDefault="00F46E03" w:rsidP="00310482">
      <w:pPr>
        <w:pStyle w:val="Prrafodelista"/>
        <w:numPr>
          <w:ilvl w:val="0"/>
          <w:numId w:val="1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Dejar constancia </w:t>
      </w:r>
      <w:r w:rsidR="00FA4A2F">
        <w:rPr>
          <w:rFonts w:ascii="Arial" w:eastAsia="Calibri" w:hAnsi="Arial" w:cs="Arial"/>
          <w:color w:val="002060"/>
          <w:sz w:val="28"/>
          <w:szCs w:val="28"/>
          <w:lang w:eastAsia="es-ES"/>
        </w:rPr>
        <w:t xml:space="preserve">-como parte del </w:t>
      </w:r>
      <w:r w:rsidRPr="00453611">
        <w:rPr>
          <w:rFonts w:ascii="Arial" w:eastAsia="Calibri" w:hAnsi="Arial" w:cs="Arial"/>
          <w:color w:val="002060"/>
          <w:sz w:val="28"/>
          <w:szCs w:val="28"/>
          <w:lang w:eastAsia="es-ES"/>
        </w:rPr>
        <w:t xml:space="preserve">modelo de instructiva de cargos o al tomársele la </w:t>
      </w:r>
      <w:r w:rsidR="004E7D07" w:rsidRPr="004E7D07">
        <w:rPr>
          <w:rFonts w:ascii="Times New Roman" w:eastAsia="Calibri" w:hAnsi="Times New Roman" w:cs="Times New Roman"/>
          <w:i/>
          <w:iCs/>
          <w:color w:val="002060"/>
          <w:sz w:val="28"/>
          <w:szCs w:val="28"/>
          <w:lang w:eastAsia="es-ES"/>
        </w:rPr>
        <w:t>PRIMERA</w:t>
      </w:r>
      <w:r w:rsidRPr="00453611">
        <w:rPr>
          <w:rFonts w:ascii="Arial" w:eastAsia="Calibri" w:hAnsi="Arial" w:cs="Arial"/>
          <w:color w:val="002060"/>
          <w:sz w:val="28"/>
          <w:szCs w:val="28"/>
          <w:lang w:eastAsia="es-ES"/>
        </w:rPr>
        <w:t xml:space="preserve"> declaración</w:t>
      </w:r>
      <w:r w:rsidR="00FA4A2F">
        <w:rPr>
          <w:rFonts w:ascii="Arial" w:eastAsia="Calibri" w:hAnsi="Arial" w:cs="Arial"/>
          <w:color w:val="002060"/>
          <w:sz w:val="28"/>
          <w:szCs w:val="28"/>
          <w:lang w:eastAsia="es-ES"/>
        </w:rPr>
        <w:t>-</w:t>
      </w:r>
      <w:r w:rsidRPr="00453611">
        <w:rPr>
          <w:rFonts w:ascii="Arial" w:eastAsia="Calibri" w:hAnsi="Arial" w:cs="Arial"/>
          <w:color w:val="002060"/>
          <w:sz w:val="28"/>
          <w:szCs w:val="28"/>
          <w:lang w:eastAsia="es-ES"/>
        </w:rPr>
        <w:t xml:space="preserve"> que el imputado no desea ser asistido por un abogado</w:t>
      </w:r>
      <w:r w:rsidR="00B506AA" w:rsidRPr="00453611">
        <w:rPr>
          <w:rStyle w:val="Refdenotaalpie"/>
          <w:rFonts w:ascii="Arial" w:eastAsia="Calibri" w:hAnsi="Arial" w:cs="Arial"/>
          <w:color w:val="002060"/>
          <w:sz w:val="28"/>
          <w:szCs w:val="28"/>
          <w:lang w:eastAsia="es-ES"/>
        </w:rPr>
        <w:footnoteReference w:id="16"/>
      </w:r>
      <w:r w:rsidRPr="00453611">
        <w:rPr>
          <w:rFonts w:ascii="Arial" w:eastAsia="Calibri" w:hAnsi="Arial" w:cs="Arial"/>
          <w:color w:val="002060"/>
          <w:sz w:val="28"/>
          <w:szCs w:val="28"/>
          <w:lang w:eastAsia="es-ES"/>
        </w:rPr>
        <w:t xml:space="preserve">. Lo más transparente aquí es que el imputado, de su puño y letra, deje constancia de su decisión de no </w:t>
      </w:r>
      <w:r w:rsidR="00171021" w:rsidRPr="00453611">
        <w:rPr>
          <w:rFonts w:ascii="Arial" w:eastAsia="Calibri" w:hAnsi="Arial" w:cs="Arial"/>
          <w:color w:val="002060"/>
          <w:sz w:val="28"/>
          <w:szCs w:val="28"/>
          <w:lang w:eastAsia="es-ES"/>
        </w:rPr>
        <w:t xml:space="preserve">tener consigo </w:t>
      </w:r>
      <w:r w:rsidRPr="00453611">
        <w:rPr>
          <w:rFonts w:ascii="Arial" w:eastAsia="Calibri" w:hAnsi="Arial" w:cs="Arial"/>
          <w:color w:val="002060"/>
          <w:sz w:val="28"/>
          <w:szCs w:val="28"/>
          <w:lang w:eastAsia="es-ES"/>
        </w:rPr>
        <w:t>un abogado para prestar declaración.</w:t>
      </w:r>
      <w:r w:rsidR="00DC2794" w:rsidRPr="00453611">
        <w:rPr>
          <w:rFonts w:ascii="Arial" w:eastAsia="Calibri" w:hAnsi="Arial" w:cs="Arial"/>
          <w:color w:val="002060"/>
          <w:sz w:val="28"/>
          <w:szCs w:val="28"/>
          <w:lang w:eastAsia="es-ES"/>
        </w:rPr>
        <w:t xml:space="preserve"> Con independencia de ello, en este caso</w:t>
      </w:r>
      <w:r w:rsidR="006B32BE" w:rsidRPr="00453611">
        <w:rPr>
          <w:rFonts w:ascii="Arial" w:eastAsia="Calibri" w:hAnsi="Arial" w:cs="Arial"/>
          <w:color w:val="002060"/>
          <w:sz w:val="28"/>
          <w:szCs w:val="28"/>
          <w:lang w:eastAsia="es-ES"/>
        </w:rPr>
        <w:t>,</w:t>
      </w:r>
      <w:r w:rsidR="00DC2794" w:rsidRPr="00453611">
        <w:rPr>
          <w:rFonts w:ascii="Arial" w:eastAsia="Calibri" w:hAnsi="Arial" w:cs="Arial"/>
          <w:color w:val="002060"/>
          <w:sz w:val="28"/>
          <w:szCs w:val="28"/>
          <w:lang w:eastAsia="es-ES"/>
        </w:rPr>
        <w:t xml:space="preserve"> debe verificarse con el imputado si se le preguntó </w:t>
      </w:r>
      <w:r w:rsidR="006B32BE" w:rsidRPr="00453611">
        <w:rPr>
          <w:rFonts w:ascii="Arial" w:eastAsia="Calibri" w:hAnsi="Arial" w:cs="Arial"/>
          <w:color w:val="002060"/>
          <w:sz w:val="28"/>
          <w:szCs w:val="28"/>
          <w:lang w:eastAsia="es-ES"/>
        </w:rPr>
        <w:t>si deseaba ser asistido por un defensor para prestar declaración</w:t>
      </w:r>
      <w:r w:rsidR="003E634C">
        <w:rPr>
          <w:rFonts w:ascii="Arial" w:eastAsia="Calibri" w:hAnsi="Arial" w:cs="Arial"/>
          <w:color w:val="002060"/>
          <w:sz w:val="28"/>
          <w:szCs w:val="28"/>
          <w:lang w:eastAsia="es-ES"/>
        </w:rPr>
        <w:t>, y cuál fue su respuesta</w:t>
      </w:r>
      <w:r w:rsidR="006B32BE" w:rsidRPr="00453611">
        <w:rPr>
          <w:rFonts w:ascii="Arial" w:eastAsia="Calibri" w:hAnsi="Arial" w:cs="Arial"/>
          <w:color w:val="002060"/>
          <w:sz w:val="28"/>
          <w:szCs w:val="28"/>
          <w:lang w:eastAsia="es-ES"/>
        </w:rPr>
        <w:t xml:space="preserve">. </w:t>
      </w:r>
      <w:r w:rsidR="00F06EDC" w:rsidRPr="00453611">
        <w:rPr>
          <w:rFonts w:ascii="Arial" w:eastAsia="Calibri" w:hAnsi="Arial" w:cs="Arial"/>
          <w:color w:val="002060"/>
          <w:sz w:val="28"/>
          <w:szCs w:val="28"/>
          <w:lang w:eastAsia="es-ES"/>
        </w:rPr>
        <w:t xml:space="preserve">Si se comprueba que no </w:t>
      </w:r>
      <w:r w:rsidR="0093751B" w:rsidRPr="00453611">
        <w:rPr>
          <w:rFonts w:ascii="Arial" w:eastAsia="Calibri" w:hAnsi="Arial" w:cs="Arial"/>
          <w:color w:val="002060"/>
          <w:sz w:val="28"/>
          <w:szCs w:val="28"/>
          <w:lang w:eastAsia="es-ES"/>
        </w:rPr>
        <w:t>se le hizo t</w:t>
      </w:r>
      <w:r w:rsidR="00F06EDC" w:rsidRPr="00453611">
        <w:rPr>
          <w:rFonts w:ascii="Arial" w:eastAsia="Calibri" w:hAnsi="Arial" w:cs="Arial"/>
          <w:color w:val="002060"/>
          <w:sz w:val="28"/>
          <w:szCs w:val="28"/>
          <w:lang w:eastAsia="es-ES"/>
        </w:rPr>
        <w:t>al apercibimiento,</w:t>
      </w:r>
      <w:r w:rsidR="003E634C">
        <w:rPr>
          <w:rFonts w:ascii="Arial" w:eastAsia="Calibri" w:hAnsi="Arial" w:cs="Arial"/>
          <w:color w:val="002060"/>
          <w:sz w:val="28"/>
          <w:szCs w:val="28"/>
          <w:lang w:eastAsia="es-ES"/>
        </w:rPr>
        <w:t xml:space="preserve"> o que sí deseaba un abogado,</w:t>
      </w:r>
      <w:r w:rsidR="00F06EDC" w:rsidRPr="00453611">
        <w:rPr>
          <w:rFonts w:ascii="Arial" w:eastAsia="Calibri" w:hAnsi="Arial" w:cs="Arial"/>
          <w:color w:val="002060"/>
          <w:sz w:val="28"/>
          <w:szCs w:val="28"/>
          <w:lang w:eastAsia="es-ES"/>
        </w:rPr>
        <w:t xml:space="preserve"> entonces habría violación de lo establecido en </w:t>
      </w:r>
      <w:r w:rsidR="00CE42BF">
        <w:rPr>
          <w:rFonts w:ascii="Arial" w:eastAsia="Calibri" w:hAnsi="Arial" w:cs="Arial"/>
          <w:color w:val="002060"/>
          <w:sz w:val="28"/>
          <w:szCs w:val="28"/>
          <w:lang w:eastAsia="es-ES"/>
        </w:rPr>
        <w:t xml:space="preserve">los </w:t>
      </w:r>
      <w:r w:rsidR="00F06EDC" w:rsidRPr="00453611">
        <w:rPr>
          <w:rFonts w:ascii="Arial" w:eastAsia="Calibri" w:hAnsi="Arial" w:cs="Arial"/>
          <w:color w:val="002060"/>
          <w:sz w:val="28"/>
          <w:szCs w:val="28"/>
          <w:lang w:eastAsia="es-ES"/>
        </w:rPr>
        <w:t>artículo</w:t>
      </w:r>
      <w:r w:rsidR="00CE42BF">
        <w:rPr>
          <w:rFonts w:ascii="Arial" w:eastAsia="Calibri" w:hAnsi="Arial" w:cs="Arial"/>
          <w:color w:val="002060"/>
          <w:sz w:val="28"/>
          <w:szCs w:val="28"/>
          <w:lang w:eastAsia="es-ES"/>
        </w:rPr>
        <w:t xml:space="preserve">s 12.1 y 2, </w:t>
      </w:r>
      <w:r w:rsidR="00F06EDC" w:rsidRPr="00453611">
        <w:rPr>
          <w:rFonts w:ascii="Arial" w:eastAsia="Calibri" w:hAnsi="Arial" w:cs="Arial"/>
          <w:color w:val="002060"/>
          <w:sz w:val="28"/>
          <w:szCs w:val="28"/>
          <w:lang w:eastAsia="es-ES"/>
        </w:rPr>
        <w:t>130</w:t>
      </w:r>
      <w:r w:rsidR="00CE42BF">
        <w:rPr>
          <w:rFonts w:ascii="Arial" w:eastAsia="Calibri" w:hAnsi="Arial" w:cs="Arial"/>
          <w:color w:val="002060"/>
          <w:sz w:val="28"/>
          <w:szCs w:val="28"/>
          <w:lang w:eastAsia="es-ES"/>
        </w:rPr>
        <w:t>.1c)</w:t>
      </w:r>
      <w:r w:rsidR="00F06EDC" w:rsidRPr="00453611">
        <w:rPr>
          <w:rFonts w:ascii="Arial" w:eastAsia="Calibri" w:hAnsi="Arial" w:cs="Arial"/>
          <w:color w:val="002060"/>
          <w:sz w:val="28"/>
          <w:szCs w:val="28"/>
          <w:lang w:eastAsia="es-ES"/>
        </w:rPr>
        <w:t xml:space="preserve"> de la ley rituaria y </w:t>
      </w:r>
      <w:r w:rsidR="00095CE1" w:rsidRPr="00453611">
        <w:rPr>
          <w:rFonts w:ascii="Arial" w:eastAsia="Calibri" w:hAnsi="Arial" w:cs="Arial"/>
          <w:color w:val="002060"/>
          <w:sz w:val="28"/>
          <w:szCs w:val="28"/>
          <w:lang w:eastAsia="es-ES"/>
        </w:rPr>
        <w:t xml:space="preserve">en el </w:t>
      </w:r>
      <w:r w:rsidR="00F06EDC" w:rsidRPr="00453611">
        <w:rPr>
          <w:rFonts w:ascii="Arial" w:eastAsia="Calibri" w:hAnsi="Arial" w:cs="Arial"/>
          <w:color w:val="002060"/>
          <w:sz w:val="28"/>
          <w:szCs w:val="28"/>
          <w:lang w:eastAsia="es-ES"/>
        </w:rPr>
        <w:t>94 b) de la Constitución vigente, por lo que procedería dictar auto de nulidad absoluta de la primera declaración y de la instructiva de cargos.</w:t>
      </w:r>
    </w:p>
    <w:p w14:paraId="3D9BB2D1" w14:textId="77777777" w:rsidR="00F46E03" w:rsidRPr="00453611" w:rsidRDefault="00F46E03" w:rsidP="00310482">
      <w:pPr>
        <w:pStyle w:val="Prrafodelista"/>
        <w:spacing w:line="240" w:lineRule="atLeast"/>
        <w:ind w:left="786"/>
        <w:jc w:val="both"/>
        <w:rPr>
          <w:rFonts w:ascii="Arial" w:eastAsia="Calibri" w:hAnsi="Arial" w:cs="Arial"/>
          <w:color w:val="002060"/>
          <w:sz w:val="28"/>
          <w:szCs w:val="28"/>
          <w:lang w:eastAsia="es-ES"/>
        </w:rPr>
      </w:pPr>
    </w:p>
    <w:p w14:paraId="1927C4E9" w14:textId="15CC0150" w:rsidR="00ED298C" w:rsidRPr="00453611" w:rsidRDefault="00F46E03" w:rsidP="00310482">
      <w:pPr>
        <w:pStyle w:val="Prrafodelista"/>
        <w:numPr>
          <w:ilvl w:val="0"/>
          <w:numId w:val="1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Dilación al tomarle la primera declaración. </w:t>
      </w:r>
      <w:r w:rsidR="00FA4A2F">
        <w:rPr>
          <w:rFonts w:ascii="Arial" w:eastAsia="Calibri" w:hAnsi="Arial" w:cs="Arial"/>
          <w:color w:val="002060"/>
          <w:sz w:val="28"/>
          <w:szCs w:val="28"/>
          <w:lang w:eastAsia="es-ES"/>
        </w:rPr>
        <w:t xml:space="preserve">En ocasiones, al </w:t>
      </w:r>
      <w:r w:rsidRPr="00453611">
        <w:rPr>
          <w:rFonts w:ascii="Arial" w:eastAsia="Calibri" w:hAnsi="Arial" w:cs="Arial"/>
          <w:color w:val="002060"/>
          <w:sz w:val="28"/>
          <w:szCs w:val="28"/>
          <w:lang w:eastAsia="es-ES"/>
        </w:rPr>
        <w:t xml:space="preserve">ser </w:t>
      </w:r>
      <w:r w:rsidR="00FA4A2F">
        <w:rPr>
          <w:rFonts w:ascii="Arial" w:eastAsia="Calibri" w:hAnsi="Arial" w:cs="Arial"/>
          <w:color w:val="002060"/>
          <w:sz w:val="28"/>
          <w:szCs w:val="28"/>
          <w:lang w:eastAsia="es-ES"/>
        </w:rPr>
        <w:t xml:space="preserve">el imputado </w:t>
      </w:r>
      <w:r w:rsidRPr="00453611">
        <w:rPr>
          <w:rFonts w:ascii="Arial" w:eastAsia="Calibri" w:hAnsi="Arial" w:cs="Arial"/>
          <w:color w:val="002060"/>
          <w:sz w:val="28"/>
          <w:szCs w:val="28"/>
          <w:lang w:eastAsia="es-ES"/>
        </w:rPr>
        <w:t xml:space="preserve">instruido de cargos, no queda constancia de cuál fue </w:t>
      </w:r>
      <w:r w:rsidR="00FA4A2F">
        <w:rPr>
          <w:rFonts w:ascii="Arial" w:eastAsia="Calibri" w:hAnsi="Arial" w:cs="Arial"/>
          <w:color w:val="002060"/>
          <w:sz w:val="28"/>
          <w:szCs w:val="28"/>
          <w:lang w:eastAsia="es-ES"/>
        </w:rPr>
        <w:t xml:space="preserve">su </w:t>
      </w:r>
      <w:r w:rsidRPr="00453611">
        <w:rPr>
          <w:rFonts w:ascii="Arial" w:eastAsia="Calibri" w:hAnsi="Arial" w:cs="Arial"/>
          <w:color w:val="002060"/>
          <w:sz w:val="28"/>
          <w:szCs w:val="28"/>
          <w:lang w:eastAsia="es-ES"/>
        </w:rPr>
        <w:t xml:space="preserve">respuesta al </w:t>
      </w:r>
      <w:r w:rsidR="00287ED4">
        <w:rPr>
          <w:rFonts w:ascii="Arial" w:eastAsia="Calibri" w:hAnsi="Arial" w:cs="Arial"/>
          <w:color w:val="002060"/>
          <w:sz w:val="28"/>
          <w:szCs w:val="28"/>
          <w:lang w:eastAsia="es-ES"/>
        </w:rPr>
        <w:t xml:space="preserve">serle </w:t>
      </w:r>
      <w:r w:rsidRPr="00453611">
        <w:rPr>
          <w:rFonts w:ascii="Arial" w:eastAsia="Calibri" w:hAnsi="Arial" w:cs="Arial"/>
          <w:color w:val="002060"/>
          <w:sz w:val="28"/>
          <w:szCs w:val="28"/>
          <w:lang w:eastAsia="es-ES"/>
        </w:rPr>
        <w:t>inform</w:t>
      </w:r>
      <w:r w:rsidR="00287ED4">
        <w:rPr>
          <w:rFonts w:ascii="Arial" w:eastAsia="Calibri" w:hAnsi="Arial" w:cs="Arial"/>
          <w:color w:val="002060"/>
          <w:sz w:val="28"/>
          <w:szCs w:val="28"/>
          <w:lang w:eastAsia="es-ES"/>
        </w:rPr>
        <w:t xml:space="preserve">ado </w:t>
      </w:r>
      <w:r w:rsidRPr="00453611">
        <w:rPr>
          <w:rFonts w:ascii="Arial" w:eastAsia="Calibri" w:hAnsi="Arial" w:cs="Arial"/>
          <w:color w:val="002060"/>
          <w:sz w:val="28"/>
          <w:szCs w:val="28"/>
          <w:lang w:eastAsia="es-ES"/>
        </w:rPr>
        <w:t xml:space="preserve">el derecho previsto en el artículo 130.1c) </w:t>
      </w:r>
      <w:r w:rsidR="000D141F">
        <w:rPr>
          <w:rFonts w:ascii="Arial" w:eastAsia="Calibri" w:hAnsi="Arial" w:cs="Arial"/>
          <w:color w:val="002060"/>
          <w:sz w:val="28"/>
          <w:szCs w:val="28"/>
          <w:lang w:eastAsia="es-ES"/>
        </w:rPr>
        <w:t xml:space="preserve">y el 12.1 y 2 </w:t>
      </w:r>
      <w:r w:rsidRPr="00453611">
        <w:rPr>
          <w:rFonts w:ascii="Arial" w:eastAsia="Calibri" w:hAnsi="Arial" w:cs="Arial"/>
          <w:color w:val="002060"/>
          <w:sz w:val="28"/>
          <w:szCs w:val="28"/>
          <w:lang w:eastAsia="es-ES"/>
        </w:rPr>
        <w:t xml:space="preserve">de la ley de trámites, y, sin embargo, a continuación, aparece una primera declaración suya, tomada al cabo de las 48 horas, en la que refiere que no desea declarar asistido por un abogado. El problema aquí no estriba en una vulneración del derecho a la defensa técnica, sino en que no había que esperar 48 horas para tomarle su primera declaración, si desde un inicio se sabía –aunque no constara- que no deseaba ser asistido por un letrado. Con ello se viola lo estipulado en el artículo 94 g) </w:t>
      </w:r>
      <w:r w:rsidRPr="00453611">
        <w:rPr>
          <w:rFonts w:ascii="Arial" w:eastAsia="Calibri" w:hAnsi="Arial" w:cs="Arial"/>
          <w:color w:val="002060"/>
          <w:sz w:val="28"/>
          <w:szCs w:val="28"/>
          <w:lang w:eastAsia="es-ES"/>
        </w:rPr>
        <w:lastRenderedPageBreak/>
        <w:t>de la Constitución vigente</w:t>
      </w:r>
      <w:r w:rsidRPr="00453611">
        <w:rPr>
          <w:rStyle w:val="Refdenotaalpie"/>
          <w:rFonts w:ascii="Arial" w:eastAsia="Calibri" w:hAnsi="Arial" w:cs="Arial"/>
          <w:color w:val="002060"/>
          <w:sz w:val="28"/>
          <w:szCs w:val="28"/>
          <w:lang w:eastAsia="es-ES"/>
        </w:rPr>
        <w:footnoteReference w:id="17"/>
      </w:r>
      <w:r w:rsidRPr="00453611">
        <w:rPr>
          <w:rFonts w:ascii="Arial" w:eastAsia="Calibri" w:hAnsi="Arial" w:cs="Arial"/>
          <w:color w:val="002060"/>
          <w:sz w:val="28"/>
          <w:szCs w:val="28"/>
          <w:lang w:eastAsia="es-ES"/>
        </w:rPr>
        <w:t>.</w:t>
      </w:r>
      <w:r w:rsidR="0083013F" w:rsidRPr="00453611">
        <w:rPr>
          <w:rFonts w:ascii="Arial" w:eastAsia="Calibri" w:hAnsi="Arial" w:cs="Arial"/>
          <w:color w:val="002060"/>
          <w:sz w:val="28"/>
          <w:szCs w:val="28"/>
          <w:lang w:eastAsia="es-ES"/>
        </w:rPr>
        <w:t xml:space="preserve"> Debe subrayarse, sin embargo, que </w:t>
      </w:r>
      <w:r w:rsidR="00171021" w:rsidRPr="00453611">
        <w:rPr>
          <w:rFonts w:ascii="Arial" w:eastAsia="Calibri" w:hAnsi="Arial" w:cs="Arial"/>
          <w:color w:val="002060"/>
          <w:sz w:val="28"/>
          <w:szCs w:val="28"/>
          <w:lang w:eastAsia="es-ES"/>
        </w:rPr>
        <w:t xml:space="preserve">la </w:t>
      </w:r>
      <w:r w:rsidR="0083013F" w:rsidRPr="00453611">
        <w:rPr>
          <w:rFonts w:ascii="Arial" w:eastAsia="Calibri" w:hAnsi="Arial" w:cs="Arial"/>
          <w:color w:val="002060"/>
          <w:sz w:val="28"/>
          <w:szCs w:val="28"/>
          <w:lang w:eastAsia="es-ES"/>
        </w:rPr>
        <w:t xml:space="preserve">violación de </w:t>
      </w:r>
      <w:r w:rsidR="00171021" w:rsidRPr="00453611">
        <w:rPr>
          <w:rFonts w:ascii="Arial" w:eastAsia="Calibri" w:hAnsi="Arial" w:cs="Arial"/>
          <w:color w:val="002060"/>
          <w:sz w:val="28"/>
          <w:szCs w:val="28"/>
          <w:lang w:eastAsia="es-ES"/>
        </w:rPr>
        <w:t>este</w:t>
      </w:r>
      <w:r w:rsidR="0083013F" w:rsidRPr="00453611">
        <w:rPr>
          <w:rFonts w:ascii="Arial" w:eastAsia="Calibri" w:hAnsi="Arial" w:cs="Arial"/>
          <w:color w:val="002060"/>
          <w:sz w:val="28"/>
          <w:szCs w:val="28"/>
          <w:lang w:eastAsia="es-ES"/>
        </w:rPr>
        <w:t xml:space="preserve"> derecho constitucional no da lugar a que se dicte auto de nulidad</w:t>
      </w:r>
      <w:r w:rsidR="00171021" w:rsidRPr="00453611">
        <w:rPr>
          <w:rFonts w:ascii="Arial" w:eastAsia="Calibri" w:hAnsi="Arial" w:cs="Arial"/>
          <w:color w:val="002060"/>
          <w:sz w:val="28"/>
          <w:szCs w:val="28"/>
          <w:lang w:eastAsia="es-ES"/>
        </w:rPr>
        <w:t xml:space="preserve"> de la primera declaración</w:t>
      </w:r>
      <w:r w:rsidR="0083013F" w:rsidRPr="00453611">
        <w:rPr>
          <w:rFonts w:ascii="Arial" w:eastAsia="Calibri" w:hAnsi="Arial" w:cs="Arial"/>
          <w:color w:val="002060"/>
          <w:sz w:val="28"/>
          <w:szCs w:val="28"/>
          <w:lang w:eastAsia="es-ES"/>
        </w:rPr>
        <w:t xml:space="preserve"> o la instructiva de cargos</w:t>
      </w:r>
      <w:r w:rsidR="00171021" w:rsidRPr="00453611">
        <w:rPr>
          <w:rFonts w:ascii="Arial" w:eastAsia="Calibri" w:hAnsi="Arial" w:cs="Arial"/>
          <w:color w:val="002060"/>
          <w:sz w:val="28"/>
          <w:szCs w:val="28"/>
          <w:lang w:eastAsia="es-ES"/>
        </w:rPr>
        <w:t xml:space="preserve">, pues </w:t>
      </w:r>
      <w:r w:rsidR="00DB4D03" w:rsidRPr="00453611">
        <w:rPr>
          <w:rFonts w:ascii="Arial" w:eastAsia="Calibri" w:hAnsi="Arial" w:cs="Arial"/>
          <w:color w:val="002060"/>
          <w:sz w:val="28"/>
          <w:szCs w:val="28"/>
          <w:lang w:eastAsia="es-ES"/>
        </w:rPr>
        <w:t xml:space="preserve">ambas </w:t>
      </w:r>
      <w:r w:rsidR="00171021" w:rsidRPr="00453611">
        <w:rPr>
          <w:rFonts w:ascii="Arial" w:eastAsia="Calibri" w:hAnsi="Arial" w:cs="Arial"/>
          <w:color w:val="002060"/>
          <w:sz w:val="28"/>
          <w:szCs w:val="28"/>
          <w:lang w:eastAsia="es-ES"/>
        </w:rPr>
        <w:t>se realizaron conforme a derecho.</w:t>
      </w:r>
      <w:r w:rsidR="00DB4D03" w:rsidRPr="00453611">
        <w:rPr>
          <w:rFonts w:ascii="Arial" w:eastAsia="Calibri" w:hAnsi="Arial" w:cs="Arial"/>
          <w:color w:val="002060"/>
          <w:sz w:val="28"/>
          <w:szCs w:val="28"/>
          <w:lang w:eastAsia="es-ES"/>
        </w:rPr>
        <w:t xml:space="preserve"> En realidad, en este caso, no hay objeto de nulidad.</w:t>
      </w:r>
    </w:p>
    <w:p w14:paraId="25B9CEFA" w14:textId="77777777" w:rsidR="00ED298C" w:rsidRPr="00453611" w:rsidRDefault="00ED298C" w:rsidP="00310482">
      <w:pPr>
        <w:pStyle w:val="Prrafodelista"/>
        <w:jc w:val="both"/>
        <w:rPr>
          <w:rFonts w:ascii="Arial" w:eastAsia="Calibri" w:hAnsi="Arial" w:cs="Arial"/>
          <w:color w:val="002060"/>
          <w:sz w:val="28"/>
          <w:szCs w:val="28"/>
          <w:lang w:eastAsia="es-ES"/>
        </w:rPr>
      </w:pPr>
    </w:p>
    <w:p w14:paraId="6446065D" w14:textId="77777777" w:rsidR="00F46E03" w:rsidRPr="00453611" w:rsidRDefault="00F46E03" w:rsidP="00310482">
      <w:pPr>
        <w:pStyle w:val="Prrafodelista"/>
        <w:numPr>
          <w:ilvl w:val="0"/>
          <w:numId w:val="1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Tomarles declaración, con abogado presente, a los imputados que tienen 16 años y menos de 18, sin que quede constancia en el acta de detención o en la de instructiva de cargos (cuando aquellos están en libertad), cuál es su respuesta al derecho que tienen –según el artículo 130.2 de la Ley 143 del Proceso Penal- a ser asistidos por un defensor. Aunque en este caso tampoco se le priva al imputado del derecho a la defensa técnica, sí se soslaya su derecho a decidir si la desea o no.</w:t>
      </w:r>
      <w:r w:rsidR="00CF6F98" w:rsidRPr="00453611">
        <w:rPr>
          <w:rFonts w:ascii="Arial" w:eastAsia="Calibri" w:hAnsi="Arial" w:cs="Arial"/>
          <w:color w:val="002060"/>
          <w:sz w:val="28"/>
          <w:szCs w:val="28"/>
          <w:lang w:eastAsia="es-ES"/>
        </w:rPr>
        <w:t xml:space="preserve"> A pesar de ello, no hay causa legal para dictar auto de nulidad.</w:t>
      </w:r>
    </w:p>
    <w:p w14:paraId="6D6F0ACE"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57FE65B0" w14:textId="035CED56" w:rsidR="00F46E03" w:rsidRPr="00453611" w:rsidRDefault="00885E2F" w:rsidP="00310482">
      <w:pPr>
        <w:pStyle w:val="Prrafodelista"/>
        <w:numPr>
          <w:ilvl w:val="0"/>
          <w:numId w:val="11"/>
        </w:numPr>
        <w:spacing w:line="240" w:lineRule="atLeast"/>
        <w:jc w:val="both"/>
        <w:rPr>
          <w:rFonts w:ascii="Arial" w:eastAsia="Calibri" w:hAnsi="Arial" w:cs="Arial"/>
          <w:color w:val="002060"/>
          <w:sz w:val="28"/>
          <w:szCs w:val="28"/>
          <w:lang w:eastAsia="es-ES"/>
        </w:rPr>
      </w:pPr>
      <w:r w:rsidRPr="00453611">
        <w:rPr>
          <w:rFonts w:ascii="Times New Roman" w:eastAsia="Calibri" w:hAnsi="Times New Roman" w:cs="Times New Roman"/>
          <w:color w:val="002060"/>
          <w:sz w:val="28"/>
          <w:szCs w:val="28"/>
          <w:u w:val="single"/>
          <w:lang w:eastAsia="es-ES"/>
        </w:rPr>
        <w:t>LA ASISTENCIA LETRADA EN AQUELLOS CASOS EN LOS QUE LA LEY LO EXIGE</w:t>
      </w:r>
      <w:r w:rsidR="00F46E03" w:rsidRPr="00453611">
        <w:rPr>
          <w:rFonts w:ascii="Arial" w:eastAsia="Calibri" w:hAnsi="Arial" w:cs="Arial"/>
          <w:color w:val="002060"/>
          <w:sz w:val="28"/>
          <w:szCs w:val="28"/>
          <w:lang w:eastAsia="es-ES"/>
        </w:rPr>
        <w:t>. Este es uno de los derechos que con más frecuencia se viola</w:t>
      </w:r>
      <w:r w:rsidR="0081565A" w:rsidRPr="00453611">
        <w:rPr>
          <w:rFonts w:ascii="Arial" w:eastAsia="Calibri" w:hAnsi="Arial" w:cs="Arial"/>
          <w:color w:val="002060"/>
          <w:sz w:val="28"/>
          <w:szCs w:val="28"/>
          <w:lang w:eastAsia="es-ES"/>
        </w:rPr>
        <w:t xml:space="preserve"> en </w:t>
      </w:r>
      <w:r w:rsidR="00287ED4">
        <w:rPr>
          <w:rFonts w:ascii="Arial" w:eastAsia="Calibri" w:hAnsi="Arial" w:cs="Arial"/>
          <w:color w:val="002060"/>
          <w:sz w:val="28"/>
          <w:szCs w:val="28"/>
          <w:lang w:eastAsia="es-ES"/>
        </w:rPr>
        <w:t xml:space="preserve">los </w:t>
      </w:r>
      <w:r w:rsidR="0081565A" w:rsidRPr="00453611">
        <w:rPr>
          <w:rFonts w:ascii="Arial" w:eastAsia="Calibri" w:hAnsi="Arial" w:cs="Arial"/>
          <w:color w:val="002060"/>
          <w:sz w:val="28"/>
          <w:szCs w:val="28"/>
          <w:lang w:eastAsia="es-ES"/>
        </w:rPr>
        <w:t>siguiente</w:t>
      </w:r>
      <w:r w:rsidR="00287ED4">
        <w:rPr>
          <w:rFonts w:ascii="Arial" w:eastAsia="Calibri" w:hAnsi="Arial" w:cs="Arial"/>
          <w:color w:val="002060"/>
          <w:sz w:val="28"/>
          <w:szCs w:val="28"/>
          <w:lang w:eastAsia="es-ES"/>
        </w:rPr>
        <w:t>s</w:t>
      </w:r>
      <w:r w:rsidR="0081565A" w:rsidRPr="00453611">
        <w:rPr>
          <w:rFonts w:ascii="Arial" w:eastAsia="Calibri" w:hAnsi="Arial" w:cs="Arial"/>
          <w:color w:val="002060"/>
          <w:sz w:val="28"/>
          <w:szCs w:val="28"/>
          <w:lang w:eastAsia="es-ES"/>
        </w:rPr>
        <w:t xml:space="preserve"> caso</w:t>
      </w:r>
      <w:r w:rsidR="00287ED4">
        <w:rPr>
          <w:rFonts w:ascii="Arial" w:eastAsia="Calibri" w:hAnsi="Arial" w:cs="Arial"/>
          <w:color w:val="002060"/>
          <w:sz w:val="28"/>
          <w:szCs w:val="28"/>
          <w:lang w:eastAsia="es-ES"/>
        </w:rPr>
        <w:t>s</w:t>
      </w:r>
      <w:r w:rsidR="00F46E03" w:rsidRPr="00453611">
        <w:rPr>
          <w:rFonts w:ascii="Arial" w:eastAsia="Calibri" w:hAnsi="Arial" w:cs="Arial"/>
          <w:color w:val="002060"/>
          <w:sz w:val="28"/>
          <w:szCs w:val="28"/>
          <w:lang w:eastAsia="es-ES"/>
        </w:rPr>
        <w:t>:</w:t>
      </w:r>
    </w:p>
    <w:p w14:paraId="558FFDA8" w14:textId="77777777" w:rsidR="00F46E03" w:rsidRPr="00453611" w:rsidRDefault="00F46E03" w:rsidP="00310482">
      <w:pPr>
        <w:pStyle w:val="Prrafodelista"/>
        <w:spacing w:line="240" w:lineRule="atLeast"/>
        <w:ind w:left="360"/>
        <w:jc w:val="both"/>
        <w:rPr>
          <w:rFonts w:ascii="Arial" w:eastAsia="Calibri" w:hAnsi="Arial" w:cs="Arial"/>
          <w:color w:val="002060"/>
          <w:sz w:val="28"/>
          <w:szCs w:val="28"/>
          <w:lang w:eastAsia="es-ES"/>
        </w:rPr>
      </w:pPr>
    </w:p>
    <w:p w14:paraId="56A4D293" w14:textId="2215BE25" w:rsidR="00287ED4" w:rsidRDefault="00287ED4" w:rsidP="00287ED4">
      <w:pPr>
        <w:pStyle w:val="Prrafodelista"/>
        <w:numPr>
          <w:ilvl w:val="0"/>
          <w:numId w:val="15"/>
        </w:numPr>
        <w:spacing w:line="240" w:lineRule="atLeast"/>
        <w:jc w:val="both"/>
        <w:rPr>
          <w:rFonts w:ascii="Arial" w:eastAsia="Calibri" w:hAnsi="Arial" w:cs="Arial"/>
          <w:color w:val="002060"/>
          <w:sz w:val="28"/>
          <w:szCs w:val="28"/>
          <w:lang w:eastAsia="es-ES"/>
        </w:rPr>
      </w:pPr>
      <w:r w:rsidRPr="00230DC8">
        <w:rPr>
          <w:rFonts w:ascii="Arial" w:eastAsia="Calibri" w:hAnsi="Arial" w:cs="Arial"/>
          <w:color w:val="002060"/>
          <w:sz w:val="28"/>
          <w:szCs w:val="28"/>
          <w:lang w:eastAsia="es-ES"/>
        </w:rPr>
        <w:t>Diligencias que no admitan dilación o que no sean susceptibles de ulterior reproducción</w:t>
      </w:r>
      <w:r>
        <w:rPr>
          <w:rStyle w:val="Refdenotaalpie"/>
          <w:rFonts w:ascii="Arial" w:eastAsia="Calibri" w:hAnsi="Arial" w:cs="Arial"/>
          <w:color w:val="002060"/>
          <w:sz w:val="28"/>
          <w:szCs w:val="28"/>
          <w:lang w:eastAsia="es-ES"/>
        </w:rPr>
        <w:footnoteReference w:id="18"/>
      </w:r>
      <w:r w:rsidRPr="00230DC8">
        <w:rPr>
          <w:rFonts w:ascii="Arial" w:eastAsia="Calibri" w:hAnsi="Arial" w:cs="Arial"/>
          <w:color w:val="002060"/>
          <w:sz w:val="28"/>
          <w:szCs w:val="28"/>
          <w:lang w:eastAsia="es-ES"/>
        </w:rPr>
        <w:t xml:space="preserve">, </w:t>
      </w:r>
      <w:r w:rsidR="007D5F8D">
        <w:rPr>
          <w:rFonts w:ascii="Arial" w:eastAsia="Calibri" w:hAnsi="Arial" w:cs="Arial"/>
          <w:color w:val="002060"/>
          <w:sz w:val="28"/>
          <w:szCs w:val="28"/>
          <w:lang w:eastAsia="es-ES"/>
        </w:rPr>
        <w:t xml:space="preserve">reguladas en el </w:t>
      </w:r>
      <w:r w:rsidRPr="00230DC8">
        <w:rPr>
          <w:rFonts w:ascii="Arial" w:eastAsia="Calibri" w:hAnsi="Arial" w:cs="Arial"/>
          <w:color w:val="002060"/>
          <w:sz w:val="28"/>
          <w:szCs w:val="28"/>
          <w:lang w:eastAsia="es-ES"/>
        </w:rPr>
        <w:t>artículo 189</w:t>
      </w:r>
      <w:r w:rsidR="00DB60B1">
        <w:rPr>
          <w:rStyle w:val="Refdenotaalpie"/>
          <w:rFonts w:ascii="Arial" w:eastAsia="Calibri" w:hAnsi="Arial" w:cs="Arial"/>
          <w:color w:val="002060"/>
          <w:sz w:val="28"/>
          <w:szCs w:val="28"/>
          <w:lang w:eastAsia="es-ES"/>
        </w:rPr>
        <w:footnoteReference w:id="19"/>
      </w:r>
      <w:r w:rsidRPr="00230DC8">
        <w:rPr>
          <w:rFonts w:ascii="Arial" w:eastAsia="Calibri" w:hAnsi="Arial" w:cs="Arial"/>
          <w:color w:val="002060"/>
          <w:sz w:val="28"/>
          <w:szCs w:val="28"/>
          <w:lang w:eastAsia="es-ES"/>
        </w:rPr>
        <w:t xml:space="preserve"> de la Ley </w:t>
      </w:r>
      <w:r w:rsidR="005136CA">
        <w:rPr>
          <w:rFonts w:ascii="Arial" w:eastAsia="Calibri" w:hAnsi="Arial" w:cs="Arial"/>
          <w:color w:val="002060"/>
          <w:sz w:val="28"/>
          <w:szCs w:val="28"/>
          <w:lang w:eastAsia="es-ES"/>
        </w:rPr>
        <w:t xml:space="preserve">143 </w:t>
      </w:r>
      <w:r w:rsidRPr="00230DC8">
        <w:rPr>
          <w:rFonts w:ascii="Arial" w:eastAsia="Calibri" w:hAnsi="Arial" w:cs="Arial"/>
          <w:color w:val="002060"/>
          <w:sz w:val="28"/>
          <w:szCs w:val="28"/>
          <w:lang w:eastAsia="es-ES"/>
        </w:rPr>
        <w:t xml:space="preserve">del Proceso </w:t>
      </w:r>
      <w:r w:rsidRPr="00230DC8">
        <w:rPr>
          <w:rFonts w:ascii="Arial" w:eastAsia="Calibri" w:hAnsi="Arial" w:cs="Arial"/>
          <w:color w:val="002060"/>
          <w:sz w:val="28"/>
          <w:szCs w:val="28"/>
          <w:lang w:eastAsia="es-ES"/>
        </w:rPr>
        <w:lastRenderedPageBreak/>
        <w:t xml:space="preserve">Penal. </w:t>
      </w:r>
      <w:r w:rsidR="00DB60B1">
        <w:rPr>
          <w:rFonts w:ascii="Arial" w:eastAsia="Calibri" w:hAnsi="Arial" w:cs="Arial"/>
          <w:color w:val="002060"/>
          <w:sz w:val="28"/>
          <w:szCs w:val="28"/>
          <w:lang w:eastAsia="es-ES"/>
        </w:rPr>
        <w:t xml:space="preserve">Debe observarse que este artículo </w:t>
      </w:r>
      <w:r w:rsidR="00C345E0">
        <w:rPr>
          <w:rFonts w:ascii="Arial" w:eastAsia="Calibri" w:hAnsi="Arial" w:cs="Arial"/>
          <w:color w:val="002060"/>
          <w:sz w:val="28"/>
          <w:szCs w:val="28"/>
          <w:lang w:eastAsia="es-ES"/>
        </w:rPr>
        <w:t xml:space="preserve">constituye una </w:t>
      </w:r>
      <w:r w:rsidR="00DB60B1">
        <w:rPr>
          <w:rFonts w:ascii="Arial" w:eastAsia="Calibri" w:hAnsi="Arial" w:cs="Arial"/>
          <w:color w:val="002060"/>
          <w:sz w:val="28"/>
          <w:szCs w:val="28"/>
          <w:lang w:eastAsia="es-ES"/>
        </w:rPr>
        <w:t xml:space="preserve">norma general </w:t>
      </w:r>
      <w:r w:rsidR="007D5F8D">
        <w:rPr>
          <w:rFonts w:ascii="Arial" w:eastAsia="Calibri" w:hAnsi="Arial" w:cs="Arial"/>
          <w:color w:val="002060"/>
          <w:sz w:val="28"/>
          <w:szCs w:val="28"/>
          <w:lang w:eastAsia="es-ES"/>
        </w:rPr>
        <w:t xml:space="preserve">obligatoria </w:t>
      </w:r>
      <w:r w:rsidR="00110B44">
        <w:rPr>
          <w:rFonts w:ascii="Arial" w:eastAsia="Calibri" w:hAnsi="Arial" w:cs="Arial"/>
          <w:color w:val="002060"/>
          <w:sz w:val="28"/>
          <w:szCs w:val="28"/>
          <w:lang w:eastAsia="es-ES"/>
        </w:rPr>
        <w:t xml:space="preserve">complementada -para </w:t>
      </w:r>
      <w:r w:rsidR="00F96918">
        <w:rPr>
          <w:rFonts w:ascii="Arial" w:eastAsia="Calibri" w:hAnsi="Arial" w:cs="Arial"/>
          <w:color w:val="002060"/>
          <w:sz w:val="28"/>
          <w:szCs w:val="28"/>
          <w:lang w:eastAsia="es-ES"/>
        </w:rPr>
        <w:t xml:space="preserve">diligencias </w:t>
      </w:r>
      <w:r w:rsidR="00110B44">
        <w:rPr>
          <w:rFonts w:ascii="Arial" w:eastAsia="Calibri" w:hAnsi="Arial" w:cs="Arial"/>
          <w:color w:val="002060"/>
          <w:sz w:val="28"/>
          <w:szCs w:val="28"/>
          <w:lang w:eastAsia="es-ES"/>
        </w:rPr>
        <w:t>específic</w:t>
      </w:r>
      <w:r w:rsidR="00F96918">
        <w:rPr>
          <w:rFonts w:ascii="Arial" w:eastAsia="Calibri" w:hAnsi="Arial" w:cs="Arial"/>
          <w:color w:val="002060"/>
          <w:sz w:val="28"/>
          <w:szCs w:val="28"/>
          <w:lang w:eastAsia="es-ES"/>
        </w:rPr>
        <w:t>a</w:t>
      </w:r>
      <w:r w:rsidR="00110B44">
        <w:rPr>
          <w:rFonts w:ascii="Arial" w:eastAsia="Calibri" w:hAnsi="Arial" w:cs="Arial"/>
          <w:color w:val="002060"/>
          <w:sz w:val="28"/>
          <w:szCs w:val="28"/>
          <w:lang w:eastAsia="es-ES"/>
        </w:rPr>
        <w:t xml:space="preserve">s- </w:t>
      </w:r>
      <w:r w:rsidR="00C525A9">
        <w:rPr>
          <w:rFonts w:ascii="Arial" w:eastAsia="Calibri" w:hAnsi="Arial" w:cs="Arial"/>
          <w:color w:val="002060"/>
          <w:sz w:val="28"/>
          <w:szCs w:val="28"/>
          <w:lang w:eastAsia="es-ES"/>
        </w:rPr>
        <w:t>por ot</w:t>
      </w:r>
      <w:r w:rsidR="00DB60B1">
        <w:rPr>
          <w:rFonts w:ascii="Arial" w:eastAsia="Calibri" w:hAnsi="Arial" w:cs="Arial"/>
          <w:color w:val="002060"/>
          <w:sz w:val="28"/>
          <w:szCs w:val="28"/>
          <w:lang w:eastAsia="es-ES"/>
        </w:rPr>
        <w:t>ras disposiciones procesales</w:t>
      </w:r>
      <w:r w:rsidR="00C525A9">
        <w:rPr>
          <w:rFonts w:ascii="Arial" w:eastAsia="Calibri" w:hAnsi="Arial" w:cs="Arial"/>
          <w:color w:val="002060"/>
          <w:sz w:val="28"/>
          <w:szCs w:val="28"/>
          <w:lang w:eastAsia="es-ES"/>
        </w:rPr>
        <w:t>. Entre estas últimas se encuentra -en lo concerniente a la necesidad de la comparecencia del fiscal y del abogado- el artículo 271.3 y el artículo 278 (en especial, sus incisos 3 y 4) de la Ley adjetiva.</w:t>
      </w:r>
    </w:p>
    <w:p w14:paraId="7FC2D1EC" w14:textId="49209DAC" w:rsidR="005374C2" w:rsidRDefault="005374C2" w:rsidP="005374C2">
      <w:pPr>
        <w:pStyle w:val="Prrafodelista"/>
        <w:spacing w:line="240" w:lineRule="atLeast"/>
        <w:jc w:val="both"/>
        <w:rPr>
          <w:rFonts w:ascii="Arial" w:eastAsia="Calibri" w:hAnsi="Arial" w:cs="Arial"/>
          <w:color w:val="002060"/>
          <w:sz w:val="28"/>
          <w:szCs w:val="28"/>
          <w:lang w:eastAsia="es-ES"/>
        </w:rPr>
      </w:pPr>
    </w:p>
    <w:p w14:paraId="034D99BE" w14:textId="19B2A085" w:rsidR="005374C2" w:rsidRPr="00230DC8" w:rsidRDefault="005374C2" w:rsidP="005374C2">
      <w:pPr>
        <w:pStyle w:val="Prrafodelista"/>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La infracción del artículo 189 provocará uno u otro tipo de nulidad en dependencia de la situación en que se halle el presunto responsable cuando se practique la diligencia</w:t>
      </w:r>
      <w:r w:rsidR="00F96918">
        <w:rPr>
          <w:rFonts w:ascii="Arial" w:eastAsia="Calibri" w:hAnsi="Arial" w:cs="Arial"/>
          <w:color w:val="002060"/>
          <w:sz w:val="28"/>
          <w:szCs w:val="28"/>
          <w:lang w:eastAsia="es-ES"/>
        </w:rPr>
        <w:t xml:space="preserve"> de que se trate</w:t>
      </w:r>
      <w:r>
        <w:rPr>
          <w:rFonts w:ascii="Arial" w:eastAsia="Calibri" w:hAnsi="Arial" w:cs="Arial"/>
          <w:color w:val="002060"/>
          <w:sz w:val="28"/>
          <w:szCs w:val="28"/>
          <w:lang w:eastAsia="es-ES"/>
        </w:rPr>
        <w:t xml:space="preserve">. Si ya está imputado y no se le garantiza un abogado de oficio, en caso </w:t>
      </w:r>
      <w:r w:rsidR="00E54D89">
        <w:rPr>
          <w:rFonts w:ascii="Arial" w:eastAsia="Calibri" w:hAnsi="Arial" w:cs="Arial"/>
          <w:color w:val="002060"/>
          <w:sz w:val="28"/>
          <w:szCs w:val="28"/>
          <w:lang w:eastAsia="es-ES"/>
        </w:rPr>
        <w:t xml:space="preserve">de </w:t>
      </w:r>
      <w:r>
        <w:rPr>
          <w:rFonts w:ascii="Arial" w:eastAsia="Calibri" w:hAnsi="Arial" w:cs="Arial"/>
          <w:color w:val="002060"/>
          <w:sz w:val="28"/>
          <w:szCs w:val="28"/>
          <w:lang w:eastAsia="es-ES"/>
        </w:rPr>
        <w:t xml:space="preserve">que -por cualquier motivo- no lo haya designado, se violaría el artículo 94 a) de la Constitución y ello acarrearía la nulidad absoluta de la diligencia </w:t>
      </w:r>
      <w:r w:rsidR="000D491C">
        <w:rPr>
          <w:rFonts w:ascii="Arial" w:eastAsia="Calibri" w:hAnsi="Arial" w:cs="Arial"/>
          <w:color w:val="002060"/>
          <w:sz w:val="28"/>
          <w:szCs w:val="28"/>
          <w:lang w:eastAsia="es-ES"/>
        </w:rPr>
        <w:t>practicada</w:t>
      </w:r>
      <w:r>
        <w:rPr>
          <w:rFonts w:ascii="Arial" w:eastAsia="Calibri" w:hAnsi="Arial" w:cs="Arial"/>
          <w:color w:val="002060"/>
          <w:sz w:val="28"/>
          <w:szCs w:val="28"/>
          <w:lang w:eastAsia="es-ES"/>
        </w:rPr>
        <w:t xml:space="preserve">. En el resto de los supuestos contemplados en el inciso 2 del artículo 189, de resultar infringidos, se daría lugar a una nulidad relativa.   </w:t>
      </w:r>
    </w:p>
    <w:p w14:paraId="35EC1E45" w14:textId="77777777" w:rsidR="00230DC8" w:rsidRDefault="00230DC8" w:rsidP="00230DC8">
      <w:pPr>
        <w:pStyle w:val="Prrafodelista"/>
        <w:spacing w:line="240" w:lineRule="atLeast"/>
        <w:jc w:val="both"/>
        <w:rPr>
          <w:rFonts w:ascii="Arial" w:eastAsia="Calibri" w:hAnsi="Arial" w:cs="Arial"/>
          <w:color w:val="002060"/>
          <w:sz w:val="28"/>
          <w:szCs w:val="28"/>
          <w:lang w:eastAsia="es-ES"/>
        </w:rPr>
      </w:pPr>
    </w:p>
    <w:p w14:paraId="24DC0C14" w14:textId="753B3EB8" w:rsidR="00FD16FD" w:rsidRPr="00453611" w:rsidRDefault="00F46E03" w:rsidP="00310482">
      <w:pPr>
        <w:pStyle w:val="Prrafodelista"/>
        <w:numPr>
          <w:ilvl w:val="0"/>
          <w:numId w:val="15"/>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designársele al imputado un abogado de oficio –cuando carece de defensor de su elección</w:t>
      </w:r>
      <w:r w:rsidR="00142A04" w:rsidRPr="00453611">
        <w:rPr>
          <w:rFonts w:ascii="Arial" w:eastAsia="Calibri" w:hAnsi="Arial" w:cs="Arial"/>
          <w:color w:val="002060"/>
          <w:sz w:val="28"/>
          <w:szCs w:val="28"/>
          <w:lang w:eastAsia="es-ES"/>
        </w:rPr>
        <w:t xml:space="preserve"> </w:t>
      </w:r>
      <w:r w:rsidR="009607CC" w:rsidRPr="00453611">
        <w:rPr>
          <w:rFonts w:ascii="Arial" w:eastAsia="Calibri" w:hAnsi="Arial" w:cs="Arial"/>
          <w:color w:val="002060"/>
          <w:sz w:val="28"/>
          <w:szCs w:val="28"/>
          <w:lang w:eastAsia="es-ES"/>
        </w:rPr>
        <w:t xml:space="preserve">o </w:t>
      </w:r>
      <w:r w:rsidR="00142A04" w:rsidRPr="00453611">
        <w:rPr>
          <w:rFonts w:ascii="Arial" w:eastAsia="Calibri" w:hAnsi="Arial" w:cs="Arial"/>
          <w:color w:val="002060"/>
          <w:sz w:val="28"/>
          <w:szCs w:val="28"/>
          <w:lang w:eastAsia="es-ES"/>
        </w:rPr>
        <w:t>se encuentra detenido</w:t>
      </w:r>
      <w:r w:rsidRPr="00453611">
        <w:rPr>
          <w:rFonts w:ascii="Arial" w:eastAsia="Calibri" w:hAnsi="Arial" w:cs="Arial"/>
          <w:color w:val="002060"/>
          <w:sz w:val="28"/>
          <w:szCs w:val="28"/>
          <w:lang w:eastAsia="es-ES"/>
        </w:rPr>
        <w:t xml:space="preserve">- para que se cumpla con el trámite previsto en el inciso 3 del artículo </w:t>
      </w:r>
      <w:r w:rsidR="008C03AE" w:rsidRPr="00453611">
        <w:rPr>
          <w:rFonts w:ascii="Arial" w:eastAsia="Calibri" w:hAnsi="Arial" w:cs="Arial"/>
          <w:color w:val="002060"/>
          <w:sz w:val="28"/>
          <w:szCs w:val="28"/>
          <w:lang w:eastAsia="es-ES"/>
        </w:rPr>
        <w:t>271</w:t>
      </w:r>
      <w:r w:rsidRPr="00453611">
        <w:rPr>
          <w:rFonts w:ascii="Arial" w:eastAsia="Calibri" w:hAnsi="Arial" w:cs="Arial"/>
          <w:color w:val="002060"/>
          <w:sz w:val="28"/>
          <w:szCs w:val="28"/>
          <w:lang w:eastAsia="es-ES"/>
        </w:rPr>
        <w:t xml:space="preserve"> de la Ley del Proceso Penal</w:t>
      </w:r>
      <w:r w:rsidRPr="00453611">
        <w:rPr>
          <w:rStyle w:val="Refdenotaalpie"/>
          <w:rFonts w:ascii="Arial" w:eastAsia="Calibri" w:hAnsi="Arial" w:cs="Arial"/>
          <w:color w:val="002060"/>
          <w:sz w:val="28"/>
          <w:szCs w:val="28"/>
          <w:lang w:eastAsia="es-ES"/>
        </w:rPr>
        <w:footnoteReference w:id="20"/>
      </w:r>
      <w:r w:rsidRPr="00453611">
        <w:rPr>
          <w:rFonts w:ascii="Arial" w:eastAsia="Calibri" w:hAnsi="Arial" w:cs="Arial"/>
          <w:color w:val="002060"/>
          <w:sz w:val="28"/>
          <w:szCs w:val="28"/>
          <w:lang w:eastAsia="es-ES"/>
        </w:rPr>
        <w:t xml:space="preserve">. No debe confundirse aquí el derecho del imputado </w:t>
      </w:r>
      <w:r w:rsidR="00DF769C" w:rsidRPr="00453611">
        <w:rPr>
          <w:rFonts w:ascii="Arial" w:eastAsia="Calibri" w:hAnsi="Arial" w:cs="Arial"/>
          <w:color w:val="002060"/>
          <w:sz w:val="28"/>
          <w:szCs w:val="28"/>
          <w:lang w:eastAsia="es-ES"/>
        </w:rPr>
        <w:t xml:space="preserve">a decidir si desea un abogado </w:t>
      </w:r>
      <w:r w:rsidRPr="00453611">
        <w:rPr>
          <w:rFonts w:ascii="Arial" w:eastAsia="Calibri" w:hAnsi="Arial" w:cs="Arial"/>
          <w:color w:val="002060"/>
          <w:sz w:val="28"/>
          <w:szCs w:val="28"/>
          <w:lang w:eastAsia="es-ES"/>
        </w:rPr>
        <w:t>para prestar declaración, con la obligación de representación letrada que establece</w:t>
      </w:r>
      <w:r w:rsidR="00711A24">
        <w:rPr>
          <w:rFonts w:ascii="Arial" w:eastAsia="Calibri" w:hAnsi="Arial" w:cs="Arial"/>
          <w:color w:val="002060"/>
          <w:sz w:val="28"/>
          <w:szCs w:val="28"/>
          <w:lang w:eastAsia="es-ES"/>
        </w:rPr>
        <w:t xml:space="preserve">n los </w:t>
      </w:r>
      <w:r w:rsidRPr="00453611">
        <w:rPr>
          <w:rFonts w:ascii="Arial" w:eastAsia="Calibri" w:hAnsi="Arial" w:cs="Arial"/>
          <w:color w:val="002060"/>
          <w:sz w:val="28"/>
          <w:szCs w:val="28"/>
          <w:lang w:eastAsia="es-ES"/>
        </w:rPr>
        <w:t>artículo</w:t>
      </w:r>
      <w:r w:rsidR="00711A24">
        <w:rPr>
          <w:rFonts w:ascii="Arial" w:eastAsia="Calibri" w:hAnsi="Arial" w:cs="Arial"/>
          <w:color w:val="002060"/>
          <w:sz w:val="28"/>
          <w:szCs w:val="28"/>
          <w:lang w:eastAsia="es-ES"/>
        </w:rPr>
        <w:t>s</w:t>
      </w:r>
      <w:r w:rsidRPr="00453611">
        <w:rPr>
          <w:rFonts w:ascii="Arial" w:eastAsia="Calibri" w:hAnsi="Arial" w:cs="Arial"/>
          <w:color w:val="002060"/>
          <w:sz w:val="28"/>
          <w:szCs w:val="28"/>
          <w:lang w:eastAsia="es-ES"/>
        </w:rPr>
        <w:t xml:space="preserve"> 12</w:t>
      </w:r>
      <w:r w:rsidR="001B59C5">
        <w:rPr>
          <w:rFonts w:ascii="Arial" w:eastAsia="Calibri" w:hAnsi="Arial" w:cs="Arial"/>
          <w:color w:val="002060"/>
          <w:sz w:val="28"/>
          <w:szCs w:val="28"/>
          <w:lang w:eastAsia="es-ES"/>
        </w:rPr>
        <w:t>.3</w:t>
      </w:r>
      <w:r w:rsidR="00E64CBB">
        <w:rPr>
          <w:rStyle w:val="Refdenotaalpie"/>
          <w:rFonts w:ascii="Arial" w:eastAsia="Calibri" w:hAnsi="Arial" w:cs="Arial"/>
          <w:color w:val="002060"/>
          <w:sz w:val="28"/>
          <w:szCs w:val="28"/>
          <w:lang w:eastAsia="es-ES"/>
        </w:rPr>
        <w:footnoteReference w:id="21"/>
      </w:r>
      <w:r w:rsidR="00AD6259">
        <w:rPr>
          <w:rFonts w:ascii="Arial" w:eastAsia="Calibri" w:hAnsi="Arial" w:cs="Arial"/>
          <w:color w:val="002060"/>
          <w:sz w:val="28"/>
          <w:szCs w:val="28"/>
          <w:lang w:eastAsia="es-ES"/>
        </w:rPr>
        <w:t xml:space="preserve"> y 189</w:t>
      </w:r>
      <w:r w:rsidR="003A4709">
        <w:rPr>
          <w:rFonts w:ascii="Arial" w:eastAsia="Calibri" w:hAnsi="Arial" w:cs="Arial"/>
          <w:color w:val="002060"/>
          <w:sz w:val="28"/>
          <w:szCs w:val="28"/>
          <w:lang w:eastAsia="es-ES"/>
        </w:rPr>
        <w:t>.2</w:t>
      </w:r>
      <w:r w:rsidR="00AD6259">
        <w:rPr>
          <w:rFonts w:ascii="Arial" w:eastAsia="Calibri" w:hAnsi="Arial" w:cs="Arial"/>
          <w:color w:val="002060"/>
          <w:sz w:val="28"/>
          <w:szCs w:val="28"/>
          <w:lang w:eastAsia="es-ES"/>
        </w:rPr>
        <w:t xml:space="preserve"> </w:t>
      </w:r>
      <w:r w:rsidR="00711A24" w:rsidRPr="00453611">
        <w:rPr>
          <w:rFonts w:ascii="Arial" w:eastAsia="Calibri" w:hAnsi="Arial" w:cs="Arial"/>
          <w:color w:val="002060"/>
          <w:sz w:val="28"/>
          <w:szCs w:val="28"/>
          <w:lang w:eastAsia="es-ES"/>
        </w:rPr>
        <w:t xml:space="preserve">de la Ley </w:t>
      </w:r>
      <w:r w:rsidR="0072535E">
        <w:rPr>
          <w:rFonts w:ascii="Arial" w:eastAsia="Calibri" w:hAnsi="Arial" w:cs="Arial"/>
          <w:color w:val="002060"/>
          <w:sz w:val="28"/>
          <w:szCs w:val="28"/>
          <w:lang w:eastAsia="es-ES"/>
        </w:rPr>
        <w:t>p</w:t>
      </w:r>
      <w:r w:rsidR="00711A24" w:rsidRPr="00453611">
        <w:rPr>
          <w:rFonts w:ascii="Arial" w:eastAsia="Calibri" w:hAnsi="Arial" w:cs="Arial"/>
          <w:color w:val="002060"/>
          <w:sz w:val="28"/>
          <w:szCs w:val="28"/>
          <w:lang w:eastAsia="es-ES"/>
        </w:rPr>
        <w:t>rocesal</w:t>
      </w:r>
      <w:r w:rsidR="00AD6259">
        <w:rPr>
          <w:rFonts w:ascii="Arial" w:eastAsia="Calibri" w:hAnsi="Arial" w:cs="Arial"/>
          <w:color w:val="002060"/>
          <w:sz w:val="28"/>
          <w:szCs w:val="28"/>
          <w:lang w:eastAsia="es-ES"/>
        </w:rPr>
        <w:t>.</w:t>
      </w:r>
      <w:r w:rsidR="00DF769C" w:rsidRPr="00453611">
        <w:rPr>
          <w:rFonts w:ascii="Arial" w:eastAsia="Calibri" w:hAnsi="Arial" w:cs="Arial"/>
          <w:color w:val="002060"/>
          <w:sz w:val="28"/>
          <w:szCs w:val="28"/>
          <w:lang w:eastAsia="es-ES"/>
        </w:rPr>
        <w:t xml:space="preserve"> </w:t>
      </w:r>
    </w:p>
    <w:p w14:paraId="16EBC143" w14:textId="77777777" w:rsidR="00FD16FD" w:rsidRPr="00453611" w:rsidRDefault="00FD16FD" w:rsidP="00310482">
      <w:pPr>
        <w:pStyle w:val="Prrafodelista"/>
        <w:spacing w:line="240" w:lineRule="atLeast"/>
        <w:jc w:val="both"/>
        <w:rPr>
          <w:rFonts w:ascii="Arial" w:eastAsia="Calibri" w:hAnsi="Arial" w:cs="Arial"/>
          <w:color w:val="002060"/>
          <w:sz w:val="28"/>
          <w:szCs w:val="28"/>
          <w:lang w:eastAsia="es-ES"/>
        </w:rPr>
      </w:pPr>
    </w:p>
    <w:p w14:paraId="36273964" w14:textId="7C6B95F4" w:rsidR="00FD16FD" w:rsidRPr="00453611" w:rsidRDefault="00FD16FD" w:rsidP="00310482">
      <w:pPr>
        <w:pStyle w:val="Prrafodelista"/>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La exploración del menor c</w:t>
      </w:r>
      <w:r w:rsidR="002C58A2" w:rsidRPr="00453611">
        <w:rPr>
          <w:rFonts w:ascii="Arial" w:eastAsia="Calibri" w:hAnsi="Arial" w:cs="Arial"/>
          <w:color w:val="002060"/>
          <w:sz w:val="28"/>
          <w:szCs w:val="28"/>
          <w:lang w:eastAsia="es-ES"/>
        </w:rPr>
        <w:t xml:space="preserve">lasifica como el tipo de </w:t>
      </w:r>
      <w:r w:rsidRPr="00453611">
        <w:rPr>
          <w:rFonts w:ascii="Arial" w:eastAsia="Calibri" w:hAnsi="Arial" w:cs="Arial"/>
          <w:color w:val="002060"/>
          <w:sz w:val="28"/>
          <w:szCs w:val="28"/>
          <w:lang w:eastAsia="es-ES"/>
        </w:rPr>
        <w:t>diligencia que no es susceptible de ulterior reproducción (debido al riesgo objetivo de revictimización</w:t>
      </w:r>
      <w:r w:rsidR="00D8202C">
        <w:rPr>
          <w:rStyle w:val="Refdenotaalpie"/>
          <w:rFonts w:ascii="Arial" w:eastAsia="Calibri" w:hAnsi="Arial" w:cs="Arial"/>
          <w:color w:val="002060"/>
          <w:sz w:val="28"/>
          <w:szCs w:val="28"/>
          <w:lang w:eastAsia="es-ES"/>
        </w:rPr>
        <w:footnoteReference w:id="22"/>
      </w:r>
      <w:r w:rsidRPr="00453611">
        <w:rPr>
          <w:rFonts w:ascii="Arial" w:eastAsia="Calibri" w:hAnsi="Arial" w:cs="Arial"/>
          <w:color w:val="002060"/>
          <w:sz w:val="28"/>
          <w:szCs w:val="28"/>
          <w:lang w:eastAsia="es-ES"/>
        </w:rPr>
        <w:t xml:space="preserve">), por lo que, en su realización, </w:t>
      </w:r>
      <w:r w:rsidR="00A63F33">
        <w:rPr>
          <w:rFonts w:ascii="Arial" w:eastAsia="Calibri" w:hAnsi="Arial" w:cs="Arial"/>
          <w:color w:val="002060"/>
          <w:sz w:val="28"/>
          <w:szCs w:val="28"/>
          <w:lang w:eastAsia="es-ES"/>
        </w:rPr>
        <w:t xml:space="preserve">debe tenerse en cuenta </w:t>
      </w:r>
      <w:r w:rsidRPr="00453611">
        <w:rPr>
          <w:rFonts w:ascii="Arial" w:eastAsia="Calibri" w:hAnsi="Arial" w:cs="Arial"/>
          <w:color w:val="002060"/>
          <w:sz w:val="28"/>
          <w:szCs w:val="28"/>
          <w:lang w:eastAsia="es-ES"/>
        </w:rPr>
        <w:t>lo dispuesto</w:t>
      </w:r>
      <w:r w:rsidR="00D35201">
        <w:rPr>
          <w:rFonts w:ascii="Arial" w:eastAsia="Calibri" w:hAnsi="Arial" w:cs="Arial"/>
          <w:color w:val="002060"/>
          <w:sz w:val="28"/>
          <w:szCs w:val="28"/>
          <w:lang w:eastAsia="es-ES"/>
        </w:rPr>
        <w:t>, de forma general,</w:t>
      </w:r>
      <w:r w:rsidRPr="00453611">
        <w:rPr>
          <w:rFonts w:ascii="Arial" w:eastAsia="Calibri" w:hAnsi="Arial" w:cs="Arial"/>
          <w:color w:val="002060"/>
          <w:sz w:val="28"/>
          <w:szCs w:val="28"/>
          <w:lang w:eastAsia="es-ES"/>
        </w:rPr>
        <w:t xml:space="preserve"> en el artículo 189 de la Ley del Proceso Penal. </w:t>
      </w:r>
      <w:r w:rsidR="003D295E" w:rsidRPr="00453611">
        <w:rPr>
          <w:rFonts w:ascii="Arial" w:eastAsia="Calibri" w:hAnsi="Arial" w:cs="Arial"/>
          <w:color w:val="002060"/>
          <w:sz w:val="28"/>
          <w:szCs w:val="28"/>
          <w:lang w:eastAsia="es-ES"/>
        </w:rPr>
        <w:t>La peculiaridad de la exploración del menor</w:t>
      </w:r>
      <w:r w:rsidR="00390D62">
        <w:rPr>
          <w:rFonts w:ascii="Arial" w:eastAsia="Calibri" w:hAnsi="Arial" w:cs="Arial"/>
          <w:color w:val="002060"/>
          <w:sz w:val="28"/>
          <w:szCs w:val="28"/>
          <w:lang w:eastAsia="es-ES"/>
        </w:rPr>
        <w:t xml:space="preserve"> </w:t>
      </w:r>
      <w:r w:rsidR="003D295E" w:rsidRPr="00453611">
        <w:rPr>
          <w:rFonts w:ascii="Arial" w:eastAsia="Calibri" w:hAnsi="Arial" w:cs="Arial"/>
          <w:color w:val="002060"/>
          <w:sz w:val="28"/>
          <w:szCs w:val="28"/>
          <w:lang w:eastAsia="es-ES"/>
        </w:rPr>
        <w:t xml:space="preserve">es que la participación del abogado y del imputado, en caso de acceder a ello, </w:t>
      </w:r>
      <w:r w:rsidR="00ED2083">
        <w:rPr>
          <w:rFonts w:ascii="Arial" w:eastAsia="Calibri" w:hAnsi="Arial" w:cs="Arial"/>
          <w:color w:val="002060"/>
          <w:sz w:val="28"/>
          <w:szCs w:val="28"/>
          <w:lang w:eastAsia="es-ES"/>
        </w:rPr>
        <w:t xml:space="preserve">se lleva a cabo </w:t>
      </w:r>
      <w:r w:rsidR="003D295E" w:rsidRPr="00453611">
        <w:rPr>
          <w:rFonts w:ascii="Arial" w:eastAsia="Calibri" w:hAnsi="Arial" w:cs="Arial"/>
          <w:color w:val="002060"/>
          <w:sz w:val="28"/>
          <w:szCs w:val="28"/>
          <w:lang w:eastAsia="es-ES"/>
        </w:rPr>
        <w:t>mediante preguntas, no a través de la presencia física</w:t>
      </w:r>
      <w:r w:rsidR="00ED2083">
        <w:rPr>
          <w:rFonts w:ascii="Arial" w:eastAsia="Calibri" w:hAnsi="Arial" w:cs="Arial"/>
          <w:color w:val="002060"/>
          <w:sz w:val="28"/>
          <w:szCs w:val="28"/>
          <w:lang w:eastAsia="es-ES"/>
        </w:rPr>
        <w:t xml:space="preserve"> de aquellos ante el menor</w:t>
      </w:r>
      <w:r w:rsidR="00836173">
        <w:rPr>
          <w:rStyle w:val="Refdenotaalpie"/>
          <w:rFonts w:ascii="Arial" w:eastAsia="Calibri" w:hAnsi="Arial" w:cs="Arial"/>
          <w:color w:val="002060"/>
          <w:sz w:val="28"/>
          <w:szCs w:val="28"/>
          <w:lang w:eastAsia="es-ES"/>
        </w:rPr>
        <w:footnoteReference w:id="23"/>
      </w:r>
      <w:r w:rsidR="003D295E" w:rsidRPr="00453611">
        <w:rPr>
          <w:rFonts w:ascii="Arial" w:eastAsia="Calibri" w:hAnsi="Arial" w:cs="Arial"/>
          <w:color w:val="002060"/>
          <w:sz w:val="28"/>
          <w:szCs w:val="28"/>
          <w:lang w:eastAsia="es-ES"/>
        </w:rPr>
        <w:t>.</w:t>
      </w:r>
    </w:p>
    <w:p w14:paraId="2048E569" w14:textId="77777777" w:rsidR="00FD16FD" w:rsidRPr="00453611" w:rsidRDefault="00FD16FD" w:rsidP="00310482">
      <w:pPr>
        <w:pStyle w:val="Prrafodelista"/>
        <w:spacing w:line="240" w:lineRule="atLeast"/>
        <w:jc w:val="both"/>
        <w:rPr>
          <w:rFonts w:ascii="Arial" w:eastAsia="Calibri" w:hAnsi="Arial" w:cs="Arial"/>
          <w:color w:val="002060"/>
          <w:sz w:val="28"/>
          <w:szCs w:val="28"/>
          <w:lang w:eastAsia="es-ES"/>
        </w:rPr>
      </w:pPr>
    </w:p>
    <w:p w14:paraId="10030561" w14:textId="4C8B0BA7" w:rsidR="00F46E03" w:rsidRDefault="005469C2" w:rsidP="00310482">
      <w:pPr>
        <w:pStyle w:val="Prrafodelista"/>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La violación de lo establecido en los artículos 12.3, 130.</w:t>
      </w:r>
      <w:r w:rsidR="00777E71">
        <w:rPr>
          <w:rFonts w:ascii="Arial" w:eastAsia="Calibri" w:hAnsi="Arial" w:cs="Arial"/>
          <w:color w:val="002060"/>
          <w:sz w:val="28"/>
          <w:szCs w:val="28"/>
          <w:lang w:eastAsia="es-ES"/>
        </w:rPr>
        <w:t>1</w:t>
      </w:r>
      <w:r w:rsidRPr="00453611">
        <w:rPr>
          <w:rFonts w:ascii="Arial" w:eastAsia="Calibri" w:hAnsi="Arial" w:cs="Arial"/>
          <w:color w:val="002060"/>
          <w:sz w:val="28"/>
          <w:szCs w:val="28"/>
          <w:lang w:eastAsia="es-ES"/>
        </w:rPr>
        <w:t xml:space="preserve">c), 183, 189.2 y 271.3 de la Ley del Proceso Penal, afecta el </w:t>
      </w:r>
      <w:r w:rsidR="00C820CC" w:rsidRPr="00453611">
        <w:rPr>
          <w:rFonts w:ascii="Arial" w:eastAsia="Calibri" w:hAnsi="Arial" w:cs="Arial"/>
          <w:color w:val="002060"/>
          <w:sz w:val="28"/>
          <w:szCs w:val="28"/>
          <w:lang w:eastAsia="es-ES"/>
        </w:rPr>
        <w:t xml:space="preserve">derecho </w:t>
      </w:r>
      <w:r w:rsidRPr="00453611">
        <w:rPr>
          <w:rFonts w:ascii="Arial" w:eastAsia="Calibri" w:hAnsi="Arial" w:cs="Arial"/>
          <w:color w:val="002060"/>
          <w:sz w:val="28"/>
          <w:szCs w:val="28"/>
          <w:lang w:eastAsia="es-ES"/>
        </w:rPr>
        <w:t xml:space="preserve">del imputado </w:t>
      </w:r>
      <w:r w:rsidR="00247E7D">
        <w:rPr>
          <w:rFonts w:ascii="Arial" w:eastAsia="Calibri" w:hAnsi="Arial" w:cs="Arial"/>
          <w:color w:val="002060"/>
          <w:sz w:val="28"/>
          <w:szCs w:val="28"/>
          <w:lang w:eastAsia="es-ES"/>
        </w:rPr>
        <w:t xml:space="preserve">(actual o futuro) </w:t>
      </w:r>
      <w:r w:rsidR="00C820CC" w:rsidRPr="00453611">
        <w:rPr>
          <w:rFonts w:ascii="Arial" w:eastAsia="Calibri" w:hAnsi="Arial" w:cs="Arial"/>
          <w:color w:val="002060"/>
          <w:sz w:val="28"/>
          <w:szCs w:val="28"/>
          <w:lang w:eastAsia="es-ES"/>
        </w:rPr>
        <w:t xml:space="preserve">a la defensa técnica en una diligencia que </w:t>
      </w:r>
      <w:r w:rsidR="00FD16FD" w:rsidRPr="00453611">
        <w:rPr>
          <w:rFonts w:ascii="Arial" w:eastAsia="Calibri" w:hAnsi="Arial" w:cs="Arial"/>
          <w:color w:val="002060"/>
          <w:sz w:val="28"/>
          <w:szCs w:val="28"/>
          <w:lang w:eastAsia="es-ES"/>
        </w:rPr>
        <w:t xml:space="preserve">resulta equivalente </w:t>
      </w:r>
      <w:r w:rsidR="00C820CC" w:rsidRPr="00453611">
        <w:rPr>
          <w:rFonts w:ascii="Arial" w:eastAsia="Calibri" w:hAnsi="Arial" w:cs="Arial"/>
          <w:color w:val="002060"/>
          <w:sz w:val="28"/>
          <w:szCs w:val="28"/>
          <w:lang w:eastAsia="es-ES"/>
        </w:rPr>
        <w:t xml:space="preserve">a una prueba anticipada. </w:t>
      </w:r>
      <w:r w:rsidR="00DF769C" w:rsidRPr="00453611">
        <w:rPr>
          <w:rFonts w:ascii="Arial" w:eastAsia="Calibri" w:hAnsi="Arial" w:cs="Arial"/>
          <w:color w:val="002060"/>
          <w:sz w:val="28"/>
          <w:szCs w:val="28"/>
          <w:lang w:eastAsia="es-ES"/>
        </w:rPr>
        <w:t>Es</w:t>
      </w:r>
      <w:r w:rsidR="001315AB" w:rsidRPr="00453611">
        <w:rPr>
          <w:rFonts w:ascii="Arial" w:eastAsia="Calibri" w:hAnsi="Arial" w:cs="Arial"/>
          <w:color w:val="002060"/>
          <w:sz w:val="28"/>
          <w:szCs w:val="28"/>
          <w:lang w:eastAsia="es-ES"/>
        </w:rPr>
        <w:t xml:space="preserve"> de notar que es</w:t>
      </w:r>
      <w:r w:rsidR="00DF769C" w:rsidRPr="00453611">
        <w:rPr>
          <w:rFonts w:ascii="Arial" w:eastAsia="Calibri" w:hAnsi="Arial" w:cs="Arial"/>
          <w:color w:val="002060"/>
          <w:sz w:val="28"/>
          <w:szCs w:val="28"/>
          <w:lang w:eastAsia="es-ES"/>
        </w:rPr>
        <w:t xml:space="preserve">ta omisión procesal infringe </w:t>
      </w:r>
      <w:r w:rsidR="00BF6F66" w:rsidRPr="00453611">
        <w:rPr>
          <w:rFonts w:ascii="Arial" w:eastAsia="Calibri" w:hAnsi="Arial" w:cs="Arial"/>
          <w:color w:val="002060"/>
          <w:sz w:val="28"/>
          <w:szCs w:val="28"/>
          <w:lang w:eastAsia="es-ES"/>
        </w:rPr>
        <w:t xml:space="preserve">también </w:t>
      </w:r>
      <w:r w:rsidR="00DF769C" w:rsidRPr="00453611">
        <w:rPr>
          <w:rFonts w:ascii="Arial" w:eastAsia="Calibri" w:hAnsi="Arial" w:cs="Arial"/>
          <w:color w:val="002060"/>
          <w:sz w:val="28"/>
          <w:szCs w:val="28"/>
          <w:lang w:eastAsia="es-ES"/>
        </w:rPr>
        <w:t>lo establecido en el artículo 94</w:t>
      </w:r>
      <w:r w:rsidR="00BF6F66" w:rsidRPr="00453611">
        <w:rPr>
          <w:rFonts w:ascii="Arial" w:eastAsia="Calibri" w:hAnsi="Arial" w:cs="Arial"/>
          <w:color w:val="002060"/>
          <w:sz w:val="28"/>
          <w:szCs w:val="28"/>
          <w:lang w:eastAsia="es-ES"/>
        </w:rPr>
        <w:t>,</w:t>
      </w:r>
      <w:r w:rsidR="00DF769C" w:rsidRPr="00453611">
        <w:rPr>
          <w:rFonts w:ascii="Arial" w:eastAsia="Calibri" w:hAnsi="Arial" w:cs="Arial"/>
          <w:color w:val="002060"/>
          <w:sz w:val="28"/>
          <w:szCs w:val="28"/>
          <w:lang w:eastAsia="es-ES"/>
        </w:rPr>
        <w:t xml:space="preserve"> incisos a) y b)</w:t>
      </w:r>
      <w:r w:rsidR="001315AB" w:rsidRPr="00453611">
        <w:rPr>
          <w:rFonts w:ascii="Arial" w:eastAsia="Calibri" w:hAnsi="Arial" w:cs="Arial"/>
          <w:color w:val="002060"/>
          <w:sz w:val="28"/>
          <w:szCs w:val="28"/>
          <w:lang w:eastAsia="es-ES"/>
        </w:rPr>
        <w:t>,</w:t>
      </w:r>
      <w:r w:rsidR="00DF769C" w:rsidRPr="00453611">
        <w:rPr>
          <w:rFonts w:ascii="Arial" w:eastAsia="Calibri" w:hAnsi="Arial" w:cs="Arial"/>
          <w:color w:val="002060"/>
          <w:sz w:val="28"/>
          <w:szCs w:val="28"/>
          <w:lang w:eastAsia="es-ES"/>
        </w:rPr>
        <w:t xml:space="preserve"> de la Constitución</w:t>
      </w:r>
      <w:r w:rsidR="00BF6F66" w:rsidRPr="00453611">
        <w:rPr>
          <w:rFonts w:ascii="Arial" w:eastAsia="Calibri" w:hAnsi="Arial" w:cs="Arial"/>
          <w:color w:val="002060"/>
          <w:sz w:val="28"/>
          <w:szCs w:val="28"/>
          <w:lang w:eastAsia="es-ES"/>
        </w:rPr>
        <w:t xml:space="preserve"> vigente</w:t>
      </w:r>
      <w:r w:rsidR="00DF769C" w:rsidRPr="00453611">
        <w:rPr>
          <w:rFonts w:ascii="Arial" w:eastAsia="Calibri" w:hAnsi="Arial" w:cs="Arial"/>
          <w:color w:val="002060"/>
          <w:sz w:val="28"/>
          <w:szCs w:val="28"/>
          <w:lang w:eastAsia="es-ES"/>
        </w:rPr>
        <w:t>.</w:t>
      </w:r>
      <w:r w:rsidR="0058043A" w:rsidRPr="00453611">
        <w:rPr>
          <w:rFonts w:ascii="Arial" w:eastAsia="Calibri" w:hAnsi="Arial" w:cs="Arial"/>
          <w:color w:val="002060"/>
          <w:sz w:val="28"/>
          <w:szCs w:val="28"/>
          <w:lang w:eastAsia="es-ES"/>
        </w:rPr>
        <w:t xml:space="preserve"> </w:t>
      </w:r>
      <w:r w:rsidR="00ED2083">
        <w:rPr>
          <w:rFonts w:ascii="Arial" w:eastAsia="Calibri" w:hAnsi="Arial" w:cs="Arial"/>
          <w:color w:val="002060"/>
          <w:sz w:val="28"/>
          <w:szCs w:val="28"/>
          <w:lang w:eastAsia="es-ES"/>
        </w:rPr>
        <w:t>En tal caso, p</w:t>
      </w:r>
      <w:r w:rsidR="008C03AE" w:rsidRPr="00453611">
        <w:rPr>
          <w:rFonts w:ascii="Arial" w:eastAsia="Calibri" w:hAnsi="Arial" w:cs="Arial"/>
          <w:color w:val="002060"/>
          <w:sz w:val="28"/>
          <w:szCs w:val="28"/>
          <w:lang w:eastAsia="es-ES"/>
        </w:rPr>
        <w:t>rocede dictar auto de n</w:t>
      </w:r>
      <w:r w:rsidR="0058043A" w:rsidRPr="00453611">
        <w:rPr>
          <w:rFonts w:ascii="Arial" w:eastAsia="Calibri" w:hAnsi="Arial" w:cs="Arial"/>
          <w:color w:val="002060"/>
          <w:sz w:val="28"/>
          <w:szCs w:val="28"/>
          <w:lang w:eastAsia="es-ES"/>
        </w:rPr>
        <w:t xml:space="preserve">ulidad absoluta de la exploración del menor, la cual, </w:t>
      </w:r>
      <w:r w:rsidR="00631EA9" w:rsidRPr="00453611">
        <w:rPr>
          <w:rFonts w:ascii="Arial" w:eastAsia="Calibri" w:hAnsi="Arial" w:cs="Arial"/>
          <w:color w:val="002060"/>
          <w:sz w:val="28"/>
          <w:szCs w:val="28"/>
          <w:lang w:eastAsia="es-ES"/>
        </w:rPr>
        <w:t xml:space="preserve">a pesar de ello, </w:t>
      </w:r>
      <w:r w:rsidR="0058043A" w:rsidRPr="00453611">
        <w:rPr>
          <w:rFonts w:ascii="Arial" w:eastAsia="Calibri" w:hAnsi="Arial" w:cs="Arial"/>
          <w:color w:val="002060"/>
          <w:sz w:val="28"/>
          <w:szCs w:val="28"/>
          <w:lang w:eastAsia="es-ES"/>
        </w:rPr>
        <w:t xml:space="preserve">puede repetirse siempre que no exista riesgo de </w:t>
      </w:r>
      <w:r w:rsidRPr="00453611">
        <w:rPr>
          <w:rFonts w:ascii="Arial" w:eastAsia="Calibri" w:hAnsi="Arial" w:cs="Arial"/>
          <w:color w:val="002060"/>
          <w:sz w:val="28"/>
          <w:szCs w:val="28"/>
          <w:lang w:eastAsia="es-ES"/>
        </w:rPr>
        <w:t>que aquel sea revictimizado</w:t>
      </w:r>
      <w:r w:rsidR="0058043A" w:rsidRPr="00453611">
        <w:rPr>
          <w:rFonts w:ascii="Arial" w:eastAsia="Calibri" w:hAnsi="Arial" w:cs="Arial"/>
          <w:color w:val="002060"/>
          <w:sz w:val="28"/>
          <w:szCs w:val="28"/>
          <w:lang w:eastAsia="es-ES"/>
        </w:rPr>
        <w:t>.</w:t>
      </w:r>
    </w:p>
    <w:p w14:paraId="0D4AD3D2" w14:textId="0AACE414" w:rsidR="003B6EB8" w:rsidRDefault="003B6EB8" w:rsidP="00310482">
      <w:pPr>
        <w:pStyle w:val="Prrafodelista"/>
        <w:spacing w:line="240" w:lineRule="atLeast"/>
        <w:jc w:val="both"/>
        <w:rPr>
          <w:rFonts w:ascii="Arial" w:eastAsia="Calibri" w:hAnsi="Arial" w:cs="Arial"/>
          <w:color w:val="002060"/>
          <w:sz w:val="28"/>
          <w:szCs w:val="28"/>
          <w:lang w:eastAsia="es-ES"/>
        </w:rPr>
      </w:pPr>
    </w:p>
    <w:p w14:paraId="25B67D01" w14:textId="3BA4E76A" w:rsidR="003B6EB8" w:rsidRPr="00453611" w:rsidRDefault="003B6EB8" w:rsidP="003B6EB8">
      <w:pPr>
        <w:pStyle w:val="Prrafodelista"/>
        <w:numPr>
          <w:ilvl w:val="0"/>
          <w:numId w:val="15"/>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No designación de defensor </w:t>
      </w:r>
      <w:r w:rsidR="0070027A">
        <w:rPr>
          <w:rFonts w:ascii="Arial" w:eastAsia="Calibri" w:hAnsi="Arial" w:cs="Arial"/>
          <w:color w:val="002060"/>
          <w:sz w:val="28"/>
          <w:szCs w:val="28"/>
          <w:lang w:eastAsia="es-ES"/>
        </w:rPr>
        <w:t xml:space="preserve">para la </w:t>
      </w:r>
      <w:r w:rsidR="008210D4">
        <w:rPr>
          <w:rFonts w:ascii="Arial" w:eastAsia="Calibri" w:hAnsi="Arial" w:cs="Arial"/>
          <w:color w:val="002060"/>
          <w:sz w:val="28"/>
          <w:szCs w:val="28"/>
          <w:lang w:eastAsia="es-ES"/>
        </w:rPr>
        <w:t xml:space="preserve">toma de </w:t>
      </w:r>
      <w:r w:rsidR="0070027A">
        <w:rPr>
          <w:rFonts w:ascii="Arial" w:eastAsia="Calibri" w:hAnsi="Arial" w:cs="Arial"/>
          <w:color w:val="002060"/>
          <w:sz w:val="28"/>
          <w:szCs w:val="28"/>
          <w:lang w:eastAsia="es-ES"/>
        </w:rPr>
        <w:t>declaración del testigo o de la víctima/perjudicado</w:t>
      </w:r>
      <w:r w:rsidR="007E6EC0">
        <w:rPr>
          <w:rFonts w:ascii="Arial" w:eastAsia="Calibri" w:hAnsi="Arial" w:cs="Arial"/>
          <w:color w:val="002060"/>
          <w:sz w:val="28"/>
          <w:szCs w:val="28"/>
          <w:lang w:eastAsia="es-ES"/>
        </w:rPr>
        <w:t xml:space="preserve"> en los supuestos establecidos en los incisos 1, 2 y 4 del artículo 278 de la Ley del Proceso Penal</w:t>
      </w:r>
      <w:r w:rsidR="009F47DF">
        <w:rPr>
          <w:rStyle w:val="Refdenotaalpie"/>
          <w:rFonts w:ascii="Arial" w:eastAsia="Calibri" w:hAnsi="Arial" w:cs="Arial"/>
          <w:color w:val="002060"/>
          <w:sz w:val="28"/>
          <w:szCs w:val="28"/>
          <w:lang w:eastAsia="es-ES"/>
        </w:rPr>
        <w:footnoteReference w:id="24"/>
      </w:r>
      <w:r w:rsidR="007E6EC0">
        <w:rPr>
          <w:rFonts w:ascii="Arial" w:eastAsia="Calibri" w:hAnsi="Arial" w:cs="Arial"/>
          <w:color w:val="002060"/>
          <w:sz w:val="28"/>
          <w:szCs w:val="28"/>
          <w:lang w:eastAsia="es-ES"/>
        </w:rPr>
        <w:t>.</w:t>
      </w:r>
      <w:r w:rsidR="009F47DF">
        <w:rPr>
          <w:rFonts w:ascii="Arial" w:eastAsia="Calibri" w:hAnsi="Arial" w:cs="Arial"/>
          <w:color w:val="002060"/>
          <w:sz w:val="28"/>
          <w:szCs w:val="28"/>
          <w:lang w:eastAsia="es-ES"/>
        </w:rPr>
        <w:t xml:space="preserve"> </w:t>
      </w:r>
      <w:r w:rsidR="007A13DC">
        <w:rPr>
          <w:rFonts w:ascii="Arial" w:eastAsia="Calibri" w:hAnsi="Arial" w:cs="Arial"/>
          <w:color w:val="002060"/>
          <w:sz w:val="28"/>
          <w:szCs w:val="28"/>
          <w:lang w:eastAsia="es-ES"/>
        </w:rPr>
        <w:t xml:space="preserve">La violación de este artículo implica también la infracción del artículo 94 a) de la Constitución vigente. </w:t>
      </w:r>
      <w:r w:rsidR="000C7019">
        <w:rPr>
          <w:rFonts w:ascii="Arial" w:eastAsia="Calibri" w:hAnsi="Arial" w:cs="Arial"/>
          <w:color w:val="002060"/>
          <w:sz w:val="28"/>
          <w:szCs w:val="28"/>
          <w:lang w:eastAsia="es-ES"/>
        </w:rPr>
        <w:t>Nulidad absoluta de la declaración del testimoniante.</w:t>
      </w:r>
    </w:p>
    <w:p w14:paraId="5EF20A91" w14:textId="77777777" w:rsidR="00631EA9" w:rsidRPr="00453611" w:rsidRDefault="00631EA9" w:rsidP="00310482">
      <w:pPr>
        <w:pStyle w:val="Prrafodelista"/>
        <w:spacing w:line="240" w:lineRule="atLeast"/>
        <w:ind w:left="360"/>
        <w:jc w:val="both"/>
        <w:rPr>
          <w:rFonts w:ascii="Arial" w:eastAsia="Calibri" w:hAnsi="Arial" w:cs="Arial"/>
          <w:color w:val="002060"/>
          <w:sz w:val="28"/>
          <w:szCs w:val="28"/>
          <w:lang w:eastAsia="es-ES"/>
        </w:rPr>
      </w:pPr>
    </w:p>
    <w:p w14:paraId="7D808D73" w14:textId="112FD1D2" w:rsidR="00CF0BE8" w:rsidRPr="00453611" w:rsidRDefault="00885E2F" w:rsidP="00310482">
      <w:pPr>
        <w:pStyle w:val="Prrafodelista"/>
        <w:numPr>
          <w:ilvl w:val="0"/>
          <w:numId w:val="11"/>
        </w:numPr>
        <w:spacing w:line="240" w:lineRule="atLeast"/>
        <w:jc w:val="both"/>
        <w:rPr>
          <w:rFonts w:ascii="Arial" w:eastAsia="Calibri" w:hAnsi="Arial" w:cs="Arial"/>
          <w:color w:val="002060"/>
          <w:sz w:val="28"/>
          <w:szCs w:val="28"/>
          <w:lang w:eastAsia="es-ES"/>
        </w:rPr>
      </w:pPr>
      <w:r w:rsidRPr="00453611">
        <w:rPr>
          <w:rFonts w:ascii="Times New Roman" w:eastAsia="Calibri" w:hAnsi="Times New Roman" w:cs="Times New Roman"/>
          <w:color w:val="002060"/>
          <w:sz w:val="28"/>
          <w:szCs w:val="28"/>
          <w:u w:val="single"/>
          <w:lang w:eastAsia="es-ES"/>
        </w:rPr>
        <w:t xml:space="preserve">NO </w:t>
      </w:r>
      <w:r w:rsidR="00ED2083">
        <w:rPr>
          <w:rFonts w:ascii="Times New Roman" w:eastAsia="Calibri" w:hAnsi="Times New Roman" w:cs="Times New Roman"/>
          <w:color w:val="002060"/>
          <w:sz w:val="28"/>
          <w:szCs w:val="28"/>
          <w:u w:val="single"/>
          <w:lang w:eastAsia="es-ES"/>
        </w:rPr>
        <w:t>NOTIFICACIÓN A</w:t>
      </w:r>
      <w:r w:rsidRPr="00453611">
        <w:rPr>
          <w:rFonts w:ascii="Times New Roman" w:eastAsia="Calibri" w:hAnsi="Times New Roman" w:cs="Times New Roman"/>
          <w:color w:val="002060"/>
          <w:sz w:val="28"/>
          <w:szCs w:val="28"/>
          <w:u w:val="single"/>
          <w:lang w:eastAsia="es-ES"/>
        </w:rPr>
        <w:t>L IMPUTADO LA REALIZACIÓN DE LAS DILIGENCIAS</w:t>
      </w:r>
      <w:r w:rsidR="00631EA9" w:rsidRPr="00453611">
        <w:rPr>
          <w:rFonts w:ascii="Arial" w:eastAsia="Calibri" w:hAnsi="Arial" w:cs="Arial"/>
          <w:color w:val="002060"/>
          <w:sz w:val="28"/>
          <w:szCs w:val="28"/>
          <w:lang w:eastAsia="es-ES"/>
        </w:rPr>
        <w:t xml:space="preserve">. </w:t>
      </w:r>
      <w:r w:rsidR="00C705BD" w:rsidRPr="00453611">
        <w:rPr>
          <w:rFonts w:ascii="Arial" w:eastAsia="Calibri" w:hAnsi="Arial" w:cs="Arial"/>
          <w:color w:val="002060"/>
          <w:sz w:val="28"/>
          <w:szCs w:val="28"/>
          <w:lang w:eastAsia="es-ES"/>
        </w:rPr>
        <w:t xml:space="preserve">El derecho del imputado a participar en las diligencias y acciones de instrucción que incorporen elementos de prueba, </w:t>
      </w:r>
      <w:r w:rsidR="00365A38" w:rsidRPr="00453611">
        <w:rPr>
          <w:rFonts w:ascii="Arial" w:eastAsia="Calibri" w:hAnsi="Arial" w:cs="Arial"/>
          <w:color w:val="002060"/>
          <w:sz w:val="28"/>
          <w:szCs w:val="28"/>
          <w:lang w:eastAsia="es-ES"/>
        </w:rPr>
        <w:t xml:space="preserve">aparece regulado en </w:t>
      </w:r>
      <w:r w:rsidR="00C705BD" w:rsidRPr="00453611">
        <w:rPr>
          <w:rFonts w:ascii="Arial" w:eastAsia="Calibri" w:hAnsi="Arial" w:cs="Arial"/>
          <w:color w:val="002060"/>
          <w:sz w:val="28"/>
          <w:szCs w:val="28"/>
          <w:lang w:eastAsia="es-ES"/>
        </w:rPr>
        <w:t xml:space="preserve">el artículo 183 de la Ley del Proceso Penal. </w:t>
      </w:r>
      <w:r w:rsidR="004A6DBD" w:rsidRPr="00453611">
        <w:rPr>
          <w:rFonts w:ascii="Arial" w:eastAsia="Calibri" w:hAnsi="Arial" w:cs="Arial"/>
          <w:color w:val="002060"/>
          <w:sz w:val="28"/>
          <w:szCs w:val="28"/>
          <w:lang w:eastAsia="es-ES"/>
        </w:rPr>
        <w:t xml:space="preserve">También aparece regulado en el artículo 130.1 i) de la propia Ley. </w:t>
      </w:r>
      <w:r w:rsidR="00CF0BE8" w:rsidRPr="00453611">
        <w:rPr>
          <w:rFonts w:ascii="Arial" w:eastAsia="Calibri" w:hAnsi="Arial" w:cs="Arial"/>
          <w:color w:val="002060"/>
          <w:sz w:val="28"/>
          <w:szCs w:val="28"/>
          <w:lang w:eastAsia="es-ES"/>
        </w:rPr>
        <w:t xml:space="preserve">El derecho a participar en diligencias </w:t>
      </w:r>
      <w:r w:rsidR="00A77CC9" w:rsidRPr="00453611">
        <w:rPr>
          <w:rFonts w:ascii="Arial" w:eastAsia="Calibri" w:hAnsi="Arial" w:cs="Arial"/>
          <w:color w:val="002060"/>
          <w:sz w:val="28"/>
          <w:szCs w:val="28"/>
          <w:lang w:eastAsia="es-ES"/>
        </w:rPr>
        <w:t xml:space="preserve">supone que la autoridad actuante </w:t>
      </w:r>
      <w:r w:rsidR="004F19D7">
        <w:rPr>
          <w:rFonts w:ascii="Arial" w:eastAsia="Calibri" w:hAnsi="Arial" w:cs="Arial"/>
          <w:color w:val="002060"/>
          <w:sz w:val="28"/>
          <w:szCs w:val="28"/>
          <w:lang w:eastAsia="es-ES"/>
        </w:rPr>
        <w:t xml:space="preserve">cite </w:t>
      </w:r>
      <w:r w:rsidR="00A77CC9" w:rsidRPr="00453611">
        <w:rPr>
          <w:rFonts w:ascii="Arial" w:eastAsia="Calibri" w:hAnsi="Arial" w:cs="Arial"/>
          <w:color w:val="002060"/>
          <w:sz w:val="28"/>
          <w:szCs w:val="28"/>
          <w:lang w:eastAsia="es-ES"/>
        </w:rPr>
        <w:t>oportunamente al imputado</w:t>
      </w:r>
      <w:r w:rsidR="00CF0BE8" w:rsidRPr="00453611">
        <w:rPr>
          <w:rFonts w:ascii="Arial" w:eastAsia="Calibri" w:hAnsi="Arial" w:cs="Arial"/>
          <w:color w:val="002060"/>
          <w:sz w:val="28"/>
          <w:szCs w:val="28"/>
          <w:lang w:eastAsia="es-ES"/>
        </w:rPr>
        <w:t xml:space="preserve"> para la diligencia en cuestión, con independencia de que aquel asista o no</w:t>
      </w:r>
      <w:r w:rsidR="00A77CC9" w:rsidRPr="00453611">
        <w:rPr>
          <w:rFonts w:ascii="Arial" w:eastAsia="Calibri" w:hAnsi="Arial" w:cs="Arial"/>
          <w:color w:val="002060"/>
          <w:sz w:val="28"/>
          <w:szCs w:val="28"/>
          <w:lang w:eastAsia="es-ES"/>
        </w:rPr>
        <w:t xml:space="preserve">. </w:t>
      </w:r>
    </w:p>
    <w:p w14:paraId="189B400D" w14:textId="77777777" w:rsidR="00CF0BE8" w:rsidRPr="00453611" w:rsidRDefault="00CF0BE8" w:rsidP="00310482">
      <w:pPr>
        <w:pStyle w:val="Prrafodelista"/>
        <w:spacing w:line="240" w:lineRule="atLeast"/>
        <w:ind w:left="360"/>
        <w:jc w:val="both"/>
        <w:rPr>
          <w:rFonts w:ascii="Times New Roman" w:eastAsia="Calibri" w:hAnsi="Times New Roman" w:cs="Times New Roman"/>
          <w:b/>
          <w:bCs/>
          <w:color w:val="002060"/>
          <w:sz w:val="28"/>
          <w:szCs w:val="28"/>
          <w:u w:val="single"/>
          <w:lang w:eastAsia="es-ES"/>
        </w:rPr>
      </w:pPr>
    </w:p>
    <w:p w14:paraId="068C3C96" w14:textId="47BF7FEB" w:rsidR="00F46E03" w:rsidRPr="00453611" w:rsidRDefault="00C705BD" w:rsidP="00310482">
      <w:pPr>
        <w:pStyle w:val="Prrafodelista"/>
        <w:spacing w:line="240" w:lineRule="atLeast"/>
        <w:ind w:left="360"/>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Ahora bien, existen otros artículos que regulan de manera es</w:t>
      </w:r>
      <w:r w:rsidR="004A6DBD" w:rsidRPr="00453611">
        <w:rPr>
          <w:rFonts w:ascii="Arial" w:eastAsia="Calibri" w:hAnsi="Arial" w:cs="Arial"/>
          <w:color w:val="002060"/>
          <w:sz w:val="28"/>
          <w:szCs w:val="28"/>
          <w:lang w:eastAsia="es-ES"/>
        </w:rPr>
        <w:t>pecífica y directa este derecho</w:t>
      </w:r>
      <w:r w:rsidRPr="00453611">
        <w:rPr>
          <w:rFonts w:ascii="Arial" w:eastAsia="Calibri" w:hAnsi="Arial" w:cs="Arial"/>
          <w:color w:val="002060"/>
          <w:sz w:val="28"/>
          <w:szCs w:val="28"/>
          <w:lang w:eastAsia="es-ES"/>
        </w:rPr>
        <w:t xml:space="preserve"> </w:t>
      </w:r>
      <w:r w:rsidR="007B4ED9" w:rsidRPr="00453611">
        <w:rPr>
          <w:rFonts w:ascii="Arial" w:eastAsia="Calibri" w:hAnsi="Arial" w:cs="Arial"/>
          <w:color w:val="002060"/>
          <w:sz w:val="28"/>
          <w:szCs w:val="28"/>
          <w:lang w:eastAsia="es-ES"/>
        </w:rPr>
        <w:t xml:space="preserve">y en los que se han detectado numerosas violaciones, </w:t>
      </w:r>
      <w:r w:rsidRPr="00453611">
        <w:rPr>
          <w:rFonts w:ascii="Arial" w:eastAsia="Calibri" w:hAnsi="Arial" w:cs="Arial"/>
          <w:color w:val="002060"/>
          <w:sz w:val="28"/>
          <w:szCs w:val="28"/>
          <w:lang w:eastAsia="es-ES"/>
        </w:rPr>
        <w:t>por ejemplo</w:t>
      </w:r>
      <w:r w:rsidR="00631EA9" w:rsidRPr="00453611">
        <w:rPr>
          <w:rFonts w:ascii="Arial" w:eastAsia="Calibri" w:hAnsi="Arial" w:cs="Arial"/>
          <w:color w:val="002060"/>
          <w:sz w:val="28"/>
          <w:szCs w:val="28"/>
          <w:lang w:eastAsia="es-ES"/>
        </w:rPr>
        <w:t>:</w:t>
      </w:r>
    </w:p>
    <w:p w14:paraId="4CFD0D26" w14:textId="77777777" w:rsidR="00631EA9" w:rsidRPr="00453611" w:rsidRDefault="00631EA9" w:rsidP="00310482">
      <w:pPr>
        <w:pStyle w:val="Prrafodelista"/>
        <w:spacing w:line="240" w:lineRule="atLeast"/>
        <w:jc w:val="both"/>
        <w:rPr>
          <w:rFonts w:ascii="Arial" w:eastAsia="Calibri" w:hAnsi="Arial" w:cs="Arial"/>
          <w:color w:val="002060"/>
          <w:sz w:val="28"/>
          <w:szCs w:val="28"/>
          <w:lang w:eastAsia="es-ES"/>
        </w:rPr>
      </w:pPr>
    </w:p>
    <w:p w14:paraId="22EE4FA9" w14:textId="33F7484A" w:rsidR="00631EA9" w:rsidRPr="00453611" w:rsidRDefault="008C03AE" w:rsidP="00310482">
      <w:pPr>
        <w:pStyle w:val="Prrafodelista"/>
        <w:numPr>
          <w:ilvl w:val="0"/>
          <w:numId w:val="16"/>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Artículo </w:t>
      </w:r>
      <w:r w:rsidR="00770CE7" w:rsidRPr="00453611">
        <w:rPr>
          <w:rFonts w:ascii="Arial" w:eastAsia="Calibri" w:hAnsi="Arial" w:cs="Arial"/>
          <w:color w:val="002060"/>
          <w:sz w:val="28"/>
          <w:szCs w:val="28"/>
          <w:lang w:eastAsia="es-ES"/>
        </w:rPr>
        <w:t>271</w:t>
      </w:r>
      <w:r w:rsidR="00631EA9" w:rsidRPr="00453611">
        <w:rPr>
          <w:rFonts w:ascii="Arial" w:eastAsia="Calibri" w:hAnsi="Arial" w:cs="Arial"/>
          <w:color w:val="002060"/>
          <w:sz w:val="28"/>
          <w:szCs w:val="28"/>
          <w:lang w:eastAsia="es-ES"/>
        </w:rPr>
        <w:t xml:space="preserve">.3 de la Ley del Proceso Penal. </w:t>
      </w:r>
      <w:r w:rsidR="00DD4B30" w:rsidRPr="00453611">
        <w:rPr>
          <w:rFonts w:ascii="Arial" w:eastAsia="Calibri" w:hAnsi="Arial" w:cs="Arial"/>
          <w:color w:val="002060"/>
          <w:sz w:val="28"/>
          <w:szCs w:val="28"/>
          <w:lang w:eastAsia="es-ES"/>
        </w:rPr>
        <w:t>Como ya se comentó, e</w:t>
      </w:r>
      <w:r w:rsidR="00631EA9" w:rsidRPr="00453611">
        <w:rPr>
          <w:rFonts w:ascii="Arial" w:eastAsia="Calibri" w:hAnsi="Arial" w:cs="Arial"/>
          <w:color w:val="002060"/>
          <w:sz w:val="28"/>
          <w:szCs w:val="28"/>
          <w:lang w:eastAsia="es-ES"/>
        </w:rPr>
        <w:t xml:space="preserve">ste artículo exige que </w:t>
      </w:r>
      <w:r w:rsidR="00DD4B30" w:rsidRPr="00453611">
        <w:rPr>
          <w:rFonts w:ascii="Arial" w:eastAsia="Calibri" w:hAnsi="Arial" w:cs="Arial"/>
          <w:color w:val="002060"/>
          <w:sz w:val="28"/>
          <w:szCs w:val="28"/>
          <w:lang w:eastAsia="es-ES"/>
        </w:rPr>
        <w:t>se le comunique al imputado la fecha de realización de la exploración del menor.</w:t>
      </w:r>
      <w:r w:rsidRPr="00453611">
        <w:rPr>
          <w:rFonts w:ascii="Arial" w:eastAsia="Calibri" w:hAnsi="Arial" w:cs="Arial"/>
          <w:color w:val="002060"/>
          <w:sz w:val="28"/>
          <w:szCs w:val="28"/>
          <w:lang w:eastAsia="es-ES"/>
        </w:rPr>
        <w:t xml:space="preserve"> No hacerlo afecta el derecho previsto en el artículo 94 a) de la Constitución vigente, así como el </w:t>
      </w:r>
      <w:r w:rsidR="00770CE7" w:rsidRPr="00453611">
        <w:rPr>
          <w:rFonts w:ascii="Arial" w:eastAsia="Calibri" w:hAnsi="Arial" w:cs="Arial"/>
          <w:color w:val="002060"/>
          <w:sz w:val="28"/>
          <w:szCs w:val="28"/>
          <w:lang w:eastAsia="es-ES"/>
        </w:rPr>
        <w:t xml:space="preserve">que </w:t>
      </w:r>
      <w:r w:rsidRPr="00453611">
        <w:rPr>
          <w:rFonts w:ascii="Arial" w:eastAsia="Calibri" w:hAnsi="Arial" w:cs="Arial"/>
          <w:color w:val="002060"/>
          <w:sz w:val="28"/>
          <w:szCs w:val="28"/>
          <w:lang w:eastAsia="es-ES"/>
        </w:rPr>
        <w:t xml:space="preserve">regula el artículo 130.1 i) </w:t>
      </w:r>
      <w:r w:rsidR="00B23C6F" w:rsidRPr="00453611">
        <w:rPr>
          <w:rFonts w:ascii="Arial" w:eastAsia="Calibri" w:hAnsi="Arial" w:cs="Arial"/>
          <w:color w:val="002060"/>
          <w:sz w:val="28"/>
          <w:szCs w:val="28"/>
          <w:lang w:eastAsia="es-ES"/>
        </w:rPr>
        <w:t xml:space="preserve">y el ya citado 183 </w:t>
      </w:r>
      <w:r w:rsidRPr="00453611">
        <w:rPr>
          <w:rFonts w:ascii="Arial" w:eastAsia="Calibri" w:hAnsi="Arial" w:cs="Arial"/>
          <w:color w:val="002060"/>
          <w:sz w:val="28"/>
          <w:szCs w:val="28"/>
          <w:lang w:eastAsia="es-ES"/>
        </w:rPr>
        <w:t>de la Ley del Proceso Penal</w:t>
      </w:r>
      <w:r w:rsidR="00770CE7" w:rsidRPr="00453611">
        <w:rPr>
          <w:rFonts w:ascii="Arial" w:eastAsia="Calibri" w:hAnsi="Arial" w:cs="Arial"/>
          <w:color w:val="002060"/>
          <w:sz w:val="28"/>
          <w:szCs w:val="28"/>
          <w:lang w:eastAsia="es-ES"/>
        </w:rPr>
        <w:t>, y da lugar a una nulidad absoluta de la diligencia en cuestión.</w:t>
      </w:r>
      <w:r w:rsidR="000444D5" w:rsidRPr="00453611">
        <w:rPr>
          <w:rFonts w:ascii="Arial" w:eastAsia="Calibri" w:hAnsi="Arial" w:cs="Arial"/>
          <w:color w:val="002060"/>
          <w:sz w:val="28"/>
          <w:szCs w:val="28"/>
          <w:lang w:eastAsia="es-ES"/>
        </w:rPr>
        <w:t xml:space="preserve"> La posibilidad de repetir la exploración del menor </w:t>
      </w:r>
      <w:r w:rsidR="00885791" w:rsidRPr="00453611">
        <w:rPr>
          <w:rFonts w:ascii="Arial" w:eastAsia="Calibri" w:hAnsi="Arial" w:cs="Arial"/>
          <w:color w:val="002060"/>
          <w:sz w:val="28"/>
          <w:szCs w:val="28"/>
          <w:lang w:eastAsia="es-ES"/>
        </w:rPr>
        <w:t xml:space="preserve">estará sujeta a </w:t>
      </w:r>
      <w:r w:rsidR="004F0025" w:rsidRPr="00453611">
        <w:rPr>
          <w:rFonts w:ascii="Arial" w:eastAsia="Calibri" w:hAnsi="Arial" w:cs="Arial"/>
          <w:color w:val="002060"/>
          <w:sz w:val="28"/>
          <w:szCs w:val="28"/>
          <w:lang w:eastAsia="es-ES"/>
        </w:rPr>
        <w:t xml:space="preserve">la garantía de </w:t>
      </w:r>
      <w:r w:rsidR="00885791" w:rsidRPr="00453611">
        <w:rPr>
          <w:rFonts w:ascii="Arial" w:eastAsia="Calibri" w:hAnsi="Arial" w:cs="Arial"/>
          <w:color w:val="002060"/>
          <w:sz w:val="28"/>
          <w:szCs w:val="28"/>
          <w:lang w:eastAsia="es-ES"/>
        </w:rPr>
        <w:t>su no revictimización</w:t>
      </w:r>
      <w:r w:rsidR="000444D5" w:rsidRPr="00453611">
        <w:rPr>
          <w:rFonts w:ascii="Arial" w:eastAsia="Calibri" w:hAnsi="Arial" w:cs="Arial"/>
          <w:color w:val="002060"/>
          <w:sz w:val="28"/>
          <w:szCs w:val="28"/>
          <w:lang w:eastAsia="es-ES"/>
        </w:rPr>
        <w:t>.</w:t>
      </w:r>
    </w:p>
    <w:p w14:paraId="3C463268" w14:textId="6C088277" w:rsidR="00B30C3D" w:rsidRPr="00453611" w:rsidRDefault="00B30C3D" w:rsidP="00310482">
      <w:pPr>
        <w:pStyle w:val="Prrafodelista"/>
        <w:spacing w:line="240" w:lineRule="atLeast"/>
        <w:jc w:val="both"/>
        <w:rPr>
          <w:rFonts w:ascii="Arial" w:eastAsia="Calibri" w:hAnsi="Arial" w:cs="Arial"/>
          <w:color w:val="002060"/>
          <w:sz w:val="28"/>
          <w:szCs w:val="28"/>
          <w:lang w:eastAsia="es-ES"/>
        </w:rPr>
      </w:pPr>
    </w:p>
    <w:p w14:paraId="6E201159" w14:textId="5FDB8D6D" w:rsidR="00631EA9" w:rsidRPr="00453611" w:rsidRDefault="000C7019" w:rsidP="00310482">
      <w:pPr>
        <w:pStyle w:val="Prrafodelista"/>
        <w:numPr>
          <w:ilvl w:val="0"/>
          <w:numId w:val="16"/>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Artículo 203.2 </w:t>
      </w:r>
      <w:r w:rsidR="007B577B" w:rsidRPr="00453611">
        <w:rPr>
          <w:rFonts w:ascii="Arial" w:eastAsia="Calibri" w:hAnsi="Arial" w:cs="Arial"/>
          <w:color w:val="002060"/>
          <w:sz w:val="28"/>
          <w:szCs w:val="28"/>
          <w:lang w:eastAsia="es-ES"/>
        </w:rPr>
        <w:t xml:space="preserve">de la Ley del Proceso Penal </w:t>
      </w:r>
      <w:r w:rsidR="00631EA9" w:rsidRPr="00453611">
        <w:rPr>
          <w:rFonts w:ascii="Arial" w:eastAsia="Calibri" w:hAnsi="Arial" w:cs="Arial"/>
          <w:color w:val="002060"/>
          <w:sz w:val="28"/>
          <w:szCs w:val="28"/>
          <w:lang w:eastAsia="es-ES"/>
        </w:rPr>
        <w:t>(experimento de instrucción), en la que la expresión “…</w:t>
      </w:r>
      <w:r w:rsidR="00631EA9" w:rsidRPr="00453611">
        <w:rPr>
          <w:rFonts w:ascii="Times New Roman" w:eastAsia="Calibri" w:hAnsi="Times New Roman" w:cs="Times New Roman"/>
          <w:i/>
          <w:color w:val="002060"/>
          <w:sz w:val="28"/>
          <w:szCs w:val="28"/>
          <w:lang w:eastAsia="es-ES"/>
        </w:rPr>
        <w:t>pueden participar en él el imputado o el acusado…</w:t>
      </w:r>
      <w:r w:rsidR="00631EA9" w:rsidRPr="00453611">
        <w:rPr>
          <w:rFonts w:ascii="Times New Roman" w:eastAsia="Calibri" w:hAnsi="Times New Roman" w:cs="Times New Roman"/>
          <w:i/>
          <w:color w:val="002060"/>
          <w:sz w:val="28"/>
          <w:szCs w:val="28"/>
          <w:u w:val="single"/>
          <w:lang w:eastAsia="es-ES"/>
        </w:rPr>
        <w:t>si se prestan a ello</w:t>
      </w:r>
      <w:r w:rsidR="00631EA9" w:rsidRPr="00453611">
        <w:rPr>
          <w:rFonts w:ascii="Arial" w:eastAsia="Calibri" w:hAnsi="Arial" w:cs="Arial"/>
          <w:color w:val="002060"/>
          <w:sz w:val="28"/>
          <w:szCs w:val="28"/>
          <w:lang w:eastAsia="es-ES"/>
        </w:rPr>
        <w:t xml:space="preserve">…” supone que </w:t>
      </w:r>
      <w:r w:rsidR="00770CE7" w:rsidRPr="00453611">
        <w:rPr>
          <w:rFonts w:ascii="Arial" w:eastAsia="Calibri" w:hAnsi="Arial" w:cs="Arial"/>
          <w:color w:val="002060"/>
          <w:sz w:val="28"/>
          <w:szCs w:val="28"/>
          <w:lang w:eastAsia="es-ES"/>
        </w:rPr>
        <w:t xml:space="preserve">el imputado </w:t>
      </w:r>
      <w:r w:rsidR="00631EA9" w:rsidRPr="00453611">
        <w:rPr>
          <w:rFonts w:ascii="Arial" w:eastAsia="Calibri" w:hAnsi="Arial" w:cs="Arial"/>
          <w:color w:val="002060"/>
          <w:sz w:val="28"/>
          <w:szCs w:val="28"/>
          <w:lang w:eastAsia="es-ES"/>
        </w:rPr>
        <w:t>sea previamente notificado de la realización de</w:t>
      </w:r>
      <w:r w:rsidR="009A4FD3" w:rsidRPr="00453611">
        <w:rPr>
          <w:rFonts w:ascii="Arial" w:eastAsia="Calibri" w:hAnsi="Arial" w:cs="Arial"/>
          <w:color w:val="002060"/>
          <w:sz w:val="28"/>
          <w:szCs w:val="28"/>
          <w:lang w:eastAsia="es-ES"/>
        </w:rPr>
        <w:t xml:space="preserve"> dicha diligencia. O</w:t>
      </w:r>
      <w:r w:rsidR="009D66A6" w:rsidRPr="00453611">
        <w:rPr>
          <w:rFonts w:ascii="Arial" w:eastAsia="Calibri" w:hAnsi="Arial" w:cs="Arial"/>
          <w:color w:val="002060"/>
          <w:sz w:val="28"/>
          <w:szCs w:val="28"/>
          <w:lang w:eastAsia="es-ES"/>
        </w:rPr>
        <w:t xml:space="preserve">bviar este trámite de </w:t>
      </w:r>
      <w:r w:rsidR="002B2316" w:rsidRPr="00453611">
        <w:rPr>
          <w:rFonts w:ascii="Arial" w:eastAsia="Calibri" w:hAnsi="Arial" w:cs="Arial"/>
          <w:color w:val="002060"/>
          <w:sz w:val="28"/>
          <w:szCs w:val="28"/>
          <w:lang w:eastAsia="es-ES"/>
        </w:rPr>
        <w:t xml:space="preserve">notificación </w:t>
      </w:r>
      <w:r w:rsidR="009D66A6" w:rsidRPr="00453611">
        <w:rPr>
          <w:rFonts w:ascii="Arial" w:eastAsia="Calibri" w:hAnsi="Arial" w:cs="Arial"/>
          <w:color w:val="002060"/>
          <w:sz w:val="28"/>
          <w:szCs w:val="28"/>
          <w:lang w:eastAsia="es-ES"/>
        </w:rPr>
        <w:t xml:space="preserve">viola </w:t>
      </w:r>
      <w:r w:rsidR="00B52CF8" w:rsidRPr="00453611">
        <w:rPr>
          <w:rFonts w:ascii="Arial" w:eastAsia="Calibri" w:hAnsi="Arial" w:cs="Arial"/>
          <w:color w:val="002060"/>
          <w:sz w:val="28"/>
          <w:szCs w:val="28"/>
          <w:lang w:eastAsia="es-ES"/>
        </w:rPr>
        <w:t xml:space="preserve">el derecho refrendado </w:t>
      </w:r>
      <w:r w:rsidR="009D66A6" w:rsidRPr="00453611">
        <w:rPr>
          <w:rFonts w:ascii="Arial" w:eastAsia="Calibri" w:hAnsi="Arial" w:cs="Arial"/>
          <w:color w:val="002060"/>
          <w:sz w:val="28"/>
          <w:szCs w:val="28"/>
          <w:lang w:eastAsia="es-ES"/>
        </w:rPr>
        <w:t>en el artículo 94 a) de la Constitución vigente</w:t>
      </w:r>
      <w:r w:rsidR="00E016A1">
        <w:rPr>
          <w:rFonts w:ascii="Arial" w:eastAsia="Calibri" w:hAnsi="Arial" w:cs="Arial"/>
          <w:color w:val="002060"/>
          <w:sz w:val="28"/>
          <w:szCs w:val="28"/>
          <w:lang w:eastAsia="es-ES"/>
        </w:rPr>
        <w:t xml:space="preserve">, así como </w:t>
      </w:r>
      <w:r w:rsidR="009D66A6" w:rsidRPr="00453611">
        <w:rPr>
          <w:rFonts w:ascii="Arial" w:eastAsia="Calibri" w:hAnsi="Arial" w:cs="Arial"/>
          <w:color w:val="002060"/>
          <w:sz w:val="28"/>
          <w:szCs w:val="28"/>
          <w:lang w:eastAsia="es-ES"/>
        </w:rPr>
        <w:t>e</w:t>
      </w:r>
      <w:r w:rsidR="00B52CF8" w:rsidRPr="00453611">
        <w:rPr>
          <w:rFonts w:ascii="Arial" w:eastAsia="Calibri" w:hAnsi="Arial" w:cs="Arial"/>
          <w:color w:val="002060"/>
          <w:sz w:val="28"/>
          <w:szCs w:val="28"/>
          <w:lang w:eastAsia="es-ES"/>
        </w:rPr>
        <w:t>l previsto e</w:t>
      </w:r>
      <w:r w:rsidR="009D66A6" w:rsidRPr="00453611">
        <w:rPr>
          <w:rFonts w:ascii="Arial" w:eastAsia="Calibri" w:hAnsi="Arial" w:cs="Arial"/>
          <w:color w:val="002060"/>
          <w:sz w:val="28"/>
          <w:szCs w:val="28"/>
          <w:lang w:eastAsia="es-ES"/>
        </w:rPr>
        <w:t xml:space="preserve">n el artículo 130.1 i) </w:t>
      </w:r>
      <w:r w:rsidR="00B23C6F" w:rsidRPr="00453611">
        <w:rPr>
          <w:rFonts w:ascii="Arial" w:eastAsia="Calibri" w:hAnsi="Arial" w:cs="Arial"/>
          <w:color w:val="002060"/>
          <w:sz w:val="28"/>
          <w:szCs w:val="28"/>
          <w:lang w:eastAsia="es-ES"/>
        </w:rPr>
        <w:t xml:space="preserve">y en el 183 </w:t>
      </w:r>
      <w:r w:rsidR="009D66A6" w:rsidRPr="00453611">
        <w:rPr>
          <w:rFonts w:ascii="Arial" w:eastAsia="Calibri" w:hAnsi="Arial" w:cs="Arial"/>
          <w:color w:val="002060"/>
          <w:sz w:val="28"/>
          <w:szCs w:val="28"/>
          <w:lang w:eastAsia="es-ES"/>
        </w:rPr>
        <w:t xml:space="preserve">de la ley rituaria. </w:t>
      </w:r>
      <w:r w:rsidR="00B52CF8" w:rsidRPr="00453611">
        <w:rPr>
          <w:rFonts w:ascii="Arial" w:eastAsia="Calibri" w:hAnsi="Arial" w:cs="Arial"/>
          <w:color w:val="002060"/>
          <w:sz w:val="28"/>
          <w:szCs w:val="28"/>
          <w:lang w:eastAsia="es-ES"/>
        </w:rPr>
        <w:t>En tal caso, d</w:t>
      </w:r>
      <w:r w:rsidR="009D66A6" w:rsidRPr="00453611">
        <w:rPr>
          <w:rFonts w:ascii="Arial" w:eastAsia="Calibri" w:hAnsi="Arial" w:cs="Arial"/>
          <w:color w:val="002060"/>
          <w:sz w:val="28"/>
          <w:szCs w:val="28"/>
          <w:lang w:eastAsia="es-ES"/>
        </w:rPr>
        <w:t>ebe dictarse la nulidad absoluta del experimento de instrucción</w:t>
      </w:r>
      <w:r w:rsidR="00B52CF8" w:rsidRPr="00453611">
        <w:rPr>
          <w:rFonts w:ascii="Arial" w:eastAsia="Calibri" w:hAnsi="Arial" w:cs="Arial"/>
          <w:color w:val="002060"/>
          <w:sz w:val="28"/>
          <w:szCs w:val="28"/>
          <w:lang w:eastAsia="es-ES"/>
        </w:rPr>
        <w:t xml:space="preserve"> y repetirse conforme a derecho</w:t>
      </w:r>
      <w:r w:rsidR="00631EA9" w:rsidRPr="00453611">
        <w:rPr>
          <w:rFonts w:ascii="Arial" w:eastAsia="Calibri" w:hAnsi="Arial" w:cs="Arial"/>
          <w:color w:val="002060"/>
          <w:sz w:val="28"/>
          <w:szCs w:val="28"/>
          <w:lang w:eastAsia="es-ES"/>
        </w:rPr>
        <w:t>.</w:t>
      </w:r>
    </w:p>
    <w:p w14:paraId="5F4688A1" w14:textId="77777777" w:rsidR="007B577B" w:rsidRPr="00453611" w:rsidRDefault="007B577B" w:rsidP="00310482">
      <w:pPr>
        <w:pStyle w:val="Prrafodelista"/>
        <w:jc w:val="both"/>
        <w:rPr>
          <w:rFonts w:ascii="Arial" w:eastAsia="Calibri" w:hAnsi="Arial" w:cs="Arial"/>
          <w:color w:val="002060"/>
          <w:sz w:val="28"/>
          <w:szCs w:val="28"/>
          <w:lang w:eastAsia="es-ES"/>
        </w:rPr>
      </w:pPr>
    </w:p>
    <w:p w14:paraId="2FF467B9" w14:textId="77777777" w:rsidR="007B577B" w:rsidRPr="00453611" w:rsidRDefault="008B2237" w:rsidP="00310482">
      <w:pPr>
        <w:pStyle w:val="Prrafodelista"/>
        <w:numPr>
          <w:ilvl w:val="0"/>
          <w:numId w:val="16"/>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Lo anterior se hace extensivo a lo </w:t>
      </w:r>
      <w:r w:rsidR="007B577B" w:rsidRPr="00453611">
        <w:rPr>
          <w:rFonts w:ascii="Arial" w:eastAsia="Calibri" w:hAnsi="Arial" w:cs="Arial"/>
          <w:color w:val="002060"/>
          <w:sz w:val="28"/>
          <w:szCs w:val="28"/>
          <w:lang w:eastAsia="es-ES"/>
        </w:rPr>
        <w:t xml:space="preserve">dispuesto en el artículo 201.2 de </w:t>
      </w:r>
      <w:r w:rsidRPr="00453611">
        <w:rPr>
          <w:rFonts w:ascii="Arial" w:eastAsia="Calibri" w:hAnsi="Arial" w:cs="Arial"/>
          <w:color w:val="002060"/>
          <w:sz w:val="28"/>
          <w:szCs w:val="28"/>
          <w:lang w:eastAsia="es-ES"/>
        </w:rPr>
        <w:t xml:space="preserve">la Ley del Proceso Penal (reconstrucción de los hechos). </w:t>
      </w:r>
      <w:r w:rsidR="009A4FD3" w:rsidRPr="00453611">
        <w:rPr>
          <w:rFonts w:ascii="Arial" w:eastAsia="Calibri" w:hAnsi="Arial" w:cs="Arial"/>
          <w:color w:val="002060"/>
          <w:sz w:val="28"/>
          <w:szCs w:val="28"/>
          <w:lang w:eastAsia="es-ES"/>
        </w:rPr>
        <w:t>Nótese que el texto legal utiliza una expresión similar: “…</w:t>
      </w:r>
      <w:r w:rsidR="009A4FD3" w:rsidRPr="00453611">
        <w:rPr>
          <w:rFonts w:ascii="Times New Roman" w:eastAsia="Calibri" w:hAnsi="Times New Roman" w:cs="Times New Roman"/>
          <w:i/>
          <w:color w:val="002060"/>
          <w:sz w:val="28"/>
          <w:szCs w:val="28"/>
          <w:lang w:eastAsia="es-ES"/>
        </w:rPr>
        <w:t>se realiza…con la participación del imputado o acusado…</w:t>
      </w:r>
      <w:r w:rsidR="009A4FD3" w:rsidRPr="00453611">
        <w:rPr>
          <w:rFonts w:ascii="Times New Roman" w:eastAsia="Calibri" w:hAnsi="Times New Roman" w:cs="Times New Roman"/>
          <w:i/>
          <w:color w:val="002060"/>
          <w:sz w:val="28"/>
          <w:szCs w:val="28"/>
          <w:u w:val="single"/>
          <w:lang w:eastAsia="es-ES"/>
        </w:rPr>
        <w:t>si se prestaran a ello</w:t>
      </w:r>
      <w:r w:rsidR="009A4FD3" w:rsidRPr="00453611">
        <w:rPr>
          <w:rFonts w:ascii="Arial" w:eastAsia="Calibri" w:hAnsi="Arial" w:cs="Arial"/>
          <w:color w:val="002060"/>
          <w:sz w:val="28"/>
          <w:szCs w:val="28"/>
          <w:lang w:eastAsia="es-ES"/>
        </w:rPr>
        <w:t>…”</w:t>
      </w:r>
    </w:p>
    <w:p w14:paraId="4E3BF8E0" w14:textId="77777777" w:rsidR="009B74EA" w:rsidRPr="00453611" w:rsidRDefault="009B74EA" w:rsidP="00310482">
      <w:pPr>
        <w:pStyle w:val="Prrafodelista"/>
        <w:jc w:val="both"/>
        <w:rPr>
          <w:rFonts w:ascii="Arial" w:eastAsia="Calibri" w:hAnsi="Arial" w:cs="Arial"/>
          <w:color w:val="002060"/>
          <w:sz w:val="28"/>
          <w:szCs w:val="28"/>
          <w:lang w:eastAsia="es-ES"/>
        </w:rPr>
      </w:pPr>
    </w:p>
    <w:p w14:paraId="6DC78CF4" w14:textId="1ED5573E" w:rsidR="009B74EA" w:rsidRDefault="006951C4" w:rsidP="00310482">
      <w:pPr>
        <w:pStyle w:val="Prrafodelista"/>
        <w:numPr>
          <w:ilvl w:val="0"/>
          <w:numId w:val="16"/>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Artículo 263.1 de la Ley del Proceso Penal, declaración de testigos. </w:t>
      </w:r>
      <w:r w:rsidR="00E87942" w:rsidRPr="00453611">
        <w:rPr>
          <w:rFonts w:ascii="Arial" w:eastAsia="Calibri" w:hAnsi="Arial" w:cs="Arial"/>
          <w:color w:val="002060"/>
          <w:sz w:val="28"/>
          <w:szCs w:val="28"/>
          <w:lang w:eastAsia="es-ES"/>
        </w:rPr>
        <w:t xml:space="preserve">La ley </w:t>
      </w:r>
      <w:r w:rsidRPr="00453611">
        <w:rPr>
          <w:rFonts w:ascii="Arial" w:eastAsia="Calibri" w:hAnsi="Arial" w:cs="Arial"/>
          <w:color w:val="002060"/>
          <w:sz w:val="28"/>
          <w:szCs w:val="28"/>
          <w:lang w:eastAsia="es-ES"/>
        </w:rPr>
        <w:t xml:space="preserve">exige que los testigos declaren por separado, sin permitirse la presencia de persona ajena a la Policía, el instructor penal, el fiscal, </w:t>
      </w:r>
      <w:r w:rsidRPr="00453611">
        <w:rPr>
          <w:rFonts w:ascii="Times New Roman" w:eastAsia="Calibri" w:hAnsi="Times New Roman" w:cs="Times New Roman"/>
          <w:iCs/>
          <w:color w:val="002060"/>
          <w:sz w:val="28"/>
          <w:szCs w:val="28"/>
          <w:u w:val="single"/>
          <w:lang w:eastAsia="es-ES"/>
        </w:rPr>
        <w:t>LAS PARTES</w:t>
      </w:r>
      <w:r w:rsidRPr="00453611">
        <w:rPr>
          <w:rFonts w:ascii="Arial" w:eastAsia="Calibri" w:hAnsi="Arial" w:cs="Arial"/>
          <w:color w:val="002060"/>
          <w:sz w:val="28"/>
          <w:szCs w:val="28"/>
          <w:lang w:eastAsia="es-ES"/>
        </w:rPr>
        <w:t xml:space="preserve">, y cualquier otra que resulte imprescindible. </w:t>
      </w:r>
      <w:r w:rsidR="00E87942" w:rsidRPr="00453611">
        <w:rPr>
          <w:rFonts w:ascii="Arial" w:eastAsia="Calibri" w:hAnsi="Arial" w:cs="Arial"/>
          <w:color w:val="002060"/>
          <w:sz w:val="28"/>
          <w:szCs w:val="28"/>
          <w:lang w:eastAsia="es-ES"/>
        </w:rPr>
        <w:t xml:space="preserve">En este caso, el imputado, una vez instruido de cargos, es </w:t>
      </w:r>
      <w:r w:rsidR="00E87942" w:rsidRPr="00453611">
        <w:rPr>
          <w:rFonts w:ascii="Times New Roman" w:eastAsia="Calibri" w:hAnsi="Times New Roman" w:cs="Times New Roman"/>
          <w:color w:val="002060"/>
          <w:sz w:val="28"/>
          <w:szCs w:val="28"/>
          <w:lang w:eastAsia="es-ES"/>
        </w:rPr>
        <w:t>PARTE PROCESAL</w:t>
      </w:r>
      <w:r w:rsidR="00E87942" w:rsidRPr="00453611">
        <w:rPr>
          <w:rFonts w:ascii="Arial" w:eastAsia="Calibri" w:hAnsi="Arial" w:cs="Arial"/>
          <w:color w:val="002060"/>
          <w:sz w:val="28"/>
          <w:szCs w:val="28"/>
          <w:lang w:eastAsia="es-ES"/>
        </w:rPr>
        <w:t>, y tiene derecho, en virtud del artículo 130.1 i) de la Ley del Proceso Penal, a estar presente en la diligencia. Ello implica que se le tenga que notificar la fecha en la que se tomará la decl</w:t>
      </w:r>
      <w:r w:rsidR="006370E6" w:rsidRPr="00453611">
        <w:rPr>
          <w:rFonts w:ascii="Arial" w:eastAsia="Calibri" w:hAnsi="Arial" w:cs="Arial"/>
          <w:color w:val="002060"/>
          <w:sz w:val="28"/>
          <w:szCs w:val="28"/>
          <w:lang w:eastAsia="es-ES"/>
        </w:rPr>
        <w:t>aración del testigo. No hacerlo</w:t>
      </w:r>
      <w:r w:rsidR="00E87942" w:rsidRPr="00453611">
        <w:rPr>
          <w:rFonts w:ascii="Arial" w:eastAsia="Calibri" w:hAnsi="Arial" w:cs="Arial"/>
          <w:color w:val="002060"/>
          <w:sz w:val="28"/>
          <w:szCs w:val="28"/>
          <w:lang w:eastAsia="es-ES"/>
        </w:rPr>
        <w:t xml:space="preserve"> viola lo establecido en el artículo 9</w:t>
      </w:r>
      <w:r w:rsidR="006370E6" w:rsidRPr="00453611">
        <w:rPr>
          <w:rFonts w:ascii="Arial" w:eastAsia="Calibri" w:hAnsi="Arial" w:cs="Arial"/>
          <w:color w:val="002060"/>
          <w:sz w:val="28"/>
          <w:szCs w:val="28"/>
          <w:lang w:eastAsia="es-ES"/>
        </w:rPr>
        <w:t>4 a) de la Constitución vigente</w:t>
      </w:r>
      <w:r w:rsidR="00E87942" w:rsidRPr="00453611">
        <w:rPr>
          <w:rFonts w:ascii="Arial" w:eastAsia="Calibri" w:hAnsi="Arial" w:cs="Arial"/>
          <w:color w:val="002060"/>
          <w:sz w:val="28"/>
          <w:szCs w:val="28"/>
          <w:lang w:eastAsia="es-ES"/>
        </w:rPr>
        <w:t xml:space="preserve"> y en el ya citado 130.1 i) </w:t>
      </w:r>
      <w:r w:rsidR="00822DE6" w:rsidRPr="00453611">
        <w:rPr>
          <w:rFonts w:ascii="Arial" w:eastAsia="Calibri" w:hAnsi="Arial" w:cs="Arial"/>
          <w:color w:val="002060"/>
          <w:sz w:val="28"/>
          <w:szCs w:val="28"/>
          <w:lang w:eastAsia="es-ES"/>
        </w:rPr>
        <w:t xml:space="preserve">y el 183 </w:t>
      </w:r>
      <w:r w:rsidR="00E87942" w:rsidRPr="00453611">
        <w:rPr>
          <w:rFonts w:ascii="Arial" w:eastAsia="Calibri" w:hAnsi="Arial" w:cs="Arial"/>
          <w:color w:val="002060"/>
          <w:sz w:val="28"/>
          <w:szCs w:val="28"/>
          <w:lang w:eastAsia="es-ES"/>
        </w:rPr>
        <w:t xml:space="preserve">de la ley de trámites. </w:t>
      </w:r>
      <w:r w:rsidR="004228FD" w:rsidRPr="00453611">
        <w:rPr>
          <w:rFonts w:ascii="Arial" w:eastAsia="Calibri" w:hAnsi="Arial" w:cs="Arial"/>
          <w:color w:val="002060"/>
          <w:sz w:val="28"/>
          <w:szCs w:val="28"/>
          <w:lang w:eastAsia="es-ES"/>
        </w:rPr>
        <w:t>N</w:t>
      </w:r>
      <w:r w:rsidR="00E87942" w:rsidRPr="00453611">
        <w:rPr>
          <w:rFonts w:ascii="Arial" w:eastAsia="Calibri" w:hAnsi="Arial" w:cs="Arial"/>
          <w:color w:val="002060"/>
          <w:sz w:val="28"/>
          <w:szCs w:val="28"/>
          <w:lang w:eastAsia="es-ES"/>
        </w:rPr>
        <w:t>ulidad absoluta de la declaración de testigo</w:t>
      </w:r>
      <w:r w:rsidR="00886A81">
        <w:rPr>
          <w:rStyle w:val="Refdenotaalpie"/>
          <w:rFonts w:ascii="Arial" w:eastAsia="Calibri" w:hAnsi="Arial" w:cs="Arial"/>
          <w:color w:val="002060"/>
          <w:sz w:val="28"/>
          <w:szCs w:val="28"/>
          <w:lang w:eastAsia="es-ES"/>
        </w:rPr>
        <w:footnoteReference w:id="25"/>
      </w:r>
      <w:r w:rsidR="00E87942" w:rsidRPr="00453611">
        <w:rPr>
          <w:rFonts w:ascii="Arial" w:eastAsia="Calibri" w:hAnsi="Arial" w:cs="Arial"/>
          <w:color w:val="002060"/>
          <w:sz w:val="28"/>
          <w:szCs w:val="28"/>
          <w:lang w:eastAsia="es-ES"/>
        </w:rPr>
        <w:t>.</w:t>
      </w:r>
    </w:p>
    <w:p w14:paraId="0BBC187A" w14:textId="77777777" w:rsidR="00357DA5" w:rsidRPr="00357DA5" w:rsidRDefault="00357DA5" w:rsidP="00357DA5">
      <w:pPr>
        <w:pStyle w:val="Prrafodelista"/>
        <w:rPr>
          <w:rFonts w:ascii="Arial" w:eastAsia="Calibri" w:hAnsi="Arial" w:cs="Arial"/>
          <w:color w:val="002060"/>
          <w:sz w:val="28"/>
          <w:szCs w:val="28"/>
          <w:lang w:eastAsia="es-ES"/>
        </w:rPr>
      </w:pPr>
    </w:p>
    <w:p w14:paraId="4C0241B6" w14:textId="2C67F141" w:rsidR="006A7B52" w:rsidRDefault="006A7B52" w:rsidP="00310482">
      <w:pPr>
        <w:pStyle w:val="Prrafodelista"/>
        <w:numPr>
          <w:ilvl w:val="0"/>
          <w:numId w:val="16"/>
        </w:numPr>
        <w:spacing w:line="240" w:lineRule="atLeast"/>
        <w:jc w:val="both"/>
        <w:rPr>
          <w:rFonts w:ascii="Arial" w:eastAsia="Calibri" w:hAnsi="Arial" w:cs="Arial"/>
          <w:color w:val="002060"/>
          <w:sz w:val="28"/>
          <w:szCs w:val="28"/>
          <w:lang w:eastAsia="es-ES"/>
        </w:rPr>
      </w:pPr>
      <w:bookmarkStart w:id="0" w:name="_Hlk117083063"/>
      <w:r>
        <w:rPr>
          <w:rFonts w:ascii="Arial" w:eastAsia="Calibri" w:hAnsi="Arial" w:cs="Arial"/>
          <w:color w:val="002060"/>
          <w:sz w:val="28"/>
          <w:szCs w:val="28"/>
          <w:lang w:eastAsia="es-ES"/>
        </w:rPr>
        <w:t xml:space="preserve">Artículo 278 de la Ley rituaria. También en las situaciones que regula este artículo relativas a la declaración de testigos o víctimas/perjudicados, se exige que el imputado tenga que ser notificado de esa diligencia. </w:t>
      </w:r>
      <w:bookmarkStart w:id="1" w:name="_Hlk117109874"/>
      <w:r>
        <w:rPr>
          <w:rFonts w:ascii="Arial" w:eastAsia="Calibri" w:hAnsi="Arial" w:cs="Arial"/>
          <w:color w:val="002060"/>
          <w:sz w:val="28"/>
          <w:szCs w:val="28"/>
          <w:lang w:eastAsia="es-ES"/>
        </w:rPr>
        <w:t>La no notificación al imputado viola lo establecido en el artículo 94 a) de la Constitución</w:t>
      </w:r>
      <w:r w:rsidR="005E1C02">
        <w:rPr>
          <w:rFonts w:ascii="Arial" w:eastAsia="Calibri" w:hAnsi="Arial" w:cs="Arial"/>
          <w:color w:val="002060"/>
          <w:sz w:val="28"/>
          <w:szCs w:val="28"/>
          <w:lang w:eastAsia="es-ES"/>
        </w:rPr>
        <w:t>. Nulidad absoluta de la declaración del testigo.</w:t>
      </w:r>
      <w:bookmarkEnd w:id="1"/>
    </w:p>
    <w:p w14:paraId="0D9FB923" w14:textId="77777777" w:rsidR="006A7B52" w:rsidRPr="006A7B52" w:rsidRDefault="006A7B52" w:rsidP="006A7B52">
      <w:pPr>
        <w:pStyle w:val="Prrafodelista"/>
        <w:rPr>
          <w:rFonts w:ascii="Arial" w:eastAsia="Calibri" w:hAnsi="Arial" w:cs="Arial"/>
          <w:color w:val="002060"/>
          <w:sz w:val="28"/>
          <w:szCs w:val="28"/>
          <w:lang w:eastAsia="es-ES"/>
        </w:rPr>
      </w:pPr>
    </w:p>
    <w:p w14:paraId="2EBC6003" w14:textId="2DA8E218" w:rsidR="00357DA5" w:rsidRPr="00453611" w:rsidRDefault="00357DA5" w:rsidP="00310482">
      <w:pPr>
        <w:pStyle w:val="Prrafodelista"/>
        <w:numPr>
          <w:ilvl w:val="0"/>
          <w:numId w:val="16"/>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Artículo 189 de la Ley </w:t>
      </w:r>
      <w:r w:rsidR="00504570">
        <w:rPr>
          <w:rFonts w:ascii="Arial" w:eastAsia="Calibri" w:hAnsi="Arial" w:cs="Arial"/>
          <w:color w:val="002060"/>
          <w:sz w:val="28"/>
          <w:szCs w:val="28"/>
          <w:lang w:eastAsia="es-ES"/>
        </w:rPr>
        <w:t>adjetiva</w:t>
      </w:r>
      <w:r>
        <w:rPr>
          <w:rFonts w:ascii="Arial" w:eastAsia="Calibri" w:hAnsi="Arial" w:cs="Arial"/>
          <w:color w:val="002060"/>
          <w:sz w:val="28"/>
          <w:szCs w:val="28"/>
          <w:lang w:eastAsia="es-ES"/>
        </w:rPr>
        <w:t xml:space="preserve">, </w:t>
      </w:r>
      <w:r w:rsidR="007B2CD8">
        <w:rPr>
          <w:rFonts w:ascii="Arial" w:eastAsia="Calibri" w:hAnsi="Arial" w:cs="Arial"/>
          <w:color w:val="002060"/>
          <w:sz w:val="28"/>
          <w:szCs w:val="28"/>
          <w:lang w:eastAsia="es-ES"/>
        </w:rPr>
        <w:t xml:space="preserve">referido a la </w:t>
      </w:r>
      <w:r>
        <w:rPr>
          <w:rFonts w:ascii="Arial" w:eastAsia="Calibri" w:hAnsi="Arial" w:cs="Arial"/>
          <w:color w:val="002060"/>
          <w:sz w:val="28"/>
          <w:szCs w:val="28"/>
          <w:lang w:eastAsia="es-ES"/>
        </w:rPr>
        <w:t>práctica de diligencias que no admitan dilación o que no sean susceptibles de ulterior reproducción. También se exige la notificación del imputado</w:t>
      </w:r>
      <w:r w:rsidR="0087562F">
        <w:rPr>
          <w:rFonts w:ascii="Arial" w:eastAsia="Calibri" w:hAnsi="Arial" w:cs="Arial"/>
          <w:color w:val="002060"/>
          <w:sz w:val="28"/>
          <w:szCs w:val="28"/>
          <w:lang w:eastAsia="es-ES"/>
        </w:rPr>
        <w:t xml:space="preserve"> en estos casos</w:t>
      </w:r>
      <w:r>
        <w:rPr>
          <w:rFonts w:ascii="Arial" w:eastAsia="Calibri" w:hAnsi="Arial" w:cs="Arial"/>
          <w:color w:val="002060"/>
          <w:sz w:val="28"/>
          <w:szCs w:val="28"/>
          <w:lang w:eastAsia="es-ES"/>
        </w:rPr>
        <w:t xml:space="preserve">. </w:t>
      </w:r>
      <w:r w:rsidR="008F1A4F">
        <w:rPr>
          <w:rFonts w:ascii="Arial" w:eastAsia="Calibri" w:hAnsi="Arial" w:cs="Arial"/>
          <w:color w:val="002060"/>
          <w:sz w:val="28"/>
          <w:szCs w:val="28"/>
          <w:lang w:eastAsia="es-ES"/>
        </w:rPr>
        <w:t xml:space="preserve">Las peculiaridades de este articulado están analizadas a pie de página en el tópico relativo a la exigencia de asistencia letrada para la práctica de </w:t>
      </w:r>
      <w:r w:rsidR="008F1A4F">
        <w:rPr>
          <w:rFonts w:ascii="Arial" w:eastAsia="Calibri" w:hAnsi="Arial" w:cs="Arial"/>
          <w:color w:val="002060"/>
          <w:sz w:val="28"/>
          <w:szCs w:val="28"/>
          <w:lang w:eastAsia="es-ES"/>
        </w:rPr>
        <w:lastRenderedPageBreak/>
        <w:t>diligencias</w:t>
      </w:r>
      <w:r w:rsidR="00D82FCC">
        <w:rPr>
          <w:rFonts w:ascii="Arial" w:eastAsia="Calibri" w:hAnsi="Arial" w:cs="Arial"/>
          <w:color w:val="002060"/>
          <w:sz w:val="28"/>
          <w:szCs w:val="28"/>
          <w:lang w:eastAsia="es-ES"/>
        </w:rPr>
        <w:t xml:space="preserve"> probatorias</w:t>
      </w:r>
      <w:r w:rsidR="008F1A4F">
        <w:rPr>
          <w:rFonts w:ascii="Arial" w:eastAsia="Calibri" w:hAnsi="Arial" w:cs="Arial"/>
          <w:color w:val="002060"/>
          <w:sz w:val="28"/>
          <w:szCs w:val="28"/>
          <w:lang w:eastAsia="es-ES"/>
        </w:rPr>
        <w:t>.</w:t>
      </w:r>
      <w:bookmarkEnd w:id="0"/>
      <w:r w:rsidR="00504570" w:rsidRPr="00504570">
        <w:rPr>
          <w:rFonts w:ascii="Arial" w:eastAsia="Calibri" w:hAnsi="Arial" w:cs="Arial"/>
          <w:color w:val="002060"/>
          <w:sz w:val="28"/>
          <w:szCs w:val="28"/>
          <w:lang w:eastAsia="es-ES"/>
        </w:rPr>
        <w:t xml:space="preserve"> </w:t>
      </w:r>
      <w:r w:rsidR="00504570">
        <w:rPr>
          <w:rFonts w:ascii="Arial" w:eastAsia="Calibri" w:hAnsi="Arial" w:cs="Arial"/>
          <w:color w:val="002060"/>
          <w:sz w:val="28"/>
          <w:szCs w:val="28"/>
          <w:lang w:eastAsia="es-ES"/>
        </w:rPr>
        <w:t xml:space="preserve">La no notificación al imputado viola lo establecido en el artículo 94 a) de la Constitución. Nulidad absoluta de la diligencia en cuestión. </w:t>
      </w:r>
      <w:r w:rsidR="008F1A4F">
        <w:rPr>
          <w:rFonts w:ascii="Arial" w:eastAsia="Calibri" w:hAnsi="Arial" w:cs="Arial"/>
          <w:color w:val="002060"/>
          <w:sz w:val="28"/>
          <w:szCs w:val="28"/>
          <w:lang w:eastAsia="es-ES"/>
        </w:rPr>
        <w:t xml:space="preserve"> </w:t>
      </w:r>
    </w:p>
    <w:p w14:paraId="1B7755D8" w14:textId="77777777" w:rsidR="004141AC" w:rsidRPr="00453611" w:rsidRDefault="004141AC" w:rsidP="00310482">
      <w:pPr>
        <w:pStyle w:val="Prrafodelista"/>
        <w:spacing w:line="240" w:lineRule="atLeast"/>
        <w:ind w:left="360"/>
        <w:jc w:val="both"/>
        <w:rPr>
          <w:rFonts w:ascii="Arial" w:eastAsia="Calibri" w:hAnsi="Arial" w:cs="Arial"/>
          <w:color w:val="002060"/>
          <w:sz w:val="28"/>
          <w:szCs w:val="28"/>
          <w:lang w:eastAsia="es-ES"/>
        </w:rPr>
      </w:pPr>
    </w:p>
    <w:p w14:paraId="20AA6E22" w14:textId="4BFB8E51" w:rsidR="00F93CD8" w:rsidRPr="00F93CD8" w:rsidRDefault="00F93CD8" w:rsidP="00310482">
      <w:pPr>
        <w:pStyle w:val="Prrafodelista"/>
        <w:numPr>
          <w:ilvl w:val="0"/>
          <w:numId w:val="11"/>
        </w:numPr>
        <w:spacing w:line="240" w:lineRule="atLeast"/>
        <w:jc w:val="both"/>
        <w:rPr>
          <w:rFonts w:ascii="Arial" w:eastAsia="Calibri" w:hAnsi="Arial" w:cs="Arial"/>
          <w:color w:val="002060"/>
          <w:sz w:val="28"/>
          <w:szCs w:val="28"/>
          <w:lang w:eastAsia="es-ES"/>
        </w:rPr>
      </w:pPr>
      <w:r w:rsidRPr="00F93CD8">
        <w:rPr>
          <w:rFonts w:ascii="Times New Roman" w:eastAsia="Calibri" w:hAnsi="Times New Roman" w:cs="Times New Roman"/>
          <w:color w:val="002060"/>
          <w:sz w:val="28"/>
          <w:szCs w:val="28"/>
          <w:u w:val="single"/>
          <w:lang w:eastAsia="es-ES"/>
        </w:rPr>
        <w:t>COARTACIÓN DEL DERECHO A FORMULAR LAS PETICIONES Y OBSERVACIONES EN LAS DILIGENCIAS QUE PARTICIPE</w:t>
      </w:r>
      <w:r>
        <w:rPr>
          <w:rFonts w:ascii="Arial" w:eastAsia="Calibri" w:hAnsi="Arial" w:cs="Arial"/>
          <w:color w:val="002060"/>
          <w:sz w:val="28"/>
          <w:szCs w:val="28"/>
          <w:lang w:eastAsia="es-ES"/>
        </w:rPr>
        <w:t xml:space="preserve">. </w:t>
      </w:r>
      <w:r w:rsidR="00F27F46">
        <w:rPr>
          <w:rFonts w:ascii="Arial" w:eastAsia="Calibri" w:hAnsi="Arial" w:cs="Arial"/>
          <w:color w:val="002060"/>
          <w:sz w:val="28"/>
          <w:szCs w:val="28"/>
          <w:lang w:eastAsia="es-ES"/>
        </w:rPr>
        <w:t>El a</w:t>
      </w:r>
      <w:r w:rsidR="002537FE">
        <w:rPr>
          <w:rFonts w:ascii="Arial" w:eastAsia="Calibri" w:hAnsi="Arial" w:cs="Arial"/>
          <w:color w:val="002060"/>
          <w:sz w:val="28"/>
          <w:szCs w:val="28"/>
          <w:lang w:eastAsia="es-ES"/>
        </w:rPr>
        <w:t xml:space="preserve">rtículo 183.1 de la Ley del Proceso Penal </w:t>
      </w:r>
      <w:r w:rsidR="00F27F46">
        <w:rPr>
          <w:rFonts w:ascii="Arial" w:eastAsia="Calibri" w:hAnsi="Arial" w:cs="Arial"/>
          <w:color w:val="002060"/>
          <w:sz w:val="28"/>
          <w:szCs w:val="28"/>
          <w:lang w:eastAsia="es-ES"/>
        </w:rPr>
        <w:t xml:space="preserve">regula el derecho del imputado y del 3ro civilmente responsable, así como de sus respectivos defensores, </w:t>
      </w:r>
      <w:r w:rsidR="00916654">
        <w:rPr>
          <w:rFonts w:ascii="Arial" w:eastAsia="Calibri" w:hAnsi="Arial" w:cs="Arial"/>
          <w:color w:val="002060"/>
          <w:sz w:val="28"/>
          <w:szCs w:val="28"/>
          <w:lang w:eastAsia="es-ES"/>
        </w:rPr>
        <w:t xml:space="preserve">a </w:t>
      </w:r>
      <w:r w:rsidR="00F27F46">
        <w:rPr>
          <w:rFonts w:ascii="Arial" w:eastAsia="Calibri" w:hAnsi="Arial" w:cs="Arial"/>
          <w:color w:val="002060"/>
          <w:sz w:val="28"/>
          <w:szCs w:val="28"/>
          <w:lang w:eastAsia="es-ES"/>
        </w:rPr>
        <w:t>formular las peticiones y observaciones que consideren oportunas al instructor y al fiscal</w:t>
      </w:r>
      <w:r w:rsidR="00916654">
        <w:rPr>
          <w:rFonts w:ascii="Arial" w:eastAsia="Calibri" w:hAnsi="Arial" w:cs="Arial"/>
          <w:color w:val="002060"/>
          <w:sz w:val="28"/>
          <w:szCs w:val="28"/>
          <w:lang w:eastAsia="es-ES"/>
        </w:rPr>
        <w:t>, cuando aquellos participen en diligencias que incorporen elementos de prueba</w:t>
      </w:r>
      <w:r w:rsidR="00F27F46">
        <w:rPr>
          <w:rFonts w:ascii="Arial" w:eastAsia="Calibri" w:hAnsi="Arial" w:cs="Arial"/>
          <w:color w:val="002060"/>
          <w:sz w:val="28"/>
          <w:szCs w:val="28"/>
          <w:lang w:eastAsia="es-ES"/>
        </w:rPr>
        <w:t xml:space="preserve">. La infracción de este </w:t>
      </w:r>
      <w:r w:rsidR="00916654">
        <w:rPr>
          <w:rFonts w:ascii="Arial" w:eastAsia="Calibri" w:hAnsi="Arial" w:cs="Arial"/>
          <w:color w:val="002060"/>
          <w:sz w:val="28"/>
          <w:szCs w:val="28"/>
          <w:lang w:eastAsia="es-ES"/>
        </w:rPr>
        <w:t xml:space="preserve">derecho </w:t>
      </w:r>
      <w:r w:rsidR="002537FE">
        <w:rPr>
          <w:rFonts w:ascii="Arial" w:eastAsia="Calibri" w:hAnsi="Arial" w:cs="Arial"/>
          <w:color w:val="002060"/>
          <w:sz w:val="28"/>
          <w:szCs w:val="28"/>
          <w:lang w:eastAsia="es-ES"/>
        </w:rPr>
        <w:t xml:space="preserve">da lugar a una nulidad absoluta, pues viola lo establecido en el artículo 94 a) de la Constitución. </w:t>
      </w:r>
    </w:p>
    <w:p w14:paraId="1FF9B19F" w14:textId="77777777" w:rsidR="00F93CD8" w:rsidRPr="00F93CD8" w:rsidRDefault="00F93CD8" w:rsidP="00F93CD8">
      <w:pPr>
        <w:pStyle w:val="Prrafodelista"/>
        <w:spacing w:line="240" w:lineRule="atLeast"/>
        <w:ind w:left="360"/>
        <w:jc w:val="both"/>
        <w:rPr>
          <w:rFonts w:ascii="Arial" w:eastAsia="Calibri" w:hAnsi="Arial" w:cs="Arial"/>
          <w:color w:val="002060"/>
          <w:sz w:val="28"/>
          <w:szCs w:val="28"/>
          <w:lang w:eastAsia="es-ES"/>
        </w:rPr>
      </w:pPr>
    </w:p>
    <w:p w14:paraId="4C24F3D8" w14:textId="454FC307" w:rsidR="003E5CB4" w:rsidRPr="00453611" w:rsidRDefault="00A42CC1" w:rsidP="00310482">
      <w:pPr>
        <w:pStyle w:val="Prrafodelista"/>
        <w:numPr>
          <w:ilvl w:val="0"/>
          <w:numId w:val="11"/>
        </w:numPr>
        <w:spacing w:line="240" w:lineRule="atLeast"/>
        <w:jc w:val="both"/>
        <w:rPr>
          <w:rFonts w:ascii="Arial" w:eastAsia="Calibri" w:hAnsi="Arial" w:cs="Arial"/>
          <w:color w:val="002060"/>
          <w:sz w:val="28"/>
          <w:szCs w:val="28"/>
          <w:lang w:eastAsia="es-ES"/>
        </w:rPr>
      </w:pPr>
      <w:r w:rsidRPr="00453611">
        <w:rPr>
          <w:rFonts w:ascii="Times New Roman" w:eastAsia="Calibri" w:hAnsi="Times New Roman" w:cs="Times New Roman"/>
          <w:color w:val="002060"/>
          <w:sz w:val="28"/>
          <w:szCs w:val="28"/>
          <w:u w:val="single"/>
          <w:lang w:eastAsia="es-ES"/>
        </w:rPr>
        <w:t>NO SOLICITUD DE CONSENTIMIENTO PARA LA TOMA DE MUESTRAS CORPORALES AL EFECTO DE REALIZAR PERITAJES</w:t>
      </w:r>
      <w:r w:rsidR="003E5CB4" w:rsidRPr="00453611">
        <w:rPr>
          <w:rFonts w:ascii="Arial" w:eastAsia="Calibri" w:hAnsi="Arial" w:cs="Arial"/>
          <w:color w:val="002060"/>
          <w:sz w:val="28"/>
          <w:szCs w:val="28"/>
          <w:lang w:eastAsia="es-ES"/>
        </w:rPr>
        <w:t>.</w:t>
      </w:r>
      <w:r w:rsidR="007B1F8B" w:rsidRPr="00453611">
        <w:rPr>
          <w:rFonts w:ascii="Arial" w:eastAsia="Calibri" w:hAnsi="Arial" w:cs="Arial"/>
          <w:color w:val="002060"/>
          <w:sz w:val="28"/>
          <w:szCs w:val="28"/>
          <w:lang w:eastAsia="es-ES"/>
        </w:rPr>
        <w:t xml:space="preserve"> El artículo 298</w:t>
      </w:r>
      <w:r w:rsidR="00F64E4B" w:rsidRPr="00453611">
        <w:rPr>
          <w:rFonts w:ascii="Arial" w:eastAsia="Calibri" w:hAnsi="Arial" w:cs="Arial"/>
          <w:color w:val="002060"/>
          <w:sz w:val="28"/>
          <w:szCs w:val="28"/>
          <w:lang w:eastAsia="es-ES"/>
        </w:rPr>
        <w:t xml:space="preserve">.2 </w:t>
      </w:r>
      <w:r w:rsidR="007B1F8B" w:rsidRPr="00453611">
        <w:rPr>
          <w:rFonts w:ascii="Arial" w:eastAsia="Calibri" w:hAnsi="Arial" w:cs="Arial"/>
          <w:color w:val="002060"/>
          <w:sz w:val="28"/>
          <w:szCs w:val="28"/>
          <w:lang w:eastAsia="es-ES"/>
        </w:rPr>
        <w:t xml:space="preserve">de la Ley del Proceso Penal, </w:t>
      </w:r>
      <w:r w:rsidR="00F64E4B" w:rsidRPr="00453611">
        <w:rPr>
          <w:rFonts w:ascii="Arial" w:eastAsia="Calibri" w:hAnsi="Arial" w:cs="Arial"/>
          <w:color w:val="002060"/>
          <w:sz w:val="28"/>
          <w:szCs w:val="28"/>
          <w:lang w:eastAsia="es-ES"/>
        </w:rPr>
        <w:t>contempla expresamente la posibilidad de que el imputado se niegue a que se le tomen muestras corporales (raspado de uñas, extracción de sangre, muestras de olor, etc.,). En tal caso, el texto del propio inciso 2 remite al artículo 190, en el que se hace referencia, también expresa, a la necesidad de</w:t>
      </w:r>
      <w:r w:rsidR="002E78A2" w:rsidRPr="00453611">
        <w:rPr>
          <w:rFonts w:ascii="Arial" w:eastAsia="Calibri" w:hAnsi="Arial" w:cs="Arial"/>
          <w:color w:val="002060"/>
          <w:sz w:val="28"/>
          <w:szCs w:val="28"/>
          <w:lang w:eastAsia="es-ES"/>
        </w:rPr>
        <w:t xml:space="preserve"> solicitar el consentimiento</w:t>
      </w:r>
      <w:r w:rsidR="00F64E4B" w:rsidRPr="00453611">
        <w:rPr>
          <w:rFonts w:ascii="Arial" w:eastAsia="Calibri" w:hAnsi="Arial" w:cs="Arial"/>
          <w:color w:val="002060"/>
          <w:sz w:val="28"/>
          <w:szCs w:val="28"/>
          <w:lang w:eastAsia="es-ES"/>
        </w:rPr>
        <w:t xml:space="preserve"> </w:t>
      </w:r>
      <w:r w:rsidR="002E78A2" w:rsidRPr="00453611">
        <w:rPr>
          <w:rFonts w:ascii="Arial" w:eastAsia="Calibri" w:hAnsi="Arial" w:cs="Arial"/>
          <w:color w:val="002060"/>
          <w:sz w:val="28"/>
          <w:szCs w:val="28"/>
          <w:lang w:eastAsia="es-ES"/>
        </w:rPr>
        <w:t xml:space="preserve">del imputado </w:t>
      </w:r>
      <w:r w:rsidR="00F64E4B" w:rsidRPr="00453611">
        <w:rPr>
          <w:rFonts w:ascii="Arial" w:eastAsia="Calibri" w:hAnsi="Arial" w:cs="Arial"/>
          <w:color w:val="002060"/>
          <w:sz w:val="28"/>
          <w:szCs w:val="28"/>
          <w:lang w:eastAsia="es-ES"/>
        </w:rPr>
        <w:t>para la realización de acciones investigativas que recaigan sobre</w:t>
      </w:r>
      <w:r w:rsidR="002E78A2" w:rsidRPr="00453611">
        <w:rPr>
          <w:rFonts w:ascii="Arial" w:eastAsia="Calibri" w:hAnsi="Arial" w:cs="Arial"/>
          <w:color w:val="002060"/>
          <w:sz w:val="28"/>
          <w:szCs w:val="28"/>
          <w:lang w:eastAsia="es-ES"/>
        </w:rPr>
        <w:t xml:space="preserve"> su integridad física</w:t>
      </w:r>
      <w:r w:rsidR="00F64E4B" w:rsidRPr="00453611">
        <w:rPr>
          <w:rFonts w:ascii="Arial" w:eastAsia="Calibri" w:hAnsi="Arial" w:cs="Arial"/>
          <w:color w:val="002060"/>
          <w:sz w:val="28"/>
          <w:szCs w:val="28"/>
          <w:lang w:eastAsia="es-ES"/>
        </w:rPr>
        <w:t>.</w:t>
      </w:r>
      <w:r w:rsidR="002E78A2" w:rsidRPr="00453611">
        <w:rPr>
          <w:rFonts w:ascii="Arial" w:eastAsia="Calibri" w:hAnsi="Arial" w:cs="Arial"/>
          <w:color w:val="002060"/>
          <w:sz w:val="28"/>
          <w:szCs w:val="28"/>
          <w:lang w:eastAsia="es-ES"/>
        </w:rPr>
        <w:t xml:space="preserve"> De </w:t>
      </w:r>
      <w:r w:rsidR="00C705BD" w:rsidRPr="00453611">
        <w:rPr>
          <w:rFonts w:ascii="Arial" w:eastAsia="Calibri" w:hAnsi="Arial" w:cs="Arial"/>
          <w:color w:val="002060"/>
          <w:sz w:val="28"/>
          <w:szCs w:val="28"/>
          <w:lang w:eastAsia="es-ES"/>
        </w:rPr>
        <w:t xml:space="preserve">no solicitarse el consentimiento del imputado, se </w:t>
      </w:r>
      <w:r w:rsidR="002E78A2" w:rsidRPr="00453611">
        <w:rPr>
          <w:rFonts w:ascii="Arial" w:eastAsia="Calibri" w:hAnsi="Arial" w:cs="Arial"/>
          <w:color w:val="002060"/>
          <w:sz w:val="28"/>
          <w:szCs w:val="28"/>
          <w:lang w:eastAsia="es-ES"/>
        </w:rPr>
        <w:t>infringir</w:t>
      </w:r>
      <w:r w:rsidR="00C705BD" w:rsidRPr="00453611">
        <w:rPr>
          <w:rFonts w:ascii="Arial" w:eastAsia="Calibri" w:hAnsi="Arial" w:cs="Arial"/>
          <w:color w:val="002060"/>
          <w:sz w:val="28"/>
          <w:szCs w:val="28"/>
          <w:lang w:eastAsia="es-ES"/>
        </w:rPr>
        <w:t xml:space="preserve">ía </w:t>
      </w:r>
      <w:r w:rsidR="002E78A2" w:rsidRPr="00453611">
        <w:rPr>
          <w:rFonts w:ascii="Arial" w:eastAsia="Calibri" w:hAnsi="Arial" w:cs="Arial"/>
          <w:color w:val="002060"/>
          <w:sz w:val="28"/>
          <w:szCs w:val="28"/>
          <w:lang w:eastAsia="es-ES"/>
        </w:rPr>
        <w:t xml:space="preserve">lo dispuesto en el artículo 190, </w:t>
      </w:r>
      <w:r w:rsidR="00FE497E" w:rsidRPr="00453611">
        <w:rPr>
          <w:rFonts w:ascii="Arial" w:eastAsia="Calibri" w:hAnsi="Arial" w:cs="Arial"/>
          <w:color w:val="002060"/>
          <w:sz w:val="28"/>
          <w:szCs w:val="28"/>
          <w:lang w:eastAsia="es-ES"/>
        </w:rPr>
        <w:t xml:space="preserve">así como lo previsto en el artículo 95 d) de la Constitución vigente, </w:t>
      </w:r>
      <w:r w:rsidR="00C705BD" w:rsidRPr="00453611">
        <w:rPr>
          <w:rFonts w:ascii="Arial" w:eastAsia="Calibri" w:hAnsi="Arial" w:cs="Arial"/>
          <w:color w:val="002060"/>
          <w:sz w:val="28"/>
          <w:szCs w:val="28"/>
          <w:lang w:eastAsia="es-ES"/>
        </w:rPr>
        <w:t xml:space="preserve">y </w:t>
      </w:r>
      <w:r w:rsidR="002E78A2" w:rsidRPr="00453611">
        <w:rPr>
          <w:rFonts w:ascii="Arial" w:eastAsia="Calibri" w:hAnsi="Arial" w:cs="Arial"/>
          <w:color w:val="002060"/>
          <w:sz w:val="28"/>
          <w:szCs w:val="28"/>
          <w:lang w:eastAsia="es-ES"/>
        </w:rPr>
        <w:t>se daría lugar a una nulidad absoluta.</w:t>
      </w:r>
    </w:p>
    <w:p w14:paraId="0E0EED93" w14:textId="745D6029" w:rsidR="004141AC" w:rsidRDefault="00A748E1" w:rsidP="00310482">
      <w:pPr>
        <w:spacing w:line="240" w:lineRule="atLeast"/>
        <w:jc w:val="both"/>
        <w:rPr>
          <w:rFonts w:ascii="Arial" w:eastAsia="Calibri" w:hAnsi="Arial" w:cs="Arial"/>
          <w:color w:val="002060"/>
          <w:sz w:val="28"/>
          <w:szCs w:val="28"/>
          <w:lang w:eastAsia="es-ES"/>
        </w:rPr>
      </w:pPr>
      <w:r w:rsidRPr="00453611">
        <w:rPr>
          <w:rFonts w:ascii="Times New Roman" w:eastAsia="Calibri" w:hAnsi="Times New Roman" w:cs="Times New Roman"/>
          <w:b/>
          <w:bCs/>
          <w:color w:val="002060"/>
          <w:sz w:val="28"/>
          <w:szCs w:val="28"/>
          <w:lang w:eastAsia="es-ES"/>
        </w:rPr>
        <w:t>TERCER GRUPO: INFRACCIONES ASOCIADAS A LAS FORMALIDADES DE LAS DILIGENCIAS PROBATORIAS Y A LA CADENA DE GUARDA Y CUSTODIA DE LA EVIDENCIA</w:t>
      </w:r>
      <w:r w:rsidR="004141AC" w:rsidRPr="00453611">
        <w:rPr>
          <w:rFonts w:ascii="Arial" w:eastAsia="Calibri" w:hAnsi="Arial" w:cs="Arial"/>
          <w:b/>
          <w:bCs/>
          <w:color w:val="002060"/>
          <w:sz w:val="28"/>
          <w:szCs w:val="28"/>
          <w:lang w:eastAsia="es-ES"/>
        </w:rPr>
        <w:t xml:space="preserve">. </w:t>
      </w:r>
    </w:p>
    <w:p w14:paraId="3D3F0313" w14:textId="74F97C66" w:rsidR="00BE3967" w:rsidRPr="00BE3967" w:rsidRDefault="00BE3967" w:rsidP="00310482">
      <w:pPr>
        <w:spacing w:line="240" w:lineRule="atLeast"/>
        <w:jc w:val="both"/>
        <w:rPr>
          <w:rFonts w:ascii="Arial" w:eastAsia="Calibri" w:hAnsi="Arial" w:cs="Arial"/>
          <w:color w:val="002060"/>
          <w:sz w:val="28"/>
          <w:szCs w:val="28"/>
          <w:lang w:eastAsia="es-ES"/>
        </w:rPr>
      </w:pPr>
      <w:r w:rsidRPr="00BE3967">
        <w:rPr>
          <w:rFonts w:ascii="Arial" w:eastAsia="Calibri" w:hAnsi="Arial" w:cs="Arial"/>
          <w:b/>
          <w:bCs/>
          <w:color w:val="002060"/>
          <w:sz w:val="28"/>
          <w:szCs w:val="28"/>
          <w:lang w:eastAsia="es-ES"/>
        </w:rPr>
        <w:t>Presentación para reconocimiento de personas</w:t>
      </w:r>
      <w:r>
        <w:rPr>
          <w:rFonts w:ascii="Arial" w:eastAsia="Calibri" w:hAnsi="Arial" w:cs="Arial"/>
          <w:color w:val="002060"/>
          <w:sz w:val="28"/>
          <w:szCs w:val="28"/>
          <w:lang w:eastAsia="es-ES"/>
        </w:rPr>
        <w:t>.</w:t>
      </w:r>
    </w:p>
    <w:p w14:paraId="211276DD" w14:textId="77777777" w:rsidR="00D9712C" w:rsidRDefault="003E5CB4" w:rsidP="00310482">
      <w:pPr>
        <w:pStyle w:val="Prrafodelista"/>
        <w:numPr>
          <w:ilvl w:val="0"/>
          <w:numId w:val="2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No </w:t>
      </w:r>
      <w:r w:rsidR="00B4114A" w:rsidRPr="00453611">
        <w:rPr>
          <w:rFonts w:ascii="Arial" w:eastAsia="Calibri" w:hAnsi="Arial" w:cs="Arial"/>
          <w:color w:val="002060"/>
          <w:sz w:val="28"/>
          <w:szCs w:val="28"/>
          <w:lang w:eastAsia="es-ES"/>
        </w:rPr>
        <w:t xml:space="preserve">incluir tres o más personas en la ronda de presentación para reconocimiento de personas y no </w:t>
      </w:r>
      <w:r w:rsidRPr="00453611">
        <w:rPr>
          <w:rFonts w:ascii="Arial" w:eastAsia="Calibri" w:hAnsi="Arial" w:cs="Arial"/>
          <w:color w:val="002060"/>
          <w:sz w:val="28"/>
          <w:szCs w:val="28"/>
          <w:lang w:eastAsia="es-ES"/>
        </w:rPr>
        <w:t>describir en el acta las características físicas de los participantes en la ronda</w:t>
      </w:r>
      <w:r w:rsidR="00B4114A" w:rsidRPr="00453611">
        <w:rPr>
          <w:rFonts w:ascii="Arial" w:eastAsia="Calibri" w:hAnsi="Arial" w:cs="Arial"/>
          <w:color w:val="002060"/>
          <w:sz w:val="28"/>
          <w:szCs w:val="28"/>
          <w:lang w:eastAsia="es-ES"/>
        </w:rPr>
        <w:t xml:space="preserve"> (artículo 236.1 de la Ley del Proceso Penal)</w:t>
      </w:r>
      <w:r w:rsidRPr="00453611">
        <w:rPr>
          <w:rFonts w:ascii="Arial" w:eastAsia="Calibri" w:hAnsi="Arial" w:cs="Arial"/>
          <w:color w:val="002060"/>
          <w:sz w:val="28"/>
          <w:szCs w:val="28"/>
          <w:lang w:eastAsia="es-ES"/>
        </w:rPr>
        <w:t xml:space="preserve">; </w:t>
      </w:r>
      <w:r w:rsidR="00B4114A" w:rsidRPr="00453611">
        <w:rPr>
          <w:rFonts w:ascii="Arial" w:eastAsia="Calibri" w:hAnsi="Arial" w:cs="Arial"/>
          <w:color w:val="002060"/>
          <w:sz w:val="28"/>
          <w:szCs w:val="28"/>
          <w:lang w:eastAsia="es-ES"/>
        </w:rPr>
        <w:t>así como no realizar la diligencia en presencia de dos testigos (artículo 236.2 de la propia Ley). Estas infracciones dan lugar a una nulidad relativa de la diligencia en cuestión</w:t>
      </w:r>
      <w:r w:rsidR="005836B3" w:rsidRPr="00453611">
        <w:rPr>
          <w:rFonts w:ascii="Arial" w:eastAsia="Calibri" w:hAnsi="Arial" w:cs="Arial"/>
          <w:color w:val="002060"/>
          <w:sz w:val="28"/>
          <w:szCs w:val="28"/>
          <w:lang w:eastAsia="es-ES"/>
        </w:rPr>
        <w:t xml:space="preserve"> en el caso de </w:t>
      </w:r>
      <w:r w:rsidR="002267C9" w:rsidRPr="00453611">
        <w:rPr>
          <w:rFonts w:ascii="Arial" w:eastAsia="Calibri" w:hAnsi="Arial" w:cs="Arial"/>
          <w:color w:val="002060"/>
          <w:sz w:val="28"/>
          <w:szCs w:val="28"/>
          <w:lang w:eastAsia="es-ES"/>
        </w:rPr>
        <w:t>que no se garanticen las 3 personas</w:t>
      </w:r>
      <w:r w:rsidR="005836B3" w:rsidRPr="00453611">
        <w:rPr>
          <w:rFonts w:ascii="Arial" w:eastAsia="Calibri" w:hAnsi="Arial" w:cs="Arial"/>
          <w:color w:val="002060"/>
          <w:sz w:val="28"/>
          <w:szCs w:val="28"/>
          <w:lang w:eastAsia="es-ES"/>
        </w:rPr>
        <w:t xml:space="preserve"> a presentar en la ronda o cuando se omiten </w:t>
      </w:r>
      <w:r w:rsidR="002267C9" w:rsidRPr="00453611">
        <w:rPr>
          <w:rFonts w:ascii="Arial" w:eastAsia="Calibri" w:hAnsi="Arial" w:cs="Arial"/>
          <w:color w:val="002060"/>
          <w:sz w:val="28"/>
          <w:szCs w:val="28"/>
          <w:lang w:eastAsia="es-ES"/>
        </w:rPr>
        <w:t xml:space="preserve">los testigos. </w:t>
      </w:r>
    </w:p>
    <w:p w14:paraId="6AA27B50" w14:textId="77777777" w:rsidR="00D9712C" w:rsidRDefault="00D9712C" w:rsidP="00D9712C">
      <w:pPr>
        <w:pStyle w:val="Prrafodelista"/>
        <w:spacing w:line="240" w:lineRule="atLeast"/>
        <w:ind w:left="360"/>
        <w:jc w:val="both"/>
        <w:rPr>
          <w:rFonts w:ascii="Arial" w:eastAsia="Calibri" w:hAnsi="Arial" w:cs="Arial"/>
          <w:color w:val="002060"/>
          <w:sz w:val="28"/>
          <w:szCs w:val="28"/>
          <w:lang w:eastAsia="es-ES"/>
        </w:rPr>
      </w:pPr>
    </w:p>
    <w:p w14:paraId="7F081CB1" w14:textId="5C66B109" w:rsidR="00273A2A" w:rsidRPr="00453611" w:rsidRDefault="002267C9" w:rsidP="00D9712C">
      <w:pPr>
        <w:pStyle w:val="Prrafodelista"/>
        <w:spacing w:line="240" w:lineRule="atLeast"/>
        <w:ind w:left="360"/>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Sin embargo, en el supuesto de que no se describan las características personales de los participantes en la ronda, lo procedente es verificar ese </w:t>
      </w:r>
      <w:r w:rsidR="00951603" w:rsidRPr="00453611">
        <w:rPr>
          <w:rFonts w:ascii="Arial" w:eastAsia="Calibri" w:hAnsi="Arial" w:cs="Arial"/>
          <w:color w:val="002060"/>
          <w:sz w:val="28"/>
          <w:szCs w:val="28"/>
          <w:lang w:eastAsia="es-ES"/>
        </w:rPr>
        <w:t xml:space="preserve">particular, y en caso de que sí </w:t>
      </w:r>
      <w:r w:rsidRPr="00453611">
        <w:rPr>
          <w:rFonts w:ascii="Arial" w:eastAsia="Calibri" w:hAnsi="Arial" w:cs="Arial"/>
          <w:color w:val="002060"/>
          <w:sz w:val="28"/>
          <w:szCs w:val="28"/>
          <w:lang w:eastAsia="es-ES"/>
        </w:rPr>
        <w:t>sean semejantes, subsanar esa omisión mediante un anexo al acta original</w:t>
      </w:r>
      <w:r w:rsidR="00834BCA" w:rsidRPr="00453611">
        <w:rPr>
          <w:rFonts w:ascii="Arial" w:eastAsia="Calibri" w:hAnsi="Arial" w:cs="Arial"/>
          <w:color w:val="002060"/>
          <w:sz w:val="28"/>
          <w:szCs w:val="28"/>
          <w:lang w:eastAsia="es-ES"/>
        </w:rPr>
        <w:t xml:space="preserve"> en </w:t>
      </w:r>
      <w:r w:rsidR="00F32AAA" w:rsidRPr="00453611">
        <w:rPr>
          <w:rFonts w:ascii="Arial" w:eastAsia="Calibri" w:hAnsi="Arial" w:cs="Arial"/>
          <w:color w:val="002060"/>
          <w:sz w:val="28"/>
          <w:szCs w:val="28"/>
          <w:lang w:eastAsia="es-ES"/>
        </w:rPr>
        <w:t xml:space="preserve">el </w:t>
      </w:r>
      <w:r w:rsidR="00834BCA" w:rsidRPr="00453611">
        <w:rPr>
          <w:rFonts w:ascii="Arial" w:eastAsia="Calibri" w:hAnsi="Arial" w:cs="Arial"/>
          <w:color w:val="002060"/>
          <w:sz w:val="28"/>
          <w:szCs w:val="28"/>
          <w:lang w:eastAsia="es-ES"/>
        </w:rPr>
        <w:t>que se describan tales características físicas</w:t>
      </w:r>
      <w:r w:rsidR="00B4114A" w:rsidRPr="00453611">
        <w:rPr>
          <w:rFonts w:ascii="Arial" w:eastAsia="Calibri" w:hAnsi="Arial" w:cs="Arial"/>
          <w:color w:val="002060"/>
          <w:sz w:val="28"/>
          <w:szCs w:val="28"/>
          <w:lang w:eastAsia="es-ES"/>
        </w:rPr>
        <w:t>.</w:t>
      </w:r>
      <w:r w:rsidR="00273A2A" w:rsidRPr="00453611">
        <w:rPr>
          <w:rFonts w:ascii="Arial" w:eastAsia="Calibri" w:hAnsi="Arial" w:cs="Arial"/>
          <w:color w:val="002060"/>
          <w:sz w:val="28"/>
          <w:szCs w:val="28"/>
          <w:lang w:eastAsia="es-ES"/>
        </w:rPr>
        <w:t xml:space="preserve"> Véase en tal sentido lo dispuesto en la Disposición Especial 3ra, 2do párrafo: “…</w:t>
      </w:r>
      <w:r w:rsidR="00273A2A" w:rsidRPr="00453611">
        <w:rPr>
          <w:rFonts w:ascii="Times New Roman" w:eastAsia="Calibri" w:hAnsi="Times New Roman" w:cs="Times New Roman"/>
          <w:i/>
          <w:color w:val="002060"/>
          <w:sz w:val="28"/>
          <w:szCs w:val="28"/>
          <w:lang w:eastAsia="es-ES"/>
        </w:rPr>
        <w:t>y si se advierten errores después de firmada el acta, se hacen constar en diligencia aparte, la que se firma por los que hayan suscrito la anterior</w:t>
      </w:r>
      <w:r w:rsidR="00273A2A" w:rsidRPr="00453611">
        <w:rPr>
          <w:rFonts w:ascii="Arial" w:eastAsia="Calibri" w:hAnsi="Arial" w:cs="Arial"/>
          <w:color w:val="002060"/>
          <w:sz w:val="28"/>
          <w:szCs w:val="28"/>
          <w:lang w:eastAsia="es-ES"/>
        </w:rPr>
        <w:t xml:space="preserve">”. </w:t>
      </w:r>
    </w:p>
    <w:p w14:paraId="7541B9FE" w14:textId="1CEEA0A4" w:rsidR="00B4114A" w:rsidRPr="00BE3967" w:rsidRDefault="00BE3967" w:rsidP="00BE3967">
      <w:pPr>
        <w:spacing w:line="240" w:lineRule="atLeast"/>
        <w:jc w:val="both"/>
        <w:rPr>
          <w:rFonts w:ascii="Arial" w:eastAsia="Calibri" w:hAnsi="Arial" w:cs="Arial"/>
          <w:color w:val="002060"/>
          <w:sz w:val="28"/>
          <w:szCs w:val="28"/>
          <w:lang w:eastAsia="es-ES"/>
        </w:rPr>
      </w:pPr>
      <w:r w:rsidRPr="00BE3967">
        <w:rPr>
          <w:rFonts w:ascii="Arial" w:eastAsia="Calibri" w:hAnsi="Arial" w:cs="Arial"/>
          <w:b/>
          <w:bCs/>
          <w:color w:val="002060"/>
          <w:sz w:val="28"/>
          <w:szCs w:val="28"/>
          <w:lang w:eastAsia="es-ES"/>
        </w:rPr>
        <w:lastRenderedPageBreak/>
        <w:t>Registro en domicilio privado</w:t>
      </w:r>
      <w:r>
        <w:rPr>
          <w:rFonts w:ascii="Arial" w:eastAsia="Calibri" w:hAnsi="Arial" w:cs="Arial"/>
          <w:color w:val="002060"/>
          <w:sz w:val="28"/>
          <w:szCs w:val="28"/>
          <w:lang w:eastAsia="es-ES"/>
        </w:rPr>
        <w:t>.</w:t>
      </w:r>
    </w:p>
    <w:p w14:paraId="758943AD" w14:textId="6BA2CC93" w:rsidR="00EE7A5B" w:rsidRPr="00453611" w:rsidRDefault="00EE7A5B" w:rsidP="00310482">
      <w:pPr>
        <w:pStyle w:val="Prrafodelista"/>
        <w:numPr>
          <w:ilvl w:val="0"/>
          <w:numId w:val="2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No definir en resolución fundada (auto) los motivos </w:t>
      </w:r>
      <w:r w:rsidR="00B86083" w:rsidRPr="00453611">
        <w:rPr>
          <w:rFonts w:ascii="Arial" w:eastAsia="Calibri" w:hAnsi="Arial" w:cs="Arial"/>
          <w:color w:val="002060"/>
          <w:sz w:val="28"/>
          <w:szCs w:val="28"/>
          <w:lang w:eastAsia="es-ES"/>
        </w:rPr>
        <w:t xml:space="preserve">y objeto </w:t>
      </w:r>
      <w:r w:rsidRPr="00453611">
        <w:rPr>
          <w:rFonts w:ascii="Arial" w:eastAsia="Calibri" w:hAnsi="Arial" w:cs="Arial"/>
          <w:color w:val="002060"/>
          <w:sz w:val="28"/>
          <w:szCs w:val="28"/>
          <w:lang w:eastAsia="es-ES"/>
        </w:rPr>
        <w:t>del registro</w:t>
      </w:r>
      <w:r w:rsidR="00B86083" w:rsidRPr="00453611">
        <w:rPr>
          <w:rFonts w:ascii="Arial" w:eastAsia="Calibri" w:hAnsi="Arial" w:cs="Arial"/>
          <w:color w:val="002060"/>
          <w:sz w:val="28"/>
          <w:szCs w:val="28"/>
          <w:lang w:eastAsia="es-ES"/>
        </w:rPr>
        <w:t xml:space="preserve"> domiciliario</w:t>
      </w:r>
      <w:r w:rsidRPr="00453611">
        <w:rPr>
          <w:rFonts w:ascii="Arial" w:eastAsia="Calibri" w:hAnsi="Arial" w:cs="Arial"/>
          <w:color w:val="002060"/>
          <w:sz w:val="28"/>
          <w:szCs w:val="28"/>
          <w:lang w:eastAsia="es-ES"/>
        </w:rPr>
        <w:t>, el lugar donde se practicará y el nombre del actuante</w:t>
      </w:r>
      <w:r w:rsidR="003E3855">
        <w:rPr>
          <w:rFonts w:ascii="Arial" w:eastAsia="Calibri" w:hAnsi="Arial" w:cs="Arial"/>
          <w:color w:val="002060"/>
          <w:sz w:val="28"/>
          <w:szCs w:val="28"/>
          <w:lang w:eastAsia="es-ES"/>
        </w:rPr>
        <w:t>. Estos requerimientos vienen establecidos en el</w:t>
      </w:r>
      <w:r w:rsidRPr="00453611">
        <w:rPr>
          <w:rFonts w:ascii="Arial" w:eastAsia="Calibri" w:hAnsi="Arial" w:cs="Arial"/>
          <w:color w:val="002060"/>
          <w:sz w:val="28"/>
          <w:szCs w:val="28"/>
          <w:lang w:eastAsia="es-ES"/>
        </w:rPr>
        <w:t xml:space="preserve"> artículo 308 de la Ley del Proceso Penal</w:t>
      </w:r>
      <w:r w:rsidR="003E3855">
        <w:rPr>
          <w:rFonts w:ascii="Arial" w:eastAsia="Calibri" w:hAnsi="Arial" w:cs="Arial"/>
          <w:color w:val="002060"/>
          <w:sz w:val="28"/>
          <w:szCs w:val="28"/>
          <w:lang w:eastAsia="es-ES"/>
        </w:rPr>
        <w:t xml:space="preserve"> y su </w:t>
      </w:r>
      <w:r w:rsidRPr="00453611">
        <w:rPr>
          <w:rFonts w:ascii="Arial" w:eastAsia="Calibri" w:hAnsi="Arial" w:cs="Arial"/>
          <w:color w:val="002060"/>
          <w:sz w:val="28"/>
          <w:szCs w:val="28"/>
          <w:lang w:eastAsia="es-ES"/>
        </w:rPr>
        <w:t>infracción viola lo establecido en el artículo 49 de la Constitución vigente. Nulidad absoluta.</w:t>
      </w:r>
    </w:p>
    <w:p w14:paraId="2DF62E2C" w14:textId="77777777" w:rsidR="00EE7A5B" w:rsidRPr="00453611" w:rsidRDefault="00EE7A5B" w:rsidP="00310482">
      <w:pPr>
        <w:pStyle w:val="Prrafodelista"/>
        <w:jc w:val="both"/>
        <w:rPr>
          <w:rFonts w:ascii="Arial" w:eastAsia="Calibri" w:hAnsi="Arial" w:cs="Arial"/>
          <w:color w:val="002060"/>
          <w:sz w:val="28"/>
          <w:szCs w:val="28"/>
          <w:lang w:eastAsia="es-ES"/>
        </w:rPr>
      </w:pPr>
    </w:p>
    <w:p w14:paraId="6424BDCE" w14:textId="01A0DDFA" w:rsidR="00602674" w:rsidRPr="00453611" w:rsidRDefault="008A14EC" w:rsidP="00310482">
      <w:pPr>
        <w:pStyle w:val="Prrafodelista"/>
        <w:numPr>
          <w:ilvl w:val="0"/>
          <w:numId w:val="2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w:t>
      </w:r>
      <w:r w:rsidR="00EA35C1" w:rsidRPr="00453611">
        <w:rPr>
          <w:rFonts w:ascii="Arial" w:eastAsia="Calibri" w:hAnsi="Arial" w:cs="Arial"/>
          <w:color w:val="002060"/>
          <w:sz w:val="28"/>
          <w:szCs w:val="28"/>
          <w:lang w:eastAsia="es-ES"/>
        </w:rPr>
        <w:t xml:space="preserve">o </w:t>
      </w:r>
      <w:r w:rsidR="00387C07" w:rsidRPr="00453611">
        <w:rPr>
          <w:rFonts w:ascii="Arial" w:eastAsia="Calibri" w:hAnsi="Arial" w:cs="Arial"/>
          <w:color w:val="002060"/>
          <w:sz w:val="28"/>
          <w:szCs w:val="28"/>
          <w:lang w:eastAsia="es-ES"/>
        </w:rPr>
        <w:t xml:space="preserve">apercibir al morador del derecho que le asiste de acceder o negarse a la realización del registro domiciliario. Este derecho viene regulado en el inciso 4 del artículo 307 de la Ley del Proceso Penal. </w:t>
      </w:r>
      <w:r w:rsidR="00EA35C1" w:rsidRPr="00453611">
        <w:rPr>
          <w:rFonts w:ascii="Arial" w:eastAsia="Calibri" w:hAnsi="Arial" w:cs="Arial"/>
          <w:color w:val="002060"/>
          <w:sz w:val="28"/>
          <w:szCs w:val="28"/>
          <w:lang w:eastAsia="es-ES"/>
        </w:rPr>
        <w:t xml:space="preserve">A partir de ese momento, si el morador no se opone al registro, se da por sentado que brindó su consentimiento (consentimiento tácito). </w:t>
      </w:r>
      <w:r w:rsidR="00194387" w:rsidRPr="00453611">
        <w:rPr>
          <w:rFonts w:ascii="Arial" w:eastAsia="Calibri" w:hAnsi="Arial" w:cs="Arial"/>
          <w:color w:val="002060"/>
          <w:sz w:val="28"/>
          <w:szCs w:val="28"/>
          <w:lang w:eastAsia="es-ES"/>
        </w:rPr>
        <w:t xml:space="preserve">No </w:t>
      </w:r>
      <w:r w:rsidR="00387C07" w:rsidRPr="00453611">
        <w:rPr>
          <w:rFonts w:ascii="Arial" w:eastAsia="Calibri" w:hAnsi="Arial" w:cs="Arial"/>
          <w:color w:val="002060"/>
          <w:sz w:val="28"/>
          <w:szCs w:val="28"/>
          <w:lang w:eastAsia="es-ES"/>
        </w:rPr>
        <w:t xml:space="preserve">apercibir al morador del derecho que regula el artículo 307.4 de la Ley del Proceso Penal, </w:t>
      </w:r>
      <w:r w:rsidR="00171A5F">
        <w:rPr>
          <w:rFonts w:ascii="Arial" w:eastAsia="Calibri" w:hAnsi="Arial" w:cs="Arial"/>
          <w:color w:val="002060"/>
          <w:sz w:val="28"/>
          <w:szCs w:val="28"/>
          <w:lang w:eastAsia="es-ES"/>
        </w:rPr>
        <w:t xml:space="preserve">por tratarse de una formalidad legal, </w:t>
      </w:r>
      <w:r w:rsidR="00387C07" w:rsidRPr="00453611">
        <w:rPr>
          <w:rFonts w:ascii="Arial" w:eastAsia="Calibri" w:hAnsi="Arial" w:cs="Arial"/>
          <w:color w:val="002060"/>
          <w:sz w:val="28"/>
          <w:szCs w:val="28"/>
          <w:lang w:eastAsia="es-ES"/>
        </w:rPr>
        <w:t xml:space="preserve">viola también </w:t>
      </w:r>
      <w:r w:rsidR="0048110D">
        <w:rPr>
          <w:rFonts w:ascii="Arial" w:eastAsia="Calibri" w:hAnsi="Arial" w:cs="Arial"/>
          <w:color w:val="002060"/>
          <w:sz w:val="28"/>
          <w:szCs w:val="28"/>
          <w:lang w:eastAsia="es-ES"/>
        </w:rPr>
        <w:t>-en principio</w:t>
      </w:r>
      <w:r w:rsidR="008F58FE">
        <w:rPr>
          <w:rStyle w:val="Refdenotaalpie"/>
          <w:rFonts w:ascii="Arial" w:eastAsia="Calibri" w:hAnsi="Arial" w:cs="Arial"/>
          <w:color w:val="002060"/>
          <w:sz w:val="28"/>
          <w:szCs w:val="28"/>
          <w:lang w:eastAsia="es-ES"/>
        </w:rPr>
        <w:footnoteReference w:id="26"/>
      </w:r>
      <w:r w:rsidR="0048110D">
        <w:rPr>
          <w:rFonts w:ascii="Arial" w:eastAsia="Calibri" w:hAnsi="Arial" w:cs="Arial"/>
          <w:color w:val="002060"/>
          <w:sz w:val="28"/>
          <w:szCs w:val="28"/>
          <w:lang w:eastAsia="es-ES"/>
        </w:rPr>
        <w:t xml:space="preserve">- </w:t>
      </w:r>
      <w:r w:rsidR="00387C07" w:rsidRPr="00453611">
        <w:rPr>
          <w:rFonts w:ascii="Arial" w:eastAsia="Calibri" w:hAnsi="Arial" w:cs="Arial"/>
          <w:color w:val="002060"/>
          <w:sz w:val="28"/>
          <w:szCs w:val="28"/>
          <w:lang w:eastAsia="es-ES"/>
        </w:rPr>
        <w:t xml:space="preserve">lo </w:t>
      </w:r>
      <w:r w:rsidR="00130927" w:rsidRPr="00453611">
        <w:rPr>
          <w:rFonts w:ascii="Arial" w:eastAsia="Calibri" w:hAnsi="Arial" w:cs="Arial"/>
          <w:color w:val="002060"/>
          <w:sz w:val="28"/>
          <w:szCs w:val="28"/>
          <w:lang w:eastAsia="es-ES"/>
        </w:rPr>
        <w:t xml:space="preserve">dispuesto en el artículo 307.1 de la </w:t>
      </w:r>
      <w:r w:rsidR="00387C07" w:rsidRPr="00453611">
        <w:rPr>
          <w:rFonts w:ascii="Arial" w:eastAsia="Calibri" w:hAnsi="Arial" w:cs="Arial"/>
          <w:color w:val="002060"/>
          <w:sz w:val="28"/>
          <w:szCs w:val="28"/>
          <w:lang w:eastAsia="es-ES"/>
        </w:rPr>
        <w:t>propia Ley</w:t>
      </w:r>
      <w:r w:rsidR="00130927" w:rsidRPr="00453611">
        <w:rPr>
          <w:rFonts w:ascii="Arial" w:eastAsia="Calibri" w:hAnsi="Arial" w:cs="Arial"/>
          <w:color w:val="002060"/>
          <w:sz w:val="28"/>
          <w:szCs w:val="28"/>
          <w:lang w:eastAsia="es-ES"/>
        </w:rPr>
        <w:t xml:space="preserve"> y lo dispuesto en el artículo 49 de la Constitución</w:t>
      </w:r>
      <w:r w:rsidR="00847C7D" w:rsidRPr="00453611">
        <w:rPr>
          <w:rFonts w:ascii="Arial" w:eastAsia="Calibri" w:hAnsi="Arial" w:cs="Arial"/>
          <w:color w:val="002060"/>
          <w:sz w:val="28"/>
          <w:szCs w:val="28"/>
          <w:lang w:eastAsia="es-ES"/>
        </w:rPr>
        <w:t>.</w:t>
      </w:r>
      <w:r w:rsidR="008F58FE" w:rsidRPr="008F58FE">
        <w:rPr>
          <w:rFonts w:ascii="Arial" w:eastAsia="Calibri" w:hAnsi="Arial" w:cs="Arial"/>
          <w:color w:val="002060"/>
          <w:sz w:val="28"/>
          <w:szCs w:val="28"/>
          <w:lang w:eastAsia="es-ES"/>
        </w:rPr>
        <w:t xml:space="preserve"> </w:t>
      </w:r>
      <w:r w:rsidR="008F58FE">
        <w:rPr>
          <w:rFonts w:ascii="Arial" w:eastAsia="Calibri" w:hAnsi="Arial" w:cs="Arial"/>
          <w:color w:val="002060"/>
          <w:sz w:val="28"/>
          <w:szCs w:val="28"/>
          <w:lang w:eastAsia="es-ES"/>
        </w:rPr>
        <w:t>En tal caso, procede dictar auto de n</w:t>
      </w:r>
      <w:r w:rsidR="008F58FE" w:rsidRPr="00453611">
        <w:rPr>
          <w:rFonts w:ascii="Arial" w:eastAsia="Calibri" w:hAnsi="Arial" w:cs="Arial"/>
          <w:color w:val="002060"/>
          <w:sz w:val="28"/>
          <w:szCs w:val="28"/>
          <w:lang w:eastAsia="es-ES"/>
        </w:rPr>
        <w:t>ulidad absoluta</w:t>
      </w:r>
      <w:r w:rsidR="008F58FE">
        <w:rPr>
          <w:rFonts w:ascii="Arial" w:eastAsia="Calibri" w:hAnsi="Arial" w:cs="Arial"/>
          <w:color w:val="002060"/>
          <w:sz w:val="28"/>
          <w:szCs w:val="28"/>
          <w:lang w:eastAsia="es-ES"/>
        </w:rPr>
        <w:t xml:space="preserve"> del registro en cuestión.</w:t>
      </w:r>
      <w:r w:rsidR="00847C7D" w:rsidRPr="00453611">
        <w:rPr>
          <w:rFonts w:ascii="Arial" w:eastAsia="Calibri" w:hAnsi="Arial" w:cs="Arial"/>
          <w:color w:val="002060"/>
          <w:sz w:val="28"/>
          <w:szCs w:val="28"/>
          <w:lang w:eastAsia="es-ES"/>
        </w:rPr>
        <w:t xml:space="preserve"> </w:t>
      </w:r>
    </w:p>
    <w:p w14:paraId="7092632C" w14:textId="77777777" w:rsidR="00602674" w:rsidRPr="00453611" w:rsidRDefault="00602674" w:rsidP="00310482">
      <w:pPr>
        <w:pStyle w:val="Prrafodelista"/>
        <w:jc w:val="both"/>
        <w:rPr>
          <w:rFonts w:ascii="Arial" w:eastAsia="Calibri" w:hAnsi="Arial" w:cs="Arial"/>
          <w:color w:val="002060"/>
          <w:sz w:val="28"/>
          <w:szCs w:val="28"/>
          <w:lang w:eastAsia="es-ES"/>
        </w:rPr>
      </w:pPr>
    </w:p>
    <w:p w14:paraId="7F18A689" w14:textId="57CC981C" w:rsidR="008A14EC" w:rsidRDefault="00171A5F" w:rsidP="00310482">
      <w:pPr>
        <w:pStyle w:val="Prrafodelista"/>
        <w:spacing w:line="240" w:lineRule="atLeast"/>
        <w:ind w:left="360"/>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Cuando el morador haya dado de modo expreso su consentimiento, p</w:t>
      </w:r>
      <w:r w:rsidR="00130927" w:rsidRPr="00453611">
        <w:rPr>
          <w:rFonts w:ascii="Arial" w:eastAsia="Calibri" w:hAnsi="Arial" w:cs="Arial"/>
          <w:color w:val="002060"/>
          <w:sz w:val="28"/>
          <w:szCs w:val="28"/>
          <w:lang w:eastAsia="es-ES"/>
        </w:rPr>
        <w:t>ero el instructor olvidó plasmarlo documentalmente, lo que procede es tomarle declaración a los testigos que participaron en</w:t>
      </w:r>
      <w:r w:rsidR="003613AE" w:rsidRPr="00453611">
        <w:rPr>
          <w:rFonts w:ascii="Arial" w:eastAsia="Calibri" w:hAnsi="Arial" w:cs="Arial"/>
          <w:color w:val="002060"/>
          <w:sz w:val="28"/>
          <w:szCs w:val="28"/>
          <w:lang w:eastAsia="es-ES"/>
        </w:rPr>
        <w:t xml:space="preserve"> el registro</w:t>
      </w:r>
      <w:r w:rsidR="00194387" w:rsidRPr="00453611">
        <w:rPr>
          <w:rFonts w:ascii="Arial" w:eastAsia="Calibri" w:hAnsi="Arial" w:cs="Arial"/>
          <w:color w:val="002060"/>
          <w:sz w:val="28"/>
          <w:szCs w:val="28"/>
          <w:lang w:eastAsia="es-ES"/>
        </w:rPr>
        <w:t xml:space="preserve">, o levantar acta al respecto con la firma del morador, los testigos y demás participantes del registro. Véase en tal sentido lo dispuesto en la </w:t>
      </w:r>
      <w:r w:rsidR="008F6623" w:rsidRPr="00453611">
        <w:rPr>
          <w:rFonts w:ascii="Arial" w:eastAsia="Calibri" w:hAnsi="Arial" w:cs="Arial"/>
          <w:color w:val="002060"/>
          <w:sz w:val="28"/>
          <w:szCs w:val="28"/>
          <w:lang w:eastAsia="es-ES"/>
        </w:rPr>
        <w:t xml:space="preserve">ya citada </w:t>
      </w:r>
      <w:r w:rsidR="00194387" w:rsidRPr="00453611">
        <w:rPr>
          <w:rFonts w:ascii="Arial" w:eastAsia="Calibri" w:hAnsi="Arial" w:cs="Arial"/>
          <w:color w:val="002060"/>
          <w:sz w:val="28"/>
          <w:szCs w:val="28"/>
          <w:lang w:eastAsia="es-ES"/>
        </w:rPr>
        <w:t>Disposición Especial 3ra, 2do párrafo</w:t>
      </w:r>
      <w:r w:rsidR="00273A2A" w:rsidRPr="00453611">
        <w:rPr>
          <w:rFonts w:ascii="Arial" w:eastAsia="Calibri" w:hAnsi="Arial" w:cs="Arial"/>
          <w:color w:val="002060"/>
          <w:sz w:val="28"/>
          <w:szCs w:val="28"/>
          <w:lang w:eastAsia="es-ES"/>
        </w:rPr>
        <w:t>.</w:t>
      </w:r>
      <w:r w:rsidR="008A14EC" w:rsidRPr="00453611">
        <w:rPr>
          <w:rFonts w:ascii="Arial" w:eastAsia="Calibri" w:hAnsi="Arial" w:cs="Arial"/>
          <w:color w:val="002060"/>
          <w:sz w:val="28"/>
          <w:szCs w:val="28"/>
          <w:lang w:eastAsia="es-ES"/>
        </w:rPr>
        <w:t xml:space="preserve"> </w:t>
      </w:r>
    </w:p>
    <w:p w14:paraId="5EF455FE" w14:textId="5E93D9B9" w:rsidR="00816EB8" w:rsidRDefault="00816EB8" w:rsidP="00310482">
      <w:pPr>
        <w:pStyle w:val="Prrafodelista"/>
        <w:spacing w:line="240" w:lineRule="atLeast"/>
        <w:ind w:left="360"/>
        <w:jc w:val="both"/>
        <w:rPr>
          <w:rFonts w:ascii="Arial" w:eastAsia="Calibri" w:hAnsi="Arial" w:cs="Arial"/>
          <w:color w:val="002060"/>
          <w:sz w:val="28"/>
          <w:szCs w:val="28"/>
          <w:lang w:eastAsia="es-ES"/>
        </w:rPr>
      </w:pPr>
    </w:p>
    <w:p w14:paraId="4E050546" w14:textId="2628015A" w:rsidR="00F84E6B" w:rsidRDefault="00B83B9E" w:rsidP="00816EB8">
      <w:pPr>
        <w:pStyle w:val="Prrafodelista"/>
        <w:numPr>
          <w:ilvl w:val="0"/>
          <w:numId w:val="24"/>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No presencia física en el registro domiciliario del morador principal o de persona nombrada por él para que lo represente, o sin la presencia de un familiar mayor de 18 años de edad, o en ausencia de los anteriores, del fiscal. En estos casos se viola lo establecido en el artículo 316.2 de la Ley adjetiva</w:t>
      </w:r>
      <w:r w:rsidR="00F84E6B">
        <w:rPr>
          <w:rFonts w:ascii="Arial" w:eastAsia="Calibri" w:hAnsi="Arial" w:cs="Arial"/>
          <w:color w:val="002060"/>
          <w:sz w:val="28"/>
          <w:szCs w:val="28"/>
          <w:lang w:eastAsia="es-ES"/>
        </w:rPr>
        <w:t xml:space="preserve"> y en el artículo 49 de la Constitución. Nulidad absoluta del registro</w:t>
      </w:r>
      <w:r>
        <w:rPr>
          <w:rFonts w:ascii="Arial" w:eastAsia="Calibri" w:hAnsi="Arial" w:cs="Arial"/>
          <w:color w:val="002060"/>
          <w:sz w:val="28"/>
          <w:szCs w:val="28"/>
          <w:lang w:eastAsia="es-ES"/>
        </w:rPr>
        <w:t>.</w:t>
      </w:r>
    </w:p>
    <w:p w14:paraId="1DA75383" w14:textId="77777777" w:rsidR="00F84E6B" w:rsidRDefault="00F84E6B" w:rsidP="00F84E6B">
      <w:pPr>
        <w:pStyle w:val="Prrafodelista"/>
        <w:spacing w:line="240" w:lineRule="atLeast"/>
        <w:ind w:left="360"/>
        <w:jc w:val="both"/>
        <w:rPr>
          <w:rFonts w:ascii="Arial" w:eastAsia="Calibri" w:hAnsi="Arial" w:cs="Arial"/>
          <w:color w:val="002060"/>
          <w:sz w:val="28"/>
          <w:szCs w:val="28"/>
          <w:lang w:eastAsia="es-ES"/>
        </w:rPr>
      </w:pPr>
    </w:p>
    <w:p w14:paraId="69146FFC" w14:textId="51BA5DA9" w:rsidR="00816EB8" w:rsidRDefault="00F84E6B" w:rsidP="00816EB8">
      <w:pPr>
        <w:pStyle w:val="Prrafodelista"/>
        <w:numPr>
          <w:ilvl w:val="0"/>
          <w:numId w:val="24"/>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Ausencia de dos </w:t>
      </w:r>
      <w:r w:rsidR="00C108CF">
        <w:rPr>
          <w:rFonts w:ascii="Arial" w:eastAsia="Calibri" w:hAnsi="Arial" w:cs="Arial"/>
          <w:color w:val="002060"/>
          <w:sz w:val="28"/>
          <w:szCs w:val="28"/>
          <w:lang w:eastAsia="es-ES"/>
        </w:rPr>
        <w:t>testigos en la realización del registro</w:t>
      </w:r>
      <w:r w:rsidR="009736A9">
        <w:rPr>
          <w:rFonts w:ascii="Arial" w:eastAsia="Calibri" w:hAnsi="Arial" w:cs="Arial"/>
          <w:color w:val="002060"/>
          <w:sz w:val="28"/>
          <w:szCs w:val="28"/>
          <w:lang w:eastAsia="es-ES"/>
        </w:rPr>
        <w:t xml:space="preserve">, o presencia de uno solo en dicho acto. </w:t>
      </w:r>
      <w:r w:rsidR="006B6B08">
        <w:rPr>
          <w:rFonts w:ascii="Arial" w:eastAsia="Calibri" w:hAnsi="Arial" w:cs="Arial"/>
          <w:color w:val="002060"/>
          <w:sz w:val="28"/>
          <w:szCs w:val="28"/>
          <w:lang w:eastAsia="es-ES"/>
        </w:rPr>
        <w:t xml:space="preserve">Se viola </w:t>
      </w:r>
      <w:r w:rsidR="009736A9">
        <w:rPr>
          <w:rFonts w:ascii="Arial" w:eastAsia="Calibri" w:hAnsi="Arial" w:cs="Arial"/>
          <w:color w:val="002060"/>
          <w:sz w:val="28"/>
          <w:szCs w:val="28"/>
          <w:lang w:eastAsia="es-ES"/>
        </w:rPr>
        <w:t xml:space="preserve">lo estipulado en el artículo 316 de la Ley 143 y </w:t>
      </w:r>
      <w:r w:rsidR="006B6B08">
        <w:rPr>
          <w:rFonts w:ascii="Arial" w:eastAsia="Calibri" w:hAnsi="Arial" w:cs="Arial"/>
          <w:color w:val="002060"/>
          <w:sz w:val="28"/>
          <w:szCs w:val="28"/>
          <w:lang w:eastAsia="es-ES"/>
        </w:rPr>
        <w:t xml:space="preserve">en </w:t>
      </w:r>
      <w:r w:rsidR="009736A9">
        <w:rPr>
          <w:rFonts w:ascii="Arial" w:eastAsia="Calibri" w:hAnsi="Arial" w:cs="Arial"/>
          <w:color w:val="002060"/>
          <w:sz w:val="28"/>
          <w:szCs w:val="28"/>
          <w:lang w:eastAsia="es-ES"/>
        </w:rPr>
        <w:t>el artículo 49 de la Constitución. Nulidad absoluta.</w:t>
      </w:r>
    </w:p>
    <w:p w14:paraId="4A9ACB11" w14:textId="77777777" w:rsidR="00D66FB2" w:rsidRPr="00D66FB2" w:rsidRDefault="00D66FB2" w:rsidP="00D66FB2">
      <w:pPr>
        <w:pStyle w:val="Prrafodelista"/>
        <w:rPr>
          <w:rFonts w:ascii="Arial" w:eastAsia="Calibri" w:hAnsi="Arial" w:cs="Arial"/>
          <w:color w:val="002060"/>
          <w:sz w:val="28"/>
          <w:szCs w:val="28"/>
          <w:lang w:eastAsia="es-ES"/>
        </w:rPr>
      </w:pPr>
    </w:p>
    <w:p w14:paraId="75A80A29" w14:textId="767F2C15" w:rsidR="00D66FB2" w:rsidRPr="00453611" w:rsidRDefault="00D66FB2" w:rsidP="00816EB8">
      <w:pPr>
        <w:pStyle w:val="Prrafodelista"/>
        <w:numPr>
          <w:ilvl w:val="0"/>
          <w:numId w:val="24"/>
        </w:numPr>
        <w:spacing w:line="240" w:lineRule="atLeast"/>
        <w:jc w:val="both"/>
        <w:rPr>
          <w:rFonts w:ascii="Arial" w:eastAsia="Calibri" w:hAnsi="Arial" w:cs="Arial"/>
          <w:color w:val="002060"/>
          <w:sz w:val="28"/>
          <w:szCs w:val="28"/>
          <w:lang w:eastAsia="es-ES"/>
        </w:rPr>
      </w:pPr>
      <w:r>
        <w:rPr>
          <w:rFonts w:ascii="Arial" w:eastAsia="Calibri" w:hAnsi="Arial" w:cs="Arial"/>
          <w:color w:val="002060"/>
          <w:sz w:val="28"/>
          <w:szCs w:val="28"/>
          <w:lang w:eastAsia="es-ES"/>
        </w:rPr>
        <w:t xml:space="preserve">Omisión en el acta de registro de alguna de las cuestiones a las que se refiere el inciso 3 del artículo 316 de la Ley 143. </w:t>
      </w:r>
      <w:r w:rsidR="00A02D59">
        <w:rPr>
          <w:rFonts w:ascii="Arial" w:eastAsia="Calibri" w:hAnsi="Arial" w:cs="Arial"/>
          <w:color w:val="002060"/>
          <w:sz w:val="28"/>
          <w:szCs w:val="28"/>
          <w:lang w:eastAsia="es-ES"/>
        </w:rPr>
        <w:t xml:space="preserve">Dado que este requerimiento del registro constituye una de sus formalidades legales, su violación acarrea </w:t>
      </w:r>
      <w:r w:rsidR="00A02D59">
        <w:rPr>
          <w:rFonts w:ascii="Arial" w:eastAsia="Calibri" w:hAnsi="Arial" w:cs="Arial"/>
          <w:color w:val="002060"/>
          <w:sz w:val="28"/>
          <w:szCs w:val="28"/>
          <w:lang w:eastAsia="es-ES"/>
        </w:rPr>
        <w:lastRenderedPageBreak/>
        <w:t>-en principio</w:t>
      </w:r>
      <w:r w:rsidR="004C619C">
        <w:rPr>
          <w:rStyle w:val="Refdenotaalpie"/>
          <w:rFonts w:ascii="Arial" w:eastAsia="Calibri" w:hAnsi="Arial" w:cs="Arial"/>
          <w:color w:val="002060"/>
          <w:sz w:val="28"/>
          <w:szCs w:val="28"/>
          <w:lang w:eastAsia="es-ES"/>
        </w:rPr>
        <w:footnoteReference w:id="27"/>
      </w:r>
      <w:r w:rsidR="00A02D59">
        <w:rPr>
          <w:rFonts w:ascii="Arial" w:eastAsia="Calibri" w:hAnsi="Arial" w:cs="Arial"/>
          <w:color w:val="002060"/>
          <w:sz w:val="28"/>
          <w:szCs w:val="28"/>
          <w:lang w:eastAsia="es-ES"/>
        </w:rPr>
        <w:t>- la infracción de lo establecido en el artículo 49 de la Constitución, y</w:t>
      </w:r>
      <w:r w:rsidR="004C619C">
        <w:rPr>
          <w:rFonts w:ascii="Arial" w:eastAsia="Calibri" w:hAnsi="Arial" w:cs="Arial"/>
          <w:color w:val="002060"/>
          <w:sz w:val="28"/>
          <w:szCs w:val="28"/>
          <w:lang w:eastAsia="es-ES"/>
        </w:rPr>
        <w:t>,</w:t>
      </w:r>
      <w:r w:rsidR="00A02D59">
        <w:rPr>
          <w:rFonts w:ascii="Arial" w:eastAsia="Calibri" w:hAnsi="Arial" w:cs="Arial"/>
          <w:color w:val="002060"/>
          <w:sz w:val="28"/>
          <w:szCs w:val="28"/>
          <w:lang w:eastAsia="es-ES"/>
        </w:rPr>
        <w:t xml:space="preserve"> por consiguiente, la nulidad absoluta del registro. </w:t>
      </w:r>
    </w:p>
    <w:p w14:paraId="6FB9C0D7" w14:textId="3CFB8E0A" w:rsidR="008A14EC" w:rsidRPr="00171A5F" w:rsidRDefault="00171A5F" w:rsidP="00171A5F">
      <w:pPr>
        <w:jc w:val="both"/>
        <w:rPr>
          <w:rFonts w:ascii="Arial" w:eastAsia="Calibri" w:hAnsi="Arial" w:cs="Arial"/>
          <w:color w:val="002060"/>
          <w:sz w:val="28"/>
          <w:szCs w:val="28"/>
          <w:lang w:eastAsia="es-ES"/>
        </w:rPr>
      </w:pPr>
      <w:r w:rsidRPr="00171A5F">
        <w:rPr>
          <w:rFonts w:ascii="Arial" w:eastAsia="Calibri" w:hAnsi="Arial" w:cs="Arial"/>
          <w:b/>
          <w:bCs/>
          <w:color w:val="002060"/>
          <w:sz w:val="28"/>
          <w:szCs w:val="28"/>
          <w:lang w:eastAsia="es-ES"/>
        </w:rPr>
        <w:t>Cadena de guarda y custodia de la evidencia</w:t>
      </w:r>
      <w:r>
        <w:rPr>
          <w:rFonts w:ascii="Arial" w:eastAsia="Calibri" w:hAnsi="Arial" w:cs="Arial"/>
          <w:color w:val="002060"/>
          <w:sz w:val="28"/>
          <w:szCs w:val="28"/>
          <w:lang w:eastAsia="es-ES"/>
        </w:rPr>
        <w:t>.</w:t>
      </w:r>
    </w:p>
    <w:p w14:paraId="4427E7AC" w14:textId="09591AD3" w:rsidR="003E5CB4" w:rsidRPr="00453611" w:rsidRDefault="00FC4825" w:rsidP="00310482">
      <w:pPr>
        <w:pStyle w:val="Prrafodelista"/>
        <w:numPr>
          <w:ilvl w:val="0"/>
          <w:numId w:val="2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Omisión de la identificación, descripción y modo de obtención y preservación de la evidencia encontrada en la i</w:t>
      </w:r>
      <w:r w:rsidR="003E5CB4" w:rsidRPr="00453611">
        <w:rPr>
          <w:rFonts w:ascii="Arial" w:eastAsia="Calibri" w:hAnsi="Arial" w:cs="Arial"/>
          <w:color w:val="002060"/>
          <w:sz w:val="28"/>
          <w:szCs w:val="28"/>
          <w:lang w:eastAsia="es-ES"/>
        </w:rPr>
        <w:t>nspección del lugar del hecho</w:t>
      </w:r>
      <w:r w:rsidR="00E06B79" w:rsidRPr="00453611">
        <w:rPr>
          <w:rFonts w:ascii="Arial" w:eastAsia="Calibri" w:hAnsi="Arial" w:cs="Arial"/>
          <w:color w:val="002060"/>
          <w:sz w:val="28"/>
          <w:szCs w:val="28"/>
          <w:lang w:eastAsia="es-ES"/>
        </w:rPr>
        <w:t>,</w:t>
      </w:r>
      <w:r w:rsidR="006E0BDF" w:rsidRPr="00453611">
        <w:rPr>
          <w:rFonts w:ascii="Arial" w:eastAsia="Calibri" w:hAnsi="Arial" w:cs="Arial"/>
          <w:color w:val="002060"/>
          <w:sz w:val="28"/>
          <w:szCs w:val="28"/>
          <w:lang w:eastAsia="es-ES"/>
        </w:rPr>
        <w:t xml:space="preserve"> infringiendo lo regulado en los</w:t>
      </w:r>
      <w:r w:rsidR="00E06B79" w:rsidRPr="00453611">
        <w:rPr>
          <w:rFonts w:ascii="Arial" w:eastAsia="Calibri" w:hAnsi="Arial" w:cs="Arial"/>
          <w:color w:val="002060"/>
          <w:sz w:val="28"/>
          <w:szCs w:val="28"/>
          <w:lang w:eastAsia="es-ES"/>
        </w:rPr>
        <w:t xml:space="preserve"> artículo</w:t>
      </w:r>
      <w:r w:rsidR="006E0BDF" w:rsidRPr="00453611">
        <w:rPr>
          <w:rFonts w:ascii="Arial" w:eastAsia="Calibri" w:hAnsi="Arial" w:cs="Arial"/>
          <w:color w:val="002060"/>
          <w:sz w:val="28"/>
          <w:szCs w:val="28"/>
          <w:lang w:eastAsia="es-ES"/>
        </w:rPr>
        <w:t>s</w:t>
      </w:r>
      <w:r w:rsidR="00E06B79" w:rsidRPr="00453611">
        <w:rPr>
          <w:rFonts w:ascii="Arial" w:eastAsia="Calibri" w:hAnsi="Arial" w:cs="Arial"/>
          <w:color w:val="002060"/>
          <w:sz w:val="28"/>
          <w:szCs w:val="28"/>
          <w:lang w:eastAsia="es-ES"/>
        </w:rPr>
        <w:t xml:space="preserve"> 196.1 y 2</w:t>
      </w:r>
      <w:r w:rsidR="006E0BDF" w:rsidRPr="00453611">
        <w:rPr>
          <w:rFonts w:ascii="Arial" w:eastAsia="Calibri" w:hAnsi="Arial" w:cs="Arial"/>
          <w:color w:val="002060"/>
          <w:sz w:val="28"/>
          <w:szCs w:val="28"/>
          <w:lang w:eastAsia="es-ES"/>
        </w:rPr>
        <w:t xml:space="preserve">, así como en el artículo 207.4 </w:t>
      </w:r>
      <w:r w:rsidR="00E06B79" w:rsidRPr="00453611">
        <w:rPr>
          <w:rFonts w:ascii="Arial" w:eastAsia="Calibri" w:hAnsi="Arial" w:cs="Arial"/>
          <w:color w:val="002060"/>
          <w:sz w:val="28"/>
          <w:szCs w:val="28"/>
          <w:lang w:eastAsia="es-ES"/>
        </w:rPr>
        <w:t>de la Ley del Proceso Penal</w:t>
      </w:r>
      <w:r w:rsidR="008270C3" w:rsidRPr="00453611">
        <w:rPr>
          <w:rFonts w:ascii="Arial" w:eastAsia="Calibri" w:hAnsi="Arial" w:cs="Arial"/>
          <w:color w:val="002060"/>
          <w:sz w:val="28"/>
          <w:szCs w:val="28"/>
          <w:lang w:eastAsia="es-ES"/>
        </w:rPr>
        <w:t xml:space="preserve">. Esta </w:t>
      </w:r>
      <w:r w:rsidR="006E0BDF" w:rsidRPr="00453611">
        <w:rPr>
          <w:rFonts w:ascii="Arial" w:eastAsia="Calibri" w:hAnsi="Arial" w:cs="Arial"/>
          <w:color w:val="002060"/>
          <w:sz w:val="28"/>
          <w:szCs w:val="28"/>
          <w:lang w:eastAsia="es-ES"/>
        </w:rPr>
        <w:t xml:space="preserve">omisión se constata también en </w:t>
      </w:r>
      <w:r w:rsidR="008270C3" w:rsidRPr="00453611">
        <w:rPr>
          <w:rFonts w:ascii="Arial" w:eastAsia="Calibri" w:hAnsi="Arial" w:cs="Arial"/>
          <w:color w:val="002060"/>
          <w:sz w:val="28"/>
          <w:szCs w:val="28"/>
          <w:lang w:eastAsia="es-ES"/>
        </w:rPr>
        <w:t>la obtención de hallazgos y bienes que t</w:t>
      </w:r>
      <w:r w:rsidR="006E0BDF" w:rsidRPr="00453611">
        <w:rPr>
          <w:rFonts w:ascii="Arial" w:eastAsia="Calibri" w:hAnsi="Arial" w:cs="Arial"/>
          <w:color w:val="002060"/>
          <w:sz w:val="28"/>
          <w:szCs w:val="28"/>
          <w:lang w:eastAsia="es-ES"/>
        </w:rPr>
        <w:t xml:space="preserve">ienen </w:t>
      </w:r>
      <w:r w:rsidR="008270C3" w:rsidRPr="00453611">
        <w:rPr>
          <w:rFonts w:ascii="Arial" w:eastAsia="Calibri" w:hAnsi="Arial" w:cs="Arial"/>
          <w:color w:val="002060"/>
          <w:sz w:val="28"/>
          <w:szCs w:val="28"/>
          <w:lang w:eastAsia="es-ES"/>
        </w:rPr>
        <w:t xml:space="preserve">valor probatorio en el proceso, </w:t>
      </w:r>
      <w:r w:rsidR="006E0BDF" w:rsidRPr="00453611">
        <w:rPr>
          <w:rFonts w:ascii="Arial" w:eastAsia="Calibri" w:hAnsi="Arial" w:cs="Arial"/>
          <w:color w:val="002060"/>
          <w:sz w:val="28"/>
          <w:szCs w:val="28"/>
          <w:lang w:eastAsia="es-ES"/>
        </w:rPr>
        <w:t>violando lo estipulado en los artículos 204, 207.1 y 219 de la propia ley de trámites.</w:t>
      </w:r>
      <w:r w:rsidR="008A14EC" w:rsidRPr="00453611">
        <w:rPr>
          <w:rFonts w:ascii="Arial" w:eastAsia="Calibri" w:hAnsi="Arial" w:cs="Arial"/>
          <w:color w:val="002060"/>
          <w:sz w:val="28"/>
          <w:szCs w:val="28"/>
          <w:lang w:eastAsia="es-ES"/>
        </w:rPr>
        <w:t xml:space="preserve"> </w:t>
      </w:r>
    </w:p>
    <w:p w14:paraId="49EF9D28" w14:textId="77777777" w:rsidR="008A14EC" w:rsidRPr="00453611" w:rsidRDefault="008A14EC" w:rsidP="00310482">
      <w:pPr>
        <w:pStyle w:val="Prrafodelista"/>
        <w:jc w:val="both"/>
        <w:rPr>
          <w:rFonts w:ascii="Arial" w:eastAsia="Calibri" w:hAnsi="Arial" w:cs="Arial"/>
          <w:color w:val="002060"/>
          <w:sz w:val="28"/>
          <w:szCs w:val="28"/>
          <w:lang w:eastAsia="es-ES"/>
        </w:rPr>
      </w:pPr>
    </w:p>
    <w:p w14:paraId="086CE20C" w14:textId="1C577684" w:rsidR="00B71C04" w:rsidRPr="00453611" w:rsidRDefault="002849A4" w:rsidP="00310482">
      <w:pPr>
        <w:pStyle w:val="Prrafodelista"/>
        <w:spacing w:line="240" w:lineRule="atLeast"/>
        <w:ind w:left="360"/>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Las</w:t>
      </w:r>
      <w:r w:rsidR="008A14EC" w:rsidRPr="00453611">
        <w:rPr>
          <w:rFonts w:ascii="Arial" w:eastAsia="Calibri" w:hAnsi="Arial" w:cs="Arial"/>
          <w:color w:val="002060"/>
          <w:sz w:val="28"/>
          <w:szCs w:val="28"/>
          <w:lang w:eastAsia="es-ES"/>
        </w:rPr>
        <w:t xml:space="preserve"> infracciones de la cadena de guarda y custodia de la evidencia da</w:t>
      </w:r>
      <w:r w:rsidRPr="00453611">
        <w:rPr>
          <w:rFonts w:ascii="Arial" w:eastAsia="Calibri" w:hAnsi="Arial" w:cs="Arial"/>
          <w:color w:val="002060"/>
          <w:sz w:val="28"/>
          <w:szCs w:val="28"/>
          <w:lang w:eastAsia="es-ES"/>
        </w:rPr>
        <w:t>n</w:t>
      </w:r>
      <w:r w:rsidR="008A14EC" w:rsidRPr="00453611">
        <w:rPr>
          <w:rFonts w:ascii="Arial" w:eastAsia="Calibri" w:hAnsi="Arial" w:cs="Arial"/>
          <w:color w:val="002060"/>
          <w:sz w:val="28"/>
          <w:szCs w:val="28"/>
          <w:lang w:eastAsia="es-ES"/>
        </w:rPr>
        <w:t xml:space="preserve"> </w:t>
      </w:r>
      <w:r w:rsidR="00B04819" w:rsidRPr="00453611">
        <w:rPr>
          <w:rFonts w:ascii="Arial" w:eastAsia="Calibri" w:hAnsi="Arial" w:cs="Arial"/>
          <w:color w:val="002060"/>
          <w:sz w:val="28"/>
          <w:szCs w:val="28"/>
          <w:lang w:eastAsia="es-ES"/>
        </w:rPr>
        <w:t xml:space="preserve">lugar </w:t>
      </w:r>
      <w:r w:rsidR="008112C8" w:rsidRPr="00453611">
        <w:rPr>
          <w:rFonts w:ascii="Arial" w:eastAsia="Calibri" w:hAnsi="Arial" w:cs="Arial"/>
          <w:color w:val="002060"/>
          <w:sz w:val="28"/>
          <w:szCs w:val="28"/>
          <w:lang w:eastAsia="es-ES"/>
        </w:rPr>
        <w:t xml:space="preserve">a la nulidad relativa de las diligencias practicadas, (artículo 62.1 de la Ley del Proceso Penal) las cuales son subsanables mediante repetición siempre y cuando la naturaleza de la diligencia lo admita. </w:t>
      </w:r>
    </w:p>
    <w:p w14:paraId="5428AA05" w14:textId="77777777" w:rsidR="00B71C04" w:rsidRPr="00453611" w:rsidRDefault="00B71C04" w:rsidP="00310482">
      <w:pPr>
        <w:pStyle w:val="Prrafodelista"/>
        <w:spacing w:line="240" w:lineRule="atLeast"/>
        <w:jc w:val="both"/>
        <w:rPr>
          <w:rFonts w:ascii="Arial" w:eastAsia="Calibri" w:hAnsi="Arial" w:cs="Arial"/>
          <w:color w:val="002060"/>
          <w:sz w:val="28"/>
          <w:szCs w:val="28"/>
          <w:lang w:eastAsia="es-ES"/>
        </w:rPr>
      </w:pPr>
    </w:p>
    <w:p w14:paraId="370F5C7B" w14:textId="18D62013" w:rsidR="008A14EC" w:rsidRPr="00453611" w:rsidRDefault="00B71C04" w:rsidP="00310482">
      <w:pPr>
        <w:pStyle w:val="Prrafodelista"/>
        <w:spacing w:line="240" w:lineRule="atLeast"/>
        <w:ind w:left="360"/>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 xml:space="preserve">Sin embargo, si la infracción tiene que ver con la obtención de muestras corporales, sean ya de la víctima o del imputado, y se constata la violación de derechos </w:t>
      </w:r>
      <w:r w:rsidR="00BA169B" w:rsidRPr="00453611">
        <w:rPr>
          <w:rFonts w:ascii="Arial" w:eastAsia="Calibri" w:hAnsi="Arial" w:cs="Arial"/>
          <w:color w:val="002060"/>
          <w:sz w:val="28"/>
          <w:szCs w:val="28"/>
          <w:lang w:eastAsia="es-ES"/>
        </w:rPr>
        <w:t>relativos al debido proceso (artículos 94 y 95 de la Constitución)</w:t>
      </w:r>
      <w:r w:rsidRPr="00453611">
        <w:rPr>
          <w:rFonts w:ascii="Arial" w:eastAsia="Calibri" w:hAnsi="Arial" w:cs="Arial"/>
          <w:color w:val="002060"/>
          <w:sz w:val="28"/>
          <w:szCs w:val="28"/>
          <w:lang w:eastAsia="es-ES"/>
        </w:rPr>
        <w:t>, la nulidad sería absoluta.</w:t>
      </w:r>
      <w:r w:rsidR="00B56F41" w:rsidRPr="00453611">
        <w:rPr>
          <w:rFonts w:ascii="Arial" w:eastAsia="Calibri" w:hAnsi="Arial" w:cs="Arial"/>
          <w:color w:val="002060"/>
          <w:sz w:val="28"/>
          <w:szCs w:val="28"/>
          <w:lang w:eastAsia="es-ES"/>
        </w:rPr>
        <w:t xml:space="preserve"> Cabe decir que</w:t>
      </w:r>
      <w:r w:rsidR="00181FAD" w:rsidRPr="00453611">
        <w:rPr>
          <w:rFonts w:ascii="Arial" w:eastAsia="Calibri" w:hAnsi="Arial" w:cs="Arial"/>
          <w:color w:val="002060"/>
          <w:sz w:val="28"/>
          <w:szCs w:val="28"/>
          <w:lang w:eastAsia="es-ES"/>
        </w:rPr>
        <w:t>,</w:t>
      </w:r>
      <w:r w:rsidR="00B56F41" w:rsidRPr="00453611">
        <w:rPr>
          <w:rFonts w:ascii="Arial" w:eastAsia="Calibri" w:hAnsi="Arial" w:cs="Arial"/>
          <w:color w:val="002060"/>
          <w:sz w:val="28"/>
          <w:szCs w:val="28"/>
          <w:lang w:eastAsia="es-ES"/>
        </w:rPr>
        <w:t xml:space="preserve"> en este caso, la nulidad absoluta se ext</w:t>
      </w:r>
      <w:r w:rsidR="00BA169B" w:rsidRPr="00453611">
        <w:rPr>
          <w:rFonts w:ascii="Arial" w:eastAsia="Calibri" w:hAnsi="Arial" w:cs="Arial"/>
          <w:color w:val="002060"/>
          <w:sz w:val="28"/>
          <w:szCs w:val="28"/>
          <w:lang w:eastAsia="es-ES"/>
        </w:rPr>
        <w:t xml:space="preserve">endería </w:t>
      </w:r>
      <w:r w:rsidR="00B56F41" w:rsidRPr="00453611">
        <w:rPr>
          <w:rFonts w:ascii="Arial" w:eastAsia="Calibri" w:hAnsi="Arial" w:cs="Arial"/>
          <w:color w:val="002060"/>
          <w:sz w:val="28"/>
          <w:szCs w:val="28"/>
          <w:lang w:eastAsia="es-ES"/>
        </w:rPr>
        <w:t>al resultado del peritaje que se haya realizado con la muestra ilegal.</w:t>
      </w:r>
    </w:p>
    <w:p w14:paraId="635BAC47" w14:textId="77777777" w:rsidR="008112C8" w:rsidRPr="00453611" w:rsidRDefault="008112C8" w:rsidP="00310482">
      <w:pPr>
        <w:pStyle w:val="Prrafodelista"/>
        <w:spacing w:line="240" w:lineRule="atLeast"/>
        <w:jc w:val="both"/>
        <w:rPr>
          <w:rFonts w:ascii="Arial" w:eastAsia="Calibri" w:hAnsi="Arial" w:cs="Arial"/>
          <w:color w:val="002060"/>
          <w:sz w:val="28"/>
          <w:szCs w:val="28"/>
          <w:lang w:eastAsia="es-ES"/>
        </w:rPr>
      </w:pPr>
    </w:p>
    <w:p w14:paraId="4EED1894" w14:textId="113492E3" w:rsidR="008112C8" w:rsidRPr="00453611" w:rsidRDefault="008E7FA5" w:rsidP="00310482">
      <w:pPr>
        <w:pStyle w:val="Prrafodelista"/>
        <w:spacing w:line="240" w:lineRule="atLeast"/>
        <w:ind w:left="360"/>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Ahora bien,</w:t>
      </w:r>
      <w:r w:rsidR="00C00FB9" w:rsidRPr="00453611">
        <w:rPr>
          <w:rFonts w:ascii="Arial" w:eastAsia="Calibri" w:hAnsi="Arial" w:cs="Arial"/>
          <w:color w:val="002060"/>
          <w:sz w:val="28"/>
          <w:szCs w:val="28"/>
          <w:lang w:eastAsia="es-ES"/>
        </w:rPr>
        <w:t xml:space="preserve"> en virtud de lo establecido en el artículo 208.1 y 2 de la ley de trámites, </w:t>
      </w:r>
      <w:r w:rsidR="008112C8" w:rsidRPr="00453611">
        <w:rPr>
          <w:rFonts w:ascii="Arial" w:eastAsia="Calibri" w:hAnsi="Arial" w:cs="Arial"/>
          <w:color w:val="002060"/>
          <w:sz w:val="28"/>
          <w:szCs w:val="28"/>
          <w:lang w:eastAsia="es-ES"/>
        </w:rPr>
        <w:t xml:space="preserve">cabe </w:t>
      </w:r>
      <w:r w:rsidR="00C00FB9" w:rsidRPr="00453611">
        <w:rPr>
          <w:rFonts w:ascii="Arial" w:eastAsia="Calibri" w:hAnsi="Arial" w:cs="Arial"/>
          <w:color w:val="002060"/>
          <w:sz w:val="28"/>
          <w:szCs w:val="28"/>
          <w:lang w:eastAsia="es-ES"/>
        </w:rPr>
        <w:t>subsanar los errores, omisiones o contradicciones de los registros documentales siempre que aquellos no sean el reflejo de una infracción material u objetiva de los protocolos de obtención y preservación de l</w:t>
      </w:r>
      <w:r w:rsidR="00217DE7" w:rsidRPr="00453611">
        <w:rPr>
          <w:rFonts w:ascii="Arial" w:eastAsia="Calibri" w:hAnsi="Arial" w:cs="Arial"/>
          <w:color w:val="002060"/>
          <w:sz w:val="28"/>
          <w:szCs w:val="28"/>
          <w:lang w:eastAsia="es-ES"/>
        </w:rPr>
        <w:t>o</w:t>
      </w:r>
      <w:r w:rsidR="00F83105" w:rsidRPr="00453611">
        <w:rPr>
          <w:rFonts w:ascii="Arial" w:eastAsia="Calibri" w:hAnsi="Arial" w:cs="Arial"/>
          <w:color w:val="002060"/>
          <w:sz w:val="28"/>
          <w:szCs w:val="28"/>
          <w:lang w:eastAsia="es-ES"/>
        </w:rPr>
        <w:t>s</w:t>
      </w:r>
      <w:r w:rsidR="00C00FB9" w:rsidRPr="00453611">
        <w:rPr>
          <w:rFonts w:ascii="Arial" w:eastAsia="Calibri" w:hAnsi="Arial" w:cs="Arial"/>
          <w:color w:val="002060"/>
          <w:sz w:val="28"/>
          <w:szCs w:val="28"/>
          <w:lang w:eastAsia="es-ES"/>
        </w:rPr>
        <w:t xml:space="preserve"> </w:t>
      </w:r>
      <w:r w:rsidR="00A42CC1" w:rsidRPr="00453611">
        <w:rPr>
          <w:rFonts w:ascii="Arial" w:eastAsia="Calibri" w:hAnsi="Arial" w:cs="Arial"/>
          <w:color w:val="002060"/>
          <w:sz w:val="28"/>
          <w:szCs w:val="28"/>
          <w:lang w:eastAsia="es-ES"/>
        </w:rPr>
        <w:t>objetos ocupados</w:t>
      </w:r>
      <w:r w:rsidR="00C00FB9" w:rsidRPr="00453611">
        <w:rPr>
          <w:rFonts w:ascii="Arial" w:eastAsia="Calibri" w:hAnsi="Arial" w:cs="Arial"/>
          <w:color w:val="002060"/>
          <w:sz w:val="28"/>
          <w:szCs w:val="28"/>
          <w:lang w:eastAsia="es-ES"/>
        </w:rPr>
        <w:t>.</w:t>
      </w:r>
    </w:p>
    <w:p w14:paraId="78D4B81C" w14:textId="1870CF68" w:rsidR="00E06B79" w:rsidRPr="00816EB8" w:rsidRDefault="00816EB8" w:rsidP="00816EB8">
      <w:pPr>
        <w:spacing w:line="240" w:lineRule="atLeast"/>
        <w:contextualSpacing/>
        <w:jc w:val="both"/>
        <w:rPr>
          <w:rFonts w:ascii="Arial" w:eastAsia="Calibri" w:hAnsi="Arial" w:cs="Arial"/>
          <w:color w:val="002060"/>
          <w:sz w:val="28"/>
          <w:szCs w:val="28"/>
          <w:lang w:eastAsia="es-ES"/>
        </w:rPr>
      </w:pPr>
      <w:r w:rsidRPr="00816EB8">
        <w:rPr>
          <w:rFonts w:ascii="Arial" w:eastAsia="Calibri" w:hAnsi="Arial" w:cs="Arial"/>
          <w:b/>
          <w:bCs/>
          <w:color w:val="002060"/>
          <w:sz w:val="28"/>
          <w:szCs w:val="28"/>
          <w:lang w:eastAsia="es-ES"/>
        </w:rPr>
        <w:t>Intercepción y registro de la correspondencia u otra forma de comunicación</w:t>
      </w:r>
      <w:r>
        <w:rPr>
          <w:rFonts w:ascii="Arial" w:eastAsia="Calibri" w:hAnsi="Arial" w:cs="Arial"/>
          <w:color w:val="002060"/>
          <w:sz w:val="28"/>
          <w:szCs w:val="28"/>
          <w:lang w:eastAsia="es-ES"/>
        </w:rPr>
        <w:t>.</w:t>
      </w:r>
    </w:p>
    <w:p w14:paraId="13A7FBEB" w14:textId="627D11F5" w:rsidR="006F14DE" w:rsidRPr="00453611" w:rsidRDefault="006F14DE" w:rsidP="00310482">
      <w:pPr>
        <w:pStyle w:val="Prrafodelista"/>
        <w:numPr>
          <w:ilvl w:val="0"/>
          <w:numId w:val="2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dictar resolución fundada (auto del instructor) para interceptar</w:t>
      </w:r>
      <w:r w:rsidR="00473D98">
        <w:rPr>
          <w:rStyle w:val="Refdenotaalpie"/>
          <w:rFonts w:ascii="Arial" w:eastAsia="Calibri" w:hAnsi="Arial" w:cs="Arial"/>
          <w:color w:val="002060"/>
          <w:sz w:val="28"/>
          <w:szCs w:val="28"/>
          <w:lang w:eastAsia="es-ES"/>
        </w:rPr>
        <w:footnoteReference w:id="28"/>
      </w:r>
      <w:r w:rsidRPr="00453611">
        <w:rPr>
          <w:rFonts w:ascii="Arial" w:eastAsia="Calibri" w:hAnsi="Arial" w:cs="Arial"/>
          <w:color w:val="002060"/>
          <w:sz w:val="28"/>
          <w:szCs w:val="28"/>
          <w:lang w:eastAsia="es-ES"/>
        </w:rPr>
        <w:t xml:space="preserve"> la correspondencia privada (digital). Se viola aquí lo dispuesto de manera </w:t>
      </w:r>
      <w:r w:rsidRPr="00453611">
        <w:rPr>
          <w:rFonts w:ascii="Arial" w:eastAsia="Calibri" w:hAnsi="Arial" w:cs="Arial"/>
          <w:color w:val="002060"/>
          <w:sz w:val="28"/>
          <w:szCs w:val="28"/>
          <w:lang w:eastAsia="es-ES"/>
        </w:rPr>
        <w:lastRenderedPageBreak/>
        <w:t>expresa en el artículo 322 de la Ley del Proceso Penal</w:t>
      </w:r>
      <w:r w:rsidR="002718CA" w:rsidRPr="00453611">
        <w:rPr>
          <w:rFonts w:ascii="Arial" w:eastAsia="Calibri" w:hAnsi="Arial" w:cs="Arial"/>
          <w:color w:val="002060"/>
          <w:sz w:val="28"/>
          <w:szCs w:val="28"/>
          <w:lang w:eastAsia="es-ES"/>
        </w:rPr>
        <w:t xml:space="preserve"> y en el artículo 50 de la Constitución</w:t>
      </w:r>
      <w:r w:rsidRPr="00453611">
        <w:rPr>
          <w:rFonts w:ascii="Arial" w:eastAsia="Calibri" w:hAnsi="Arial" w:cs="Arial"/>
          <w:color w:val="002060"/>
          <w:sz w:val="28"/>
          <w:szCs w:val="28"/>
          <w:lang w:eastAsia="es-ES"/>
        </w:rPr>
        <w:t>.</w:t>
      </w:r>
      <w:r w:rsidR="002718CA" w:rsidRPr="00453611">
        <w:rPr>
          <w:rFonts w:ascii="Arial" w:eastAsia="Calibri" w:hAnsi="Arial" w:cs="Arial"/>
          <w:color w:val="002060"/>
          <w:sz w:val="28"/>
          <w:szCs w:val="28"/>
          <w:lang w:eastAsia="es-ES"/>
        </w:rPr>
        <w:t xml:space="preserve"> Nulidad absoluta.</w:t>
      </w:r>
    </w:p>
    <w:p w14:paraId="2E780FA8" w14:textId="77777777" w:rsidR="006F14DE" w:rsidRPr="00453611" w:rsidRDefault="006F14DE" w:rsidP="00310482">
      <w:pPr>
        <w:pStyle w:val="Prrafodelista"/>
        <w:spacing w:line="240" w:lineRule="atLeast"/>
        <w:jc w:val="both"/>
        <w:rPr>
          <w:rFonts w:ascii="Arial" w:eastAsia="Calibri" w:hAnsi="Arial" w:cs="Arial"/>
          <w:color w:val="002060"/>
          <w:sz w:val="28"/>
          <w:szCs w:val="28"/>
          <w:lang w:eastAsia="es-ES"/>
        </w:rPr>
      </w:pPr>
    </w:p>
    <w:p w14:paraId="4EFD7D17" w14:textId="4E68C57B" w:rsidR="003E5CB4" w:rsidRPr="00453611" w:rsidRDefault="006F14DE" w:rsidP="00310482">
      <w:pPr>
        <w:pStyle w:val="Prrafodelista"/>
        <w:numPr>
          <w:ilvl w:val="0"/>
          <w:numId w:val="24"/>
        </w:numPr>
        <w:spacing w:line="240" w:lineRule="atLeast"/>
        <w:jc w:val="both"/>
        <w:rPr>
          <w:rFonts w:ascii="Arial" w:eastAsia="Calibri" w:hAnsi="Arial" w:cs="Arial"/>
          <w:color w:val="002060"/>
          <w:sz w:val="28"/>
          <w:szCs w:val="28"/>
          <w:lang w:eastAsia="es-ES"/>
        </w:rPr>
      </w:pPr>
      <w:r w:rsidRPr="00453611">
        <w:rPr>
          <w:rFonts w:ascii="Arial" w:eastAsia="Calibri" w:hAnsi="Arial" w:cs="Arial"/>
          <w:color w:val="002060"/>
          <w:sz w:val="28"/>
          <w:szCs w:val="28"/>
          <w:lang w:eastAsia="es-ES"/>
        </w:rPr>
        <w:t>No aprobación del fiscal para examinar (registro</w:t>
      </w:r>
      <w:r w:rsidR="006B3447">
        <w:rPr>
          <w:rFonts w:ascii="Arial" w:eastAsia="Calibri" w:hAnsi="Arial" w:cs="Arial"/>
          <w:color w:val="002060"/>
          <w:sz w:val="28"/>
          <w:szCs w:val="28"/>
          <w:lang w:eastAsia="es-ES"/>
        </w:rPr>
        <w:t xml:space="preserve"> de</w:t>
      </w:r>
      <w:r w:rsidRPr="00453611">
        <w:rPr>
          <w:rFonts w:ascii="Arial" w:eastAsia="Calibri" w:hAnsi="Arial" w:cs="Arial"/>
          <w:color w:val="002060"/>
          <w:sz w:val="28"/>
          <w:szCs w:val="28"/>
          <w:lang w:eastAsia="es-ES"/>
        </w:rPr>
        <w:t xml:space="preserve">) </w:t>
      </w:r>
      <w:r w:rsidR="003E5CB4" w:rsidRPr="00453611">
        <w:rPr>
          <w:rFonts w:ascii="Arial" w:eastAsia="Calibri" w:hAnsi="Arial" w:cs="Arial"/>
          <w:color w:val="002060"/>
          <w:sz w:val="28"/>
          <w:szCs w:val="28"/>
          <w:lang w:eastAsia="es-ES"/>
        </w:rPr>
        <w:t xml:space="preserve">la correspondencia </w:t>
      </w:r>
      <w:r w:rsidR="006A48A7" w:rsidRPr="00453611">
        <w:rPr>
          <w:rFonts w:ascii="Arial" w:eastAsia="Calibri" w:hAnsi="Arial" w:cs="Arial"/>
          <w:color w:val="002060"/>
          <w:sz w:val="28"/>
          <w:szCs w:val="28"/>
          <w:lang w:eastAsia="es-ES"/>
        </w:rPr>
        <w:t xml:space="preserve">privada </w:t>
      </w:r>
      <w:r w:rsidRPr="00453611">
        <w:rPr>
          <w:rFonts w:ascii="Arial" w:eastAsia="Calibri" w:hAnsi="Arial" w:cs="Arial"/>
          <w:color w:val="002060"/>
          <w:sz w:val="28"/>
          <w:szCs w:val="28"/>
          <w:lang w:eastAsia="es-ES"/>
        </w:rPr>
        <w:t>(digital),</w:t>
      </w:r>
      <w:r w:rsidR="000122E7" w:rsidRPr="00453611">
        <w:rPr>
          <w:rFonts w:ascii="Arial" w:eastAsia="Calibri" w:hAnsi="Arial" w:cs="Arial"/>
          <w:color w:val="002060"/>
          <w:sz w:val="28"/>
          <w:szCs w:val="28"/>
          <w:lang w:eastAsia="es-ES"/>
        </w:rPr>
        <w:t xml:space="preserve"> y no hacer constar en acta el examen realizado a la correspondencia, </w:t>
      </w:r>
      <w:r w:rsidRPr="00453611">
        <w:rPr>
          <w:rFonts w:ascii="Arial" w:eastAsia="Calibri" w:hAnsi="Arial" w:cs="Arial"/>
          <w:color w:val="002060"/>
          <w:sz w:val="28"/>
          <w:szCs w:val="28"/>
          <w:lang w:eastAsia="es-ES"/>
        </w:rPr>
        <w:t xml:space="preserve">infringiéndose lo dispuesto en </w:t>
      </w:r>
      <w:r w:rsidR="000122E7" w:rsidRPr="00453611">
        <w:rPr>
          <w:rFonts w:ascii="Arial" w:eastAsia="Calibri" w:hAnsi="Arial" w:cs="Arial"/>
          <w:color w:val="002060"/>
          <w:sz w:val="28"/>
          <w:szCs w:val="28"/>
          <w:lang w:eastAsia="es-ES"/>
        </w:rPr>
        <w:t xml:space="preserve">los </w:t>
      </w:r>
      <w:r w:rsidRPr="00453611">
        <w:rPr>
          <w:rFonts w:ascii="Arial" w:eastAsia="Calibri" w:hAnsi="Arial" w:cs="Arial"/>
          <w:color w:val="002060"/>
          <w:sz w:val="28"/>
          <w:szCs w:val="28"/>
          <w:lang w:eastAsia="es-ES"/>
        </w:rPr>
        <w:t>artículo</w:t>
      </w:r>
      <w:r w:rsidR="000122E7" w:rsidRPr="00453611">
        <w:rPr>
          <w:rFonts w:ascii="Arial" w:eastAsia="Calibri" w:hAnsi="Arial" w:cs="Arial"/>
          <w:color w:val="002060"/>
          <w:sz w:val="28"/>
          <w:szCs w:val="28"/>
          <w:lang w:eastAsia="es-ES"/>
        </w:rPr>
        <w:t>s</w:t>
      </w:r>
      <w:r w:rsidRPr="00453611">
        <w:rPr>
          <w:rFonts w:ascii="Arial" w:eastAsia="Calibri" w:hAnsi="Arial" w:cs="Arial"/>
          <w:color w:val="002060"/>
          <w:sz w:val="28"/>
          <w:szCs w:val="28"/>
          <w:lang w:eastAsia="es-ES"/>
        </w:rPr>
        <w:t xml:space="preserve"> 323</w:t>
      </w:r>
      <w:r w:rsidR="000122E7" w:rsidRPr="00453611">
        <w:rPr>
          <w:rFonts w:ascii="Arial" w:eastAsia="Calibri" w:hAnsi="Arial" w:cs="Arial"/>
          <w:color w:val="002060"/>
          <w:sz w:val="28"/>
          <w:szCs w:val="28"/>
          <w:lang w:eastAsia="es-ES"/>
        </w:rPr>
        <w:t xml:space="preserve"> y 324 de la Ley del proceso Penal, respectivamente</w:t>
      </w:r>
      <w:r w:rsidR="002718CA" w:rsidRPr="00453611">
        <w:rPr>
          <w:rFonts w:ascii="Arial" w:eastAsia="Calibri" w:hAnsi="Arial" w:cs="Arial"/>
          <w:color w:val="002060"/>
          <w:sz w:val="28"/>
          <w:szCs w:val="28"/>
          <w:lang w:eastAsia="es-ES"/>
        </w:rPr>
        <w:t>, y en el ya citado artículo 50 de la Constitución. Nulidad absoluta</w:t>
      </w:r>
      <w:r w:rsidR="000122E7" w:rsidRPr="00453611">
        <w:rPr>
          <w:rFonts w:ascii="Arial" w:eastAsia="Calibri" w:hAnsi="Arial" w:cs="Arial"/>
          <w:color w:val="002060"/>
          <w:sz w:val="28"/>
          <w:szCs w:val="28"/>
          <w:lang w:eastAsia="es-ES"/>
        </w:rPr>
        <w:t>.</w:t>
      </w:r>
    </w:p>
    <w:p w14:paraId="6DB4CC1F" w14:textId="77777777" w:rsidR="00F46E03" w:rsidRPr="00E949CD" w:rsidRDefault="00F46E03" w:rsidP="00310482">
      <w:pPr>
        <w:spacing w:line="240" w:lineRule="atLeast"/>
        <w:contextualSpacing/>
        <w:jc w:val="both"/>
        <w:rPr>
          <w:rFonts w:ascii="Arial" w:eastAsia="Calibri" w:hAnsi="Arial" w:cs="Arial"/>
          <w:b/>
          <w:color w:val="002060"/>
          <w:sz w:val="28"/>
          <w:szCs w:val="28"/>
          <w:lang w:eastAsia="es-ES"/>
        </w:rPr>
      </w:pPr>
    </w:p>
    <w:p w14:paraId="4C07A943" w14:textId="77777777" w:rsidR="00E652BB" w:rsidRDefault="00E652BB" w:rsidP="00310482">
      <w:pPr>
        <w:jc w:val="both"/>
      </w:pPr>
    </w:p>
    <w:sectPr w:rsidR="00E652BB" w:rsidSect="00FE5933">
      <w:pgSz w:w="11906" w:h="16838"/>
      <w:pgMar w:top="993" w:right="991" w:bottom="709"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9B167" w14:textId="77777777" w:rsidR="003C7B17" w:rsidRDefault="003C7B17" w:rsidP="00F46E03">
      <w:pPr>
        <w:spacing w:after="0" w:line="240" w:lineRule="auto"/>
      </w:pPr>
      <w:r>
        <w:separator/>
      </w:r>
    </w:p>
  </w:endnote>
  <w:endnote w:type="continuationSeparator" w:id="0">
    <w:p w14:paraId="46D751B5" w14:textId="77777777" w:rsidR="003C7B17" w:rsidRDefault="003C7B17" w:rsidP="00F46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884E3" w14:textId="77777777" w:rsidR="003C7B17" w:rsidRDefault="003C7B17" w:rsidP="00F46E03">
      <w:pPr>
        <w:spacing w:after="0" w:line="240" w:lineRule="auto"/>
      </w:pPr>
      <w:r>
        <w:separator/>
      </w:r>
    </w:p>
  </w:footnote>
  <w:footnote w:type="continuationSeparator" w:id="0">
    <w:p w14:paraId="70A2B763" w14:textId="77777777" w:rsidR="003C7B17" w:rsidRDefault="003C7B17" w:rsidP="00F46E03">
      <w:pPr>
        <w:spacing w:after="0" w:line="240" w:lineRule="auto"/>
      </w:pPr>
      <w:r>
        <w:continuationSeparator/>
      </w:r>
    </w:p>
  </w:footnote>
  <w:footnote w:id="1">
    <w:p w14:paraId="15B19F61" w14:textId="5DC6C3A6" w:rsidR="00717110" w:rsidRPr="00473D98" w:rsidRDefault="00717110"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La Ley 143 no precisa qué debe entenderse por “</w:t>
      </w:r>
      <w:r w:rsidRPr="00473D98">
        <w:rPr>
          <w:rFonts w:ascii="Times New Roman" w:hAnsi="Times New Roman" w:cs="Times New Roman"/>
          <w:i/>
          <w:iCs/>
          <w:color w:val="002060"/>
          <w:sz w:val="22"/>
          <w:szCs w:val="22"/>
        </w:rPr>
        <w:t>resultados del proceso</w:t>
      </w:r>
      <w:r w:rsidRPr="00473D98">
        <w:rPr>
          <w:rFonts w:ascii="Times New Roman" w:hAnsi="Times New Roman" w:cs="Times New Roman"/>
          <w:color w:val="002060"/>
          <w:sz w:val="22"/>
          <w:szCs w:val="22"/>
        </w:rPr>
        <w:t>” ni cuándo deben serle comunicados a la víctima. No menos controvertida resulta en lo tocante a precisar cuáles son las “</w:t>
      </w:r>
      <w:r w:rsidRPr="00473D98">
        <w:rPr>
          <w:rFonts w:ascii="Times New Roman" w:hAnsi="Times New Roman" w:cs="Times New Roman"/>
          <w:i/>
          <w:iCs/>
          <w:color w:val="002060"/>
          <w:sz w:val="22"/>
          <w:szCs w:val="22"/>
        </w:rPr>
        <w:t>decisiones de la autoridad actuante</w:t>
      </w:r>
      <w:r w:rsidRPr="00473D98">
        <w:rPr>
          <w:rFonts w:ascii="Times New Roman" w:hAnsi="Times New Roman" w:cs="Times New Roman"/>
          <w:color w:val="002060"/>
          <w:sz w:val="22"/>
          <w:szCs w:val="22"/>
        </w:rPr>
        <w:t xml:space="preserve">” </w:t>
      </w:r>
      <w:r w:rsidR="00352D1A" w:rsidRPr="00473D98">
        <w:rPr>
          <w:rFonts w:ascii="Times New Roman" w:hAnsi="Times New Roman" w:cs="Times New Roman"/>
          <w:color w:val="002060"/>
          <w:sz w:val="22"/>
          <w:szCs w:val="22"/>
        </w:rPr>
        <w:t xml:space="preserve">que pueden </w:t>
      </w:r>
      <w:r w:rsidRPr="00473D98">
        <w:rPr>
          <w:rFonts w:ascii="Times New Roman" w:hAnsi="Times New Roman" w:cs="Times New Roman"/>
          <w:color w:val="002060"/>
          <w:sz w:val="22"/>
          <w:szCs w:val="22"/>
        </w:rPr>
        <w:t xml:space="preserve">ser impugnadas por la víctima mediante recursos. </w:t>
      </w:r>
    </w:p>
    <w:p w14:paraId="5A3C099A" w14:textId="04051503" w:rsidR="00717110" w:rsidRPr="00473D98" w:rsidRDefault="00717110"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La interpretación de</w:t>
      </w:r>
      <w:r w:rsidR="0061451D" w:rsidRPr="00473D98">
        <w:rPr>
          <w:rFonts w:ascii="Times New Roman" w:hAnsi="Times New Roman" w:cs="Times New Roman"/>
          <w:color w:val="002060"/>
          <w:sz w:val="22"/>
          <w:szCs w:val="22"/>
        </w:rPr>
        <w:t xml:space="preserve"> este </w:t>
      </w:r>
      <w:r w:rsidRPr="00473D98">
        <w:rPr>
          <w:rFonts w:ascii="Times New Roman" w:hAnsi="Times New Roman" w:cs="Times New Roman"/>
          <w:color w:val="002060"/>
          <w:sz w:val="22"/>
          <w:szCs w:val="22"/>
        </w:rPr>
        <w:t>artículo</w:t>
      </w:r>
      <w:r w:rsidR="0061451D" w:rsidRPr="00473D98">
        <w:rPr>
          <w:rFonts w:ascii="Times New Roman" w:hAnsi="Times New Roman" w:cs="Times New Roman"/>
          <w:color w:val="002060"/>
          <w:sz w:val="22"/>
          <w:szCs w:val="22"/>
        </w:rPr>
        <w:t xml:space="preserve"> </w:t>
      </w:r>
      <w:r w:rsidRPr="00473D98">
        <w:rPr>
          <w:rFonts w:ascii="Times New Roman" w:hAnsi="Times New Roman" w:cs="Times New Roman"/>
          <w:color w:val="002060"/>
          <w:sz w:val="22"/>
          <w:szCs w:val="22"/>
        </w:rPr>
        <w:t>puede hacerse por dos caminos. Uno gramatical, centrado en el concepto “</w:t>
      </w:r>
      <w:r w:rsidRPr="00473D98">
        <w:rPr>
          <w:rFonts w:ascii="Times New Roman" w:hAnsi="Times New Roman" w:cs="Times New Roman"/>
          <w:i/>
          <w:iCs/>
          <w:color w:val="002060"/>
          <w:sz w:val="22"/>
          <w:szCs w:val="22"/>
        </w:rPr>
        <w:t>decisiones de la autoridad actuante</w:t>
      </w:r>
      <w:r w:rsidRPr="00473D98">
        <w:rPr>
          <w:rFonts w:ascii="Times New Roman" w:hAnsi="Times New Roman" w:cs="Times New Roman"/>
          <w:color w:val="002060"/>
          <w:sz w:val="22"/>
          <w:szCs w:val="22"/>
        </w:rPr>
        <w:t>”,</w:t>
      </w:r>
      <w:r w:rsidR="0061451D" w:rsidRPr="00473D98">
        <w:rPr>
          <w:rFonts w:ascii="Times New Roman" w:hAnsi="Times New Roman" w:cs="Times New Roman"/>
          <w:color w:val="002060"/>
          <w:sz w:val="22"/>
          <w:szCs w:val="22"/>
        </w:rPr>
        <w:t xml:space="preserve"> el cual tiene por base el </w:t>
      </w:r>
      <w:r w:rsidRPr="00473D98">
        <w:rPr>
          <w:rFonts w:ascii="Times New Roman" w:hAnsi="Times New Roman" w:cs="Times New Roman"/>
          <w:color w:val="002060"/>
          <w:sz w:val="22"/>
          <w:szCs w:val="22"/>
        </w:rPr>
        <w:t>artículo 51</w:t>
      </w:r>
      <w:r w:rsidR="0061451D" w:rsidRPr="00473D98">
        <w:rPr>
          <w:rFonts w:ascii="Times New Roman" w:hAnsi="Times New Roman" w:cs="Times New Roman"/>
          <w:color w:val="002060"/>
          <w:sz w:val="22"/>
          <w:szCs w:val="22"/>
        </w:rPr>
        <w:t xml:space="preserve">, que </w:t>
      </w:r>
      <w:r w:rsidRPr="00473D98">
        <w:rPr>
          <w:rFonts w:ascii="Times New Roman" w:hAnsi="Times New Roman" w:cs="Times New Roman"/>
          <w:color w:val="002060"/>
          <w:sz w:val="22"/>
          <w:szCs w:val="22"/>
        </w:rPr>
        <w:t xml:space="preserve">establece que las decisiones de la autoridad actuante se adoptan mediante </w:t>
      </w:r>
      <w:r w:rsidRPr="00473D98">
        <w:rPr>
          <w:rFonts w:ascii="Times New Roman" w:hAnsi="Times New Roman" w:cs="Times New Roman"/>
          <w:i/>
          <w:iCs/>
          <w:color w:val="002060"/>
          <w:sz w:val="22"/>
          <w:szCs w:val="22"/>
        </w:rPr>
        <w:t>RESOLUCIONES</w:t>
      </w:r>
      <w:r w:rsidRPr="00473D98">
        <w:rPr>
          <w:rFonts w:ascii="Times New Roman" w:hAnsi="Times New Roman" w:cs="Times New Roman"/>
          <w:color w:val="002060"/>
          <w:sz w:val="22"/>
          <w:szCs w:val="22"/>
        </w:rPr>
        <w:t xml:space="preserve">, y el artículo 66.1, que refiere que las </w:t>
      </w:r>
      <w:r w:rsidRPr="00473D98">
        <w:rPr>
          <w:rFonts w:ascii="Times New Roman" w:hAnsi="Times New Roman" w:cs="Times New Roman"/>
          <w:i/>
          <w:iCs/>
          <w:color w:val="002060"/>
          <w:sz w:val="22"/>
          <w:szCs w:val="22"/>
        </w:rPr>
        <w:t>resoluciones</w:t>
      </w:r>
      <w:r w:rsidRPr="00473D98">
        <w:rPr>
          <w:rFonts w:ascii="Times New Roman" w:hAnsi="Times New Roman" w:cs="Times New Roman"/>
          <w:color w:val="002060"/>
          <w:sz w:val="22"/>
          <w:szCs w:val="22"/>
        </w:rPr>
        <w:t xml:space="preserve"> se notifican a las </w:t>
      </w:r>
      <w:r w:rsidRPr="00473D98">
        <w:rPr>
          <w:rFonts w:ascii="Times New Roman" w:hAnsi="Times New Roman" w:cs="Times New Roman"/>
          <w:i/>
          <w:iCs/>
          <w:color w:val="002060"/>
          <w:sz w:val="22"/>
          <w:szCs w:val="22"/>
        </w:rPr>
        <w:t>PARTES</w:t>
      </w:r>
      <w:r w:rsidRPr="00473D98">
        <w:rPr>
          <w:rFonts w:ascii="Times New Roman" w:hAnsi="Times New Roman" w:cs="Times New Roman"/>
          <w:color w:val="002060"/>
          <w:sz w:val="22"/>
          <w:szCs w:val="22"/>
        </w:rPr>
        <w:t xml:space="preserve"> o a sus representantes legales. De </w:t>
      </w:r>
      <w:r w:rsidR="00E05FF6" w:rsidRPr="00473D98">
        <w:rPr>
          <w:rFonts w:ascii="Times New Roman" w:hAnsi="Times New Roman" w:cs="Times New Roman"/>
          <w:color w:val="002060"/>
          <w:sz w:val="22"/>
          <w:szCs w:val="22"/>
        </w:rPr>
        <w:t xml:space="preserve">lo dicho en estos dos artículos </w:t>
      </w:r>
      <w:r w:rsidRPr="00473D98">
        <w:rPr>
          <w:rFonts w:ascii="Times New Roman" w:hAnsi="Times New Roman" w:cs="Times New Roman"/>
          <w:color w:val="002060"/>
          <w:sz w:val="22"/>
          <w:szCs w:val="22"/>
        </w:rPr>
        <w:t>se sigue que</w:t>
      </w:r>
      <w:r w:rsidR="00A30F43"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para ser notificada </w:t>
      </w:r>
      <w:r w:rsidR="00B43400" w:rsidRPr="00473D98">
        <w:rPr>
          <w:rFonts w:ascii="Times New Roman" w:hAnsi="Times New Roman" w:cs="Times New Roman"/>
          <w:color w:val="002060"/>
          <w:sz w:val="22"/>
          <w:szCs w:val="22"/>
        </w:rPr>
        <w:t xml:space="preserve">de </w:t>
      </w:r>
      <w:r w:rsidR="0061451D" w:rsidRPr="00473D98">
        <w:rPr>
          <w:rFonts w:ascii="Times New Roman" w:hAnsi="Times New Roman" w:cs="Times New Roman"/>
          <w:color w:val="002060"/>
          <w:sz w:val="22"/>
          <w:szCs w:val="22"/>
        </w:rPr>
        <w:t>las resoluciones</w:t>
      </w:r>
      <w:r w:rsidR="00B43400" w:rsidRPr="00473D98">
        <w:rPr>
          <w:rFonts w:ascii="Times New Roman" w:hAnsi="Times New Roman" w:cs="Times New Roman"/>
          <w:color w:val="002060"/>
          <w:sz w:val="22"/>
          <w:szCs w:val="22"/>
        </w:rPr>
        <w:t xml:space="preserve"> e impugnarlas </w:t>
      </w:r>
      <w:r w:rsidRPr="00473D98">
        <w:rPr>
          <w:rFonts w:ascii="Times New Roman" w:hAnsi="Times New Roman" w:cs="Times New Roman"/>
          <w:color w:val="002060"/>
          <w:sz w:val="22"/>
          <w:szCs w:val="22"/>
        </w:rPr>
        <w:t xml:space="preserve">mediante recursos, la víctima debe ser </w:t>
      </w:r>
      <w:r w:rsidRPr="00473D98">
        <w:rPr>
          <w:rFonts w:ascii="Times New Roman" w:hAnsi="Times New Roman" w:cs="Times New Roman"/>
          <w:i/>
          <w:iCs/>
          <w:color w:val="002060"/>
          <w:sz w:val="22"/>
          <w:szCs w:val="22"/>
        </w:rPr>
        <w:t>PARTE PROCESAL</w:t>
      </w:r>
      <w:r w:rsidRPr="00473D98">
        <w:rPr>
          <w:rFonts w:ascii="Times New Roman" w:hAnsi="Times New Roman" w:cs="Times New Roman"/>
          <w:color w:val="002060"/>
          <w:sz w:val="22"/>
          <w:szCs w:val="22"/>
        </w:rPr>
        <w:t xml:space="preserve">, requerimiento que anularía de facto el derecho concedido en el inciso k) del artículo 141 de la Ley adjetiva. </w:t>
      </w:r>
    </w:p>
    <w:p w14:paraId="0210C691" w14:textId="7B609817" w:rsidR="00E05FF6" w:rsidRPr="00473D98" w:rsidRDefault="00717110"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El otro camino parte de un análisis sistemático del estatus de víctima en el proceso penal</w:t>
      </w:r>
      <w:r w:rsidR="00E05FF6" w:rsidRPr="00473D98">
        <w:rPr>
          <w:rFonts w:ascii="Times New Roman" w:hAnsi="Times New Roman" w:cs="Times New Roman"/>
          <w:color w:val="002060"/>
          <w:sz w:val="22"/>
          <w:szCs w:val="22"/>
        </w:rPr>
        <w:t xml:space="preserve">. </w:t>
      </w:r>
      <w:r w:rsidRPr="00473D98">
        <w:rPr>
          <w:rFonts w:ascii="Times New Roman" w:hAnsi="Times New Roman" w:cs="Times New Roman"/>
          <w:color w:val="002060"/>
          <w:sz w:val="22"/>
          <w:szCs w:val="22"/>
        </w:rPr>
        <w:t xml:space="preserve">Ese estatus tiene expresión legal en el artículo 94 c) y f) de la Constitución, así como en su artículo 95 i), </w:t>
      </w:r>
      <w:r w:rsidR="00FE1487" w:rsidRPr="00473D98">
        <w:rPr>
          <w:rFonts w:ascii="Times New Roman" w:hAnsi="Times New Roman" w:cs="Times New Roman"/>
          <w:color w:val="002060"/>
          <w:sz w:val="22"/>
          <w:szCs w:val="22"/>
        </w:rPr>
        <w:t xml:space="preserve">los cuales, de forma general, establecen el derecho de la víctima a aportar pruebas, solicitar la extracción de aquellas ilícitas e interponer recursos. Por su parte, </w:t>
      </w:r>
      <w:r w:rsidRPr="00473D98">
        <w:rPr>
          <w:rFonts w:ascii="Times New Roman" w:hAnsi="Times New Roman" w:cs="Times New Roman"/>
          <w:color w:val="002060"/>
          <w:sz w:val="22"/>
          <w:szCs w:val="22"/>
        </w:rPr>
        <w:t xml:space="preserve">los incisos b) y k) del artículo 141 de la Ley 143 del Proceso Penal, </w:t>
      </w:r>
      <w:r w:rsidR="00FE1487" w:rsidRPr="00473D98">
        <w:rPr>
          <w:rFonts w:ascii="Times New Roman" w:hAnsi="Times New Roman" w:cs="Times New Roman"/>
          <w:color w:val="002060"/>
          <w:sz w:val="22"/>
          <w:szCs w:val="22"/>
        </w:rPr>
        <w:t xml:space="preserve">prescriben </w:t>
      </w:r>
      <w:r w:rsidR="00281134" w:rsidRPr="00473D98">
        <w:rPr>
          <w:rFonts w:ascii="Times New Roman" w:hAnsi="Times New Roman" w:cs="Times New Roman"/>
          <w:color w:val="002060"/>
          <w:sz w:val="22"/>
          <w:szCs w:val="22"/>
        </w:rPr>
        <w:t xml:space="preserve">específicamente </w:t>
      </w:r>
      <w:r w:rsidR="00FE1487" w:rsidRPr="00473D98">
        <w:rPr>
          <w:rFonts w:ascii="Times New Roman" w:hAnsi="Times New Roman" w:cs="Times New Roman"/>
          <w:color w:val="002060"/>
          <w:sz w:val="22"/>
          <w:szCs w:val="22"/>
        </w:rPr>
        <w:t xml:space="preserve">el derecho que tiene la víctima a estar informada sobre el curso </w:t>
      </w:r>
      <w:r w:rsidRPr="00473D98">
        <w:rPr>
          <w:rFonts w:ascii="Times New Roman" w:hAnsi="Times New Roman" w:cs="Times New Roman"/>
          <w:color w:val="002060"/>
          <w:sz w:val="22"/>
          <w:szCs w:val="22"/>
        </w:rPr>
        <w:t>del proceso</w:t>
      </w:r>
      <w:r w:rsidR="00FE1487" w:rsidRPr="00473D98">
        <w:rPr>
          <w:rFonts w:ascii="Times New Roman" w:hAnsi="Times New Roman" w:cs="Times New Roman"/>
          <w:color w:val="002060"/>
          <w:sz w:val="22"/>
          <w:szCs w:val="22"/>
        </w:rPr>
        <w:t>, y en el caso del inciso k)</w:t>
      </w:r>
      <w:r w:rsidR="00281134" w:rsidRPr="00473D98">
        <w:rPr>
          <w:rFonts w:ascii="Times New Roman" w:hAnsi="Times New Roman" w:cs="Times New Roman"/>
          <w:color w:val="002060"/>
          <w:sz w:val="22"/>
          <w:szCs w:val="22"/>
        </w:rPr>
        <w:t>,</w:t>
      </w:r>
      <w:r w:rsidR="00FE1487" w:rsidRPr="00473D98">
        <w:rPr>
          <w:rFonts w:ascii="Times New Roman" w:hAnsi="Times New Roman" w:cs="Times New Roman"/>
          <w:color w:val="002060"/>
          <w:sz w:val="22"/>
          <w:szCs w:val="22"/>
        </w:rPr>
        <w:t xml:space="preserve"> como ya se dijo, a </w:t>
      </w:r>
      <w:r w:rsidR="00281134" w:rsidRPr="00473D98">
        <w:rPr>
          <w:rFonts w:ascii="Times New Roman" w:hAnsi="Times New Roman" w:cs="Times New Roman"/>
          <w:color w:val="002060"/>
          <w:sz w:val="22"/>
          <w:szCs w:val="22"/>
        </w:rPr>
        <w:t>impugnar mediante recursos</w:t>
      </w:r>
      <w:r w:rsidR="003314B8" w:rsidRPr="00473D98">
        <w:rPr>
          <w:rFonts w:ascii="Times New Roman" w:hAnsi="Times New Roman" w:cs="Times New Roman"/>
          <w:color w:val="002060"/>
          <w:sz w:val="22"/>
          <w:szCs w:val="22"/>
        </w:rPr>
        <w:t>, aunque no sea PARTE PROCESAL</w:t>
      </w:r>
      <w:r w:rsidRPr="00473D98">
        <w:rPr>
          <w:rFonts w:ascii="Times New Roman" w:hAnsi="Times New Roman" w:cs="Times New Roman"/>
          <w:color w:val="002060"/>
          <w:sz w:val="22"/>
          <w:szCs w:val="22"/>
        </w:rPr>
        <w:t>.</w:t>
      </w:r>
      <w:r w:rsidR="00FE1487" w:rsidRPr="00473D98">
        <w:rPr>
          <w:rFonts w:ascii="Times New Roman" w:hAnsi="Times New Roman" w:cs="Times New Roman"/>
          <w:color w:val="002060"/>
          <w:sz w:val="22"/>
          <w:szCs w:val="22"/>
        </w:rPr>
        <w:t xml:space="preserve"> </w:t>
      </w:r>
      <w:r w:rsidR="00281134" w:rsidRPr="00473D98">
        <w:rPr>
          <w:rFonts w:ascii="Times New Roman" w:hAnsi="Times New Roman" w:cs="Times New Roman"/>
          <w:color w:val="002060"/>
          <w:sz w:val="22"/>
          <w:szCs w:val="22"/>
        </w:rPr>
        <w:t xml:space="preserve">Finalmente, </w:t>
      </w:r>
      <w:r w:rsidRPr="00473D98">
        <w:rPr>
          <w:rFonts w:ascii="Times New Roman" w:hAnsi="Times New Roman" w:cs="Times New Roman"/>
          <w:color w:val="002060"/>
          <w:sz w:val="22"/>
          <w:szCs w:val="22"/>
        </w:rPr>
        <w:t xml:space="preserve">el </w:t>
      </w:r>
      <w:r w:rsidR="00281134" w:rsidRPr="00473D98">
        <w:rPr>
          <w:rFonts w:ascii="Times New Roman" w:hAnsi="Times New Roman" w:cs="Times New Roman"/>
          <w:color w:val="002060"/>
          <w:sz w:val="22"/>
          <w:szCs w:val="22"/>
        </w:rPr>
        <w:t xml:space="preserve">artículo </w:t>
      </w:r>
      <w:r w:rsidRPr="00473D98">
        <w:rPr>
          <w:rFonts w:ascii="Times New Roman" w:hAnsi="Times New Roman" w:cs="Times New Roman"/>
          <w:color w:val="002060"/>
          <w:sz w:val="22"/>
          <w:szCs w:val="22"/>
        </w:rPr>
        <w:t>593.1</w:t>
      </w:r>
      <w:r w:rsidR="00281134" w:rsidRPr="00473D98">
        <w:rPr>
          <w:rFonts w:ascii="Times New Roman" w:hAnsi="Times New Roman" w:cs="Times New Roman"/>
          <w:color w:val="002060"/>
          <w:sz w:val="22"/>
          <w:szCs w:val="22"/>
        </w:rPr>
        <w:t xml:space="preserve"> de la Ley 143</w:t>
      </w:r>
      <w:r w:rsidRPr="00473D98">
        <w:rPr>
          <w:rFonts w:ascii="Times New Roman" w:hAnsi="Times New Roman" w:cs="Times New Roman"/>
          <w:color w:val="002060"/>
          <w:sz w:val="22"/>
          <w:szCs w:val="22"/>
        </w:rPr>
        <w:t xml:space="preserve">, </w:t>
      </w:r>
      <w:r w:rsidR="00E05FF6" w:rsidRPr="00473D98">
        <w:rPr>
          <w:rFonts w:ascii="Times New Roman" w:hAnsi="Times New Roman" w:cs="Times New Roman"/>
          <w:color w:val="002060"/>
          <w:sz w:val="22"/>
          <w:szCs w:val="22"/>
        </w:rPr>
        <w:t xml:space="preserve">precisa </w:t>
      </w:r>
      <w:r w:rsidRPr="00473D98">
        <w:rPr>
          <w:rFonts w:ascii="Times New Roman" w:hAnsi="Times New Roman" w:cs="Times New Roman"/>
          <w:color w:val="002060"/>
          <w:sz w:val="22"/>
          <w:szCs w:val="22"/>
        </w:rPr>
        <w:t xml:space="preserve">que la víctima </w:t>
      </w:r>
      <w:r w:rsidR="00A30F43"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y el perjudicado</w:t>
      </w:r>
      <w:r w:rsidR="00A30F43"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pueden establecer recurso de QUEJA contra </w:t>
      </w:r>
      <w:r w:rsidR="00A30F43" w:rsidRPr="00473D98">
        <w:rPr>
          <w:rFonts w:ascii="Times New Roman" w:hAnsi="Times New Roman" w:cs="Times New Roman"/>
          <w:color w:val="002060"/>
          <w:sz w:val="22"/>
          <w:szCs w:val="22"/>
        </w:rPr>
        <w:t xml:space="preserve">las </w:t>
      </w:r>
      <w:r w:rsidRPr="00473D98">
        <w:rPr>
          <w:rFonts w:ascii="Times New Roman" w:hAnsi="Times New Roman" w:cs="Times New Roman"/>
          <w:color w:val="002060"/>
          <w:sz w:val="22"/>
          <w:szCs w:val="22"/>
        </w:rPr>
        <w:t>ACTUACIONES y RESOLUCIONES de la autoridad actuante que estimen ilegales o infundadas</w:t>
      </w:r>
      <w:r w:rsidR="00281134" w:rsidRPr="00473D98">
        <w:rPr>
          <w:rFonts w:ascii="Times New Roman" w:hAnsi="Times New Roman" w:cs="Times New Roman"/>
          <w:color w:val="002060"/>
          <w:sz w:val="22"/>
          <w:szCs w:val="22"/>
        </w:rPr>
        <w:t xml:space="preserve">, lo cual </w:t>
      </w:r>
      <w:r w:rsidR="00A30F43" w:rsidRPr="00473D98">
        <w:rPr>
          <w:rFonts w:ascii="Times New Roman" w:hAnsi="Times New Roman" w:cs="Times New Roman"/>
          <w:color w:val="002060"/>
          <w:sz w:val="22"/>
          <w:szCs w:val="22"/>
        </w:rPr>
        <w:t xml:space="preserve">presupone igualmente que la víctima sea </w:t>
      </w:r>
      <w:r w:rsidR="0057522C" w:rsidRPr="00473D98">
        <w:rPr>
          <w:rFonts w:ascii="Times New Roman" w:hAnsi="Times New Roman" w:cs="Times New Roman"/>
          <w:color w:val="002060"/>
          <w:sz w:val="22"/>
          <w:szCs w:val="22"/>
        </w:rPr>
        <w:t xml:space="preserve">notificada </w:t>
      </w:r>
      <w:r w:rsidR="00E05FF6" w:rsidRPr="00473D98">
        <w:rPr>
          <w:rFonts w:ascii="Times New Roman" w:hAnsi="Times New Roman" w:cs="Times New Roman"/>
          <w:color w:val="002060"/>
          <w:sz w:val="22"/>
          <w:szCs w:val="22"/>
        </w:rPr>
        <w:t xml:space="preserve">oportunamente </w:t>
      </w:r>
      <w:r w:rsidR="00A30F43" w:rsidRPr="00473D98">
        <w:rPr>
          <w:rFonts w:ascii="Times New Roman" w:hAnsi="Times New Roman" w:cs="Times New Roman"/>
          <w:color w:val="002060"/>
          <w:sz w:val="22"/>
          <w:szCs w:val="22"/>
        </w:rPr>
        <w:t xml:space="preserve">de tales actuaciones y resoluciones. </w:t>
      </w:r>
      <w:r w:rsidR="0057522C" w:rsidRPr="00473D98">
        <w:rPr>
          <w:rFonts w:ascii="Times New Roman" w:hAnsi="Times New Roman" w:cs="Times New Roman"/>
          <w:color w:val="002060"/>
          <w:sz w:val="22"/>
          <w:szCs w:val="22"/>
        </w:rPr>
        <w:t xml:space="preserve">Es de notar que el artículo 593.1 no exige que la víctima, para interponer el recurso de QUEJA, tenga que estar constituida como PARTE PROCESAL, con lo cual se ratifica el derecho general concedido por el artículo 141.k) de la Ley 143 para </w:t>
      </w:r>
      <w:r w:rsidR="00121BB3" w:rsidRPr="00473D98">
        <w:rPr>
          <w:rFonts w:ascii="Times New Roman" w:hAnsi="Times New Roman" w:cs="Times New Roman"/>
          <w:color w:val="002060"/>
          <w:sz w:val="22"/>
          <w:szCs w:val="22"/>
        </w:rPr>
        <w:t xml:space="preserve">ser </w:t>
      </w:r>
      <w:r w:rsidR="0057522C" w:rsidRPr="00473D98">
        <w:rPr>
          <w:rFonts w:ascii="Times New Roman" w:hAnsi="Times New Roman" w:cs="Times New Roman"/>
          <w:color w:val="002060"/>
          <w:sz w:val="22"/>
          <w:szCs w:val="22"/>
        </w:rPr>
        <w:t>informa</w:t>
      </w:r>
      <w:r w:rsidR="00121BB3" w:rsidRPr="00473D98">
        <w:rPr>
          <w:rFonts w:ascii="Times New Roman" w:hAnsi="Times New Roman" w:cs="Times New Roman"/>
          <w:color w:val="002060"/>
          <w:sz w:val="22"/>
          <w:szCs w:val="22"/>
        </w:rPr>
        <w:t>da</w:t>
      </w:r>
      <w:r w:rsidR="0057522C" w:rsidRPr="00473D98">
        <w:rPr>
          <w:rFonts w:ascii="Times New Roman" w:hAnsi="Times New Roman" w:cs="Times New Roman"/>
          <w:color w:val="002060"/>
          <w:sz w:val="22"/>
          <w:szCs w:val="22"/>
        </w:rPr>
        <w:t xml:space="preserve"> y para impugnar.</w:t>
      </w:r>
    </w:p>
    <w:p w14:paraId="1DAEE542" w14:textId="13E10644" w:rsidR="0057522C" w:rsidRPr="00473D98" w:rsidRDefault="0057522C"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 xml:space="preserve">Quedaría por dilucidar cuándo debería informarse a la víctima sobre los resultados del proceso y las decisiones adoptadas por la autoridad actuante. </w:t>
      </w:r>
      <w:r w:rsidR="006F3736" w:rsidRPr="00473D98">
        <w:rPr>
          <w:rFonts w:ascii="Times New Roman" w:hAnsi="Times New Roman" w:cs="Times New Roman"/>
          <w:color w:val="002060"/>
          <w:sz w:val="22"/>
          <w:szCs w:val="22"/>
        </w:rPr>
        <w:t xml:space="preserve">Aducir que </w:t>
      </w:r>
      <w:r w:rsidR="00F508B3" w:rsidRPr="00473D98">
        <w:rPr>
          <w:rFonts w:ascii="Times New Roman" w:hAnsi="Times New Roman" w:cs="Times New Roman"/>
          <w:color w:val="002060"/>
          <w:sz w:val="22"/>
          <w:szCs w:val="22"/>
        </w:rPr>
        <w:t xml:space="preserve">la </w:t>
      </w:r>
      <w:r w:rsidR="006F3736" w:rsidRPr="00473D98">
        <w:rPr>
          <w:rFonts w:ascii="Times New Roman" w:hAnsi="Times New Roman" w:cs="Times New Roman"/>
          <w:color w:val="002060"/>
          <w:sz w:val="22"/>
          <w:szCs w:val="22"/>
        </w:rPr>
        <w:t xml:space="preserve">notificación debe </w:t>
      </w:r>
      <w:r w:rsidR="00F508B3" w:rsidRPr="00473D98">
        <w:rPr>
          <w:rFonts w:ascii="Times New Roman" w:hAnsi="Times New Roman" w:cs="Times New Roman"/>
          <w:color w:val="002060"/>
          <w:sz w:val="22"/>
          <w:szCs w:val="22"/>
        </w:rPr>
        <w:t xml:space="preserve">hacerse </w:t>
      </w:r>
      <w:r w:rsidR="006F3736" w:rsidRPr="00473D98">
        <w:rPr>
          <w:rFonts w:ascii="Times New Roman" w:hAnsi="Times New Roman" w:cs="Times New Roman"/>
          <w:color w:val="002060"/>
          <w:sz w:val="22"/>
          <w:szCs w:val="22"/>
        </w:rPr>
        <w:t>al final de la fase investigativa</w:t>
      </w:r>
      <w:r w:rsidR="00F508B3" w:rsidRPr="00473D98">
        <w:rPr>
          <w:rFonts w:ascii="Times New Roman" w:hAnsi="Times New Roman" w:cs="Times New Roman"/>
          <w:color w:val="002060"/>
          <w:sz w:val="22"/>
          <w:szCs w:val="22"/>
        </w:rPr>
        <w:t xml:space="preserve"> tiene como ventaja concentrar en un solo acto todo lo que deba informarse</w:t>
      </w:r>
      <w:r w:rsidR="00941599" w:rsidRPr="00473D98">
        <w:rPr>
          <w:rFonts w:ascii="Times New Roman" w:hAnsi="Times New Roman" w:cs="Times New Roman"/>
          <w:color w:val="002060"/>
          <w:sz w:val="22"/>
          <w:szCs w:val="22"/>
        </w:rPr>
        <w:t>, ganándose así en e</w:t>
      </w:r>
      <w:r w:rsidR="00F508B3" w:rsidRPr="00473D98">
        <w:rPr>
          <w:rFonts w:ascii="Times New Roman" w:hAnsi="Times New Roman" w:cs="Times New Roman"/>
          <w:color w:val="002060"/>
          <w:sz w:val="22"/>
          <w:szCs w:val="22"/>
        </w:rPr>
        <w:t>conomía procesal</w:t>
      </w:r>
      <w:r w:rsidR="005D5F75" w:rsidRPr="00473D98">
        <w:rPr>
          <w:rFonts w:ascii="Times New Roman" w:hAnsi="Times New Roman" w:cs="Times New Roman"/>
          <w:color w:val="002060"/>
          <w:sz w:val="22"/>
          <w:szCs w:val="22"/>
        </w:rPr>
        <w:t>. En cambio,</w:t>
      </w:r>
      <w:r w:rsidR="00F508B3" w:rsidRPr="00473D98">
        <w:rPr>
          <w:rFonts w:ascii="Times New Roman" w:hAnsi="Times New Roman" w:cs="Times New Roman"/>
          <w:color w:val="002060"/>
          <w:sz w:val="22"/>
          <w:szCs w:val="22"/>
        </w:rPr>
        <w:t xml:space="preserve"> presenta como inconveniente que la víctima pierda la posibilidad de conocer y quejarse, en el momento oportuno, de actuaciones y decisiones que la perjudica</w:t>
      </w:r>
      <w:r w:rsidR="00941599" w:rsidRPr="00473D98">
        <w:rPr>
          <w:rFonts w:ascii="Times New Roman" w:hAnsi="Times New Roman" w:cs="Times New Roman"/>
          <w:color w:val="002060"/>
          <w:sz w:val="22"/>
          <w:szCs w:val="22"/>
        </w:rPr>
        <w:t>ban</w:t>
      </w:r>
      <w:r w:rsidR="00F508B3" w:rsidRPr="00473D98">
        <w:rPr>
          <w:rFonts w:ascii="Times New Roman" w:hAnsi="Times New Roman" w:cs="Times New Roman"/>
          <w:color w:val="002060"/>
          <w:sz w:val="22"/>
          <w:szCs w:val="22"/>
        </w:rPr>
        <w:t>.</w:t>
      </w:r>
      <w:r w:rsidR="00941599" w:rsidRPr="00473D98">
        <w:rPr>
          <w:rFonts w:ascii="Times New Roman" w:hAnsi="Times New Roman" w:cs="Times New Roman"/>
          <w:color w:val="002060"/>
          <w:sz w:val="22"/>
          <w:szCs w:val="22"/>
        </w:rPr>
        <w:t xml:space="preserve"> En este último caso, el perjuicio pudiera ser irreparable. Cabe alegar, en consecuencia, que la información a la víctima debe llevarse a cabo paulatinamente, en la medida que se desarrolle el proceso, aunque ello implique un considerable volumen de notificaciones escritas. Por supuesto, una u otra opción</w:t>
      </w:r>
      <w:r w:rsidR="006025C4" w:rsidRPr="00473D98">
        <w:rPr>
          <w:rFonts w:ascii="Times New Roman" w:hAnsi="Times New Roman" w:cs="Times New Roman"/>
          <w:color w:val="002060"/>
          <w:sz w:val="22"/>
          <w:szCs w:val="22"/>
        </w:rPr>
        <w:t xml:space="preserve"> procesal</w:t>
      </w:r>
      <w:r w:rsidR="00941599" w:rsidRPr="00473D98">
        <w:rPr>
          <w:rFonts w:ascii="Times New Roman" w:hAnsi="Times New Roman" w:cs="Times New Roman"/>
          <w:color w:val="002060"/>
          <w:sz w:val="22"/>
          <w:szCs w:val="22"/>
        </w:rPr>
        <w:t xml:space="preserve"> </w:t>
      </w:r>
      <w:r w:rsidR="006025C4" w:rsidRPr="00473D98">
        <w:rPr>
          <w:rFonts w:ascii="Times New Roman" w:hAnsi="Times New Roman" w:cs="Times New Roman"/>
          <w:color w:val="002060"/>
          <w:sz w:val="22"/>
          <w:szCs w:val="22"/>
        </w:rPr>
        <w:t xml:space="preserve">presuponen </w:t>
      </w:r>
      <w:r w:rsidR="00941599" w:rsidRPr="00473D98">
        <w:rPr>
          <w:rFonts w:ascii="Times New Roman" w:hAnsi="Times New Roman" w:cs="Times New Roman"/>
          <w:color w:val="002060"/>
          <w:sz w:val="22"/>
          <w:szCs w:val="22"/>
        </w:rPr>
        <w:t>que la víctima/perjudicado NO RENUNCIE al derecho establecido en el inciso k) del artículo 141 de la Ley adjetiva.</w:t>
      </w:r>
    </w:p>
  </w:footnote>
  <w:footnote w:id="2">
    <w:p w14:paraId="408BD0BC" w14:textId="7E90826E" w:rsidR="0051333B" w:rsidRPr="00473D98" w:rsidRDefault="0051333B"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iCs/>
          <w:color w:val="002060"/>
          <w:sz w:val="22"/>
          <w:szCs w:val="22"/>
        </w:rPr>
        <w:t>recibir asistencia jurídica para ejercer sus derechos en todos los procesos en que interviene</w:t>
      </w:r>
      <w:r w:rsidR="00E1763A" w:rsidRPr="00473D98">
        <w:rPr>
          <w:rFonts w:ascii="Times New Roman" w:hAnsi="Times New Roman" w:cs="Times New Roman"/>
          <w:i/>
          <w:iCs/>
          <w:color w:val="002060"/>
          <w:sz w:val="22"/>
          <w:szCs w:val="22"/>
        </w:rPr>
        <w:t>…</w:t>
      </w:r>
      <w:r w:rsidRPr="00473D98">
        <w:rPr>
          <w:rFonts w:ascii="Times New Roman" w:hAnsi="Times New Roman" w:cs="Times New Roman"/>
          <w:color w:val="002060"/>
          <w:sz w:val="22"/>
          <w:szCs w:val="22"/>
        </w:rPr>
        <w:t>”</w:t>
      </w:r>
    </w:p>
  </w:footnote>
  <w:footnote w:id="3">
    <w:p w14:paraId="51E4456B" w14:textId="77777777" w:rsidR="00F46E03" w:rsidRPr="00473D98" w:rsidRDefault="00F46E03"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color w:val="002060"/>
          <w:sz w:val="22"/>
          <w:szCs w:val="22"/>
        </w:rPr>
        <w:t>ser tratado con respecto a su dignidad e integridad FÍSICA, psíquica y moral</w:t>
      </w:r>
      <w:r w:rsidRPr="00473D98">
        <w:rPr>
          <w:rFonts w:ascii="Times New Roman" w:hAnsi="Times New Roman" w:cs="Times New Roman"/>
          <w:color w:val="002060"/>
          <w:sz w:val="22"/>
          <w:szCs w:val="22"/>
        </w:rPr>
        <w:t>…”</w:t>
      </w:r>
    </w:p>
  </w:footnote>
  <w:footnote w:id="4">
    <w:p w14:paraId="3D48088A" w14:textId="3A30A91B" w:rsidR="00F46E03" w:rsidRPr="00473D98" w:rsidRDefault="00F46E03"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La Ley 143 del Proceso Penal no dice expresamente que para explorar al menor </w:t>
      </w:r>
      <w:r w:rsidR="00257B8C" w:rsidRPr="00473D98">
        <w:rPr>
          <w:rFonts w:ascii="Times New Roman" w:hAnsi="Times New Roman" w:cs="Times New Roman"/>
          <w:color w:val="002060"/>
          <w:sz w:val="22"/>
          <w:szCs w:val="22"/>
        </w:rPr>
        <w:t>-</w:t>
      </w:r>
      <w:r w:rsidR="00BB636E" w:rsidRPr="00473D98">
        <w:rPr>
          <w:rFonts w:ascii="Times New Roman" w:hAnsi="Times New Roman" w:cs="Times New Roman"/>
          <w:color w:val="002060"/>
          <w:sz w:val="22"/>
          <w:szCs w:val="22"/>
        </w:rPr>
        <w:t>o tomarle declaración</w:t>
      </w:r>
      <w:r w:rsidR="00257B8C" w:rsidRPr="00473D98">
        <w:rPr>
          <w:rFonts w:ascii="Times New Roman" w:hAnsi="Times New Roman" w:cs="Times New Roman"/>
          <w:color w:val="002060"/>
          <w:sz w:val="22"/>
          <w:szCs w:val="22"/>
        </w:rPr>
        <w:t>, según sea su edad-</w:t>
      </w:r>
      <w:r w:rsidR="00BB636E" w:rsidRPr="00473D98">
        <w:rPr>
          <w:rFonts w:ascii="Times New Roman" w:hAnsi="Times New Roman" w:cs="Times New Roman"/>
          <w:color w:val="002060"/>
          <w:sz w:val="22"/>
          <w:szCs w:val="22"/>
        </w:rPr>
        <w:t xml:space="preserve"> </w:t>
      </w:r>
      <w:r w:rsidRPr="00473D98">
        <w:rPr>
          <w:rFonts w:ascii="Times New Roman" w:hAnsi="Times New Roman" w:cs="Times New Roman"/>
          <w:color w:val="002060"/>
          <w:sz w:val="22"/>
          <w:szCs w:val="22"/>
        </w:rPr>
        <w:t>haya que solicitar el consentimiento de su representante legal. Sin embargo, la necesidad de ese consentimiento se infiere de los derechos que le asisten a la víctima</w:t>
      </w:r>
      <w:r w:rsidR="00B21788" w:rsidRPr="00473D98">
        <w:rPr>
          <w:rFonts w:ascii="Times New Roman" w:hAnsi="Times New Roman" w:cs="Times New Roman"/>
          <w:color w:val="002060"/>
          <w:sz w:val="22"/>
          <w:szCs w:val="22"/>
        </w:rPr>
        <w:t>, los cuales</w:t>
      </w:r>
      <w:r w:rsidRPr="00473D98">
        <w:rPr>
          <w:rFonts w:ascii="Times New Roman" w:hAnsi="Times New Roman" w:cs="Times New Roman"/>
          <w:color w:val="002060"/>
          <w:sz w:val="22"/>
          <w:szCs w:val="22"/>
        </w:rPr>
        <w:t xml:space="preserve"> aparecen regulados en el </w:t>
      </w:r>
      <w:r w:rsidR="00810EBE" w:rsidRPr="00473D98">
        <w:rPr>
          <w:rFonts w:ascii="Times New Roman" w:hAnsi="Times New Roman" w:cs="Times New Roman"/>
          <w:color w:val="002060"/>
          <w:sz w:val="22"/>
          <w:szCs w:val="22"/>
        </w:rPr>
        <w:t xml:space="preserve">artículo 141 </w:t>
      </w:r>
      <w:r w:rsidRPr="00473D98">
        <w:rPr>
          <w:rFonts w:ascii="Times New Roman" w:hAnsi="Times New Roman" w:cs="Times New Roman"/>
          <w:color w:val="002060"/>
          <w:sz w:val="22"/>
          <w:szCs w:val="22"/>
        </w:rPr>
        <w:t>inciso a) (</w:t>
      </w:r>
      <w:r w:rsidRPr="00473D98">
        <w:rPr>
          <w:rFonts w:ascii="Times New Roman" w:hAnsi="Times New Roman" w:cs="Times New Roman"/>
          <w:i/>
          <w:color w:val="002060"/>
          <w:sz w:val="22"/>
          <w:szCs w:val="22"/>
        </w:rPr>
        <w:t>protección a la intimidad del menor</w:t>
      </w:r>
      <w:r w:rsidRPr="00473D98">
        <w:rPr>
          <w:rFonts w:ascii="Times New Roman" w:hAnsi="Times New Roman" w:cs="Times New Roman"/>
          <w:color w:val="002060"/>
          <w:sz w:val="22"/>
          <w:szCs w:val="22"/>
        </w:rPr>
        <w:t>) y b) (</w:t>
      </w:r>
      <w:r w:rsidRPr="00473D98">
        <w:rPr>
          <w:rFonts w:ascii="Times New Roman" w:hAnsi="Times New Roman" w:cs="Times New Roman"/>
          <w:i/>
          <w:color w:val="002060"/>
          <w:sz w:val="22"/>
          <w:szCs w:val="22"/>
        </w:rPr>
        <w:t>información sobre cuanto resulte pertinente para la protección de sus derechos</w:t>
      </w:r>
      <w:r w:rsidRPr="00473D98">
        <w:rPr>
          <w:rFonts w:ascii="Times New Roman" w:hAnsi="Times New Roman" w:cs="Times New Roman"/>
          <w:color w:val="002060"/>
          <w:sz w:val="22"/>
          <w:szCs w:val="22"/>
        </w:rPr>
        <w:t xml:space="preserve">), así como en el </w:t>
      </w:r>
      <w:r w:rsidR="00002574" w:rsidRPr="00473D98">
        <w:rPr>
          <w:rFonts w:ascii="Times New Roman" w:hAnsi="Times New Roman" w:cs="Times New Roman"/>
          <w:color w:val="002060"/>
          <w:sz w:val="22"/>
          <w:szCs w:val="22"/>
        </w:rPr>
        <w:t xml:space="preserve">artículo 271 </w:t>
      </w:r>
      <w:r w:rsidRPr="00473D98">
        <w:rPr>
          <w:rFonts w:ascii="Times New Roman" w:hAnsi="Times New Roman" w:cs="Times New Roman"/>
          <w:color w:val="002060"/>
          <w:sz w:val="22"/>
          <w:szCs w:val="22"/>
        </w:rPr>
        <w:t>inciso 2 (</w:t>
      </w:r>
      <w:r w:rsidRPr="00473D98">
        <w:rPr>
          <w:rFonts w:ascii="Times New Roman" w:hAnsi="Times New Roman" w:cs="Times New Roman"/>
          <w:i/>
          <w:color w:val="002060"/>
          <w:sz w:val="22"/>
          <w:szCs w:val="22"/>
        </w:rPr>
        <w:t>evitación de revictimización del menor</w:t>
      </w:r>
      <w:r w:rsidRPr="00473D98">
        <w:rPr>
          <w:rFonts w:ascii="Times New Roman" w:hAnsi="Times New Roman" w:cs="Times New Roman"/>
          <w:color w:val="002060"/>
          <w:sz w:val="22"/>
          <w:szCs w:val="22"/>
        </w:rPr>
        <w:t xml:space="preserve">) de la citada ley. En otras palabras, el representante legal del menor puede oponerse a la exploración de este alegando que existe riesgo de revictimizarlo o de que se viole su intimidad. En tal caso, la negativa del representante legal constituye el ejercicio de un derecho que presupone y exige, implícitamente, la obligación de la autoridad actuante de solicitarle el consentimiento. En este sentido, no debe soslayarse que la intimidad moral y psicológica del menor es acreedora de tanta protección jurídica como su intimidad físico-sexual. Si para el acceso a esta última se exige consentimiento (artículo 298 de la Ley del Proceso Penal), no hay razones para no solicitarlo cuando se trata de acceder a su intimidad psicológica. El basamento constitucional </w:t>
      </w:r>
      <w:r w:rsidR="00BB636E" w:rsidRPr="00473D98">
        <w:rPr>
          <w:rFonts w:ascii="Times New Roman" w:hAnsi="Times New Roman" w:cs="Times New Roman"/>
          <w:color w:val="002060"/>
          <w:sz w:val="22"/>
          <w:szCs w:val="22"/>
        </w:rPr>
        <w:t xml:space="preserve">de </w:t>
      </w:r>
      <w:r w:rsidRPr="00473D98">
        <w:rPr>
          <w:rFonts w:ascii="Times New Roman" w:hAnsi="Times New Roman" w:cs="Times New Roman"/>
          <w:color w:val="002060"/>
          <w:sz w:val="22"/>
          <w:szCs w:val="22"/>
        </w:rPr>
        <w:t>tal exigencia es innegable: “</w:t>
      </w:r>
      <w:r w:rsidRPr="00473D98">
        <w:rPr>
          <w:rFonts w:ascii="Times New Roman" w:hAnsi="Times New Roman" w:cs="Times New Roman"/>
          <w:i/>
          <w:color w:val="002060"/>
          <w:sz w:val="22"/>
          <w:szCs w:val="22"/>
        </w:rPr>
        <w:t>ser tratada con respeto a su dignidad e integridad física, PSÍQUICA y MORAL, …</w:t>
      </w:r>
      <w:r w:rsidRPr="00473D98">
        <w:rPr>
          <w:rFonts w:ascii="Times New Roman" w:hAnsi="Times New Roman" w:cs="Times New Roman"/>
          <w:color w:val="002060"/>
          <w:sz w:val="22"/>
          <w:szCs w:val="22"/>
        </w:rPr>
        <w:t>”, artículo 95 d) de la Constitución vigente.</w:t>
      </w:r>
    </w:p>
    <w:p w14:paraId="77D43AE9" w14:textId="3A9776E1" w:rsidR="00642DE3" w:rsidRPr="00473D98" w:rsidRDefault="00642DE3"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 xml:space="preserve">En los casos que surjan conflictos entre la decisión de los padres o representantes legales y </w:t>
      </w:r>
      <w:r w:rsidR="003D5204" w:rsidRPr="00473D98">
        <w:rPr>
          <w:rFonts w:ascii="Times New Roman" w:hAnsi="Times New Roman" w:cs="Times New Roman"/>
          <w:color w:val="002060"/>
          <w:sz w:val="22"/>
          <w:szCs w:val="22"/>
        </w:rPr>
        <w:t>la d</w:t>
      </w:r>
      <w:r w:rsidRPr="00473D98">
        <w:rPr>
          <w:rFonts w:ascii="Times New Roman" w:hAnsi="Times New Roman" w:cs="Times New Roman"/>
          <w:color w:val="002060"/>
          <w:sz w:val="22"/>
          <w:szCs w:val="22"/>
        </w:rPr>
        <w:t xml:space="preserve">el propio menor de edad, en lo que al consentimiento se refiere, </w:t>
      </w:r>
      <w:r w:rsidR="00313ACC" w:rsidRPr="00473D98">
        <w:rPr>
          <w:rFonts w:ascii="Times New Roman" w:hAnsi="Times New Roman" w:cs="Times New Roman"/>
          <w:color w:val="002060"/>
          <w:sz w:val="22"/>
          <w:szCs w:val="22"/>
        </w:rPr>
        <w:t xml:space="preserve">la autoridad actuante </w:t>
      </w:r>
      <w:r w:rsidR="00DF6FA9" w:rsidRPr="00473D98">
        <w:rPr>
          <w:rFonts w:ascii="Times New Roman" w:hAnsi="Times New Roman" w:cs="Times New Roman"/>
          <w:color w:val="002060"/>
          <w:sz w:val="22"/>
          <w:szCs w:val="22"/>
        </w:rPr>
        <w:t xml:space="preserve">requerirá la intervención del Fiscal -artículo 271.1 de la Ley adjetiva- </w:t>
      </w:r>
      <w:r w:rsidR="008856E3" w:rsidRPr="00473D98">
        <w:rPr>
          <w:rFonts w:ascii="Times New Roman" w:hAnsi="Times New Roman" w:cs="Times New Roman"/>
          <w:color w:val="002060"/>
          <w:sz w:val="22"/>
          <w:szCs w:val="22"/>
        </w:rPr>
        <w:t xml:space="preserve">quien </w:t>
      </w:r>
      <w:r w:rsidR="00313ACC" w:rsidRPr="00473D98">
        <w:rPr>
          <w:rFonts w:ascii="Times New Roman" w:hAnsi="Times New Roman" w:cs="Times New Roman"/>
          <w:color w:val="002060"/>
          <w:sz w:val="22"/>
          <w:szCs w:val="22"/>
        </w:rPr>
        <w:t>se a</w:t>
      </w:r>
      <w:r w:rsidRPr="00473D98">
        <w:rPr>
          <w:rFonts w:ascii="Times New Roman" w:hAnsi="Times New Roman" w:cs="Times New Roman"/>
          <w:color w:val="002060"/>
          <w:sz w:val="22"/>
          <w:szCs w:val="22"/>
        </w:rPr>
        <w:t xml:space="preserve">tendrá </w:t>
      </w:r>
      <w:r w:rsidR="00313ACC" w:rsidRPr="00473D98">
        <w:rPr>
          <w:rFonts w:ascii="Times New Roman" w:hAnsi="Times New Roman" w:cs="Times New Roman"/>
          <w:color w:val="002060"/>
          <w:sz w:val="22"/>
          <w:szCs w:val="22"/>
        </w:rPr>
        <w:t>a lo que decida el menor</w:t>
      </w:r>
      <w:r w:rsidR="003D5204" w:rsidRPr="00473D98">
        <w:rPr>
          <w:rFonts w:ascii="Times New Roman" w:hAnsi="Times New Roman" w:cs="Times New Roman"/>
          <w:color w:val="002060"/>
          <w:sz w:val="22"/>
          <w:szCs w:val="22"/>
        </w:rPr>
        <w:t>, en virtud del principio del interés preponderante del menor</w:t>
      </w:r>
      <w:r w:rsidRPr="00473D98">
        <w:rPr>
          <w:rFonts w:ascii="Times New Roman" w:hAnsi="Times New Roman" w:cs="Times New Roman"/>
          <w:color w:val="002060"/>
          <w:sz w:val="22"/>
          <w:szCs w:val="22"/>
        </w:rPr>
        <w:t>.</w:t>
      </w:r>
    </w:p>
    <w:p w14:paraId="5FB87831" w14:textId="63DEB217" w:rsidR="006F15C4" w:rsidRPr="00473D98" w:rsidRDefault="006F15C4" w:rsidP="00473D98">
      <w:pPr>
        <w:pStyle w:val="Textonotapie"/>
        <w:spacing w:line="240" w:lineRule="atLeast"/>
        <w:contextualSpacing/>
        <w:jc w:val="both"/>
        <w:rPr>
          <w:rFonts w:ascii="Times New Roman" w:hAnsi="Times New Roman" w:cs="Times New Roman"/>
          <w:b/>
          <w:bCs/>
          <w:color w:val="002060"/>
          <w:sz w:val="22"/>
          <w:szCs w:val="22"/>
        </w:rPr>
      </w:pPr>
      <w:r w:rsidRPr="00473D98">
        <w:rPr>
          <w:rFonts w:ascii="Times New Roman" w:hAnsi="Times New Roman" w:cs="Times New Roman"/>
          <w:b/>
          <w:bCs/>
          <w:color w:val="002060"/>
          <w:sz w:val="22"/>
          <w:szCs w:val="22"/>
        </w:rPr>
        <w:t xml:space="preserve">Cuando la víctima es mayor de 18 años, pero padece de una </w:t>
      </w:r>
      <w:r w:rsidRPr="00473D98">
        <w:rPr>
          <w:rFonts w:ascii="Times New Roman" w:hAnsi="Times New Roman" w:cs="Times New Roman"/>
          <w:b/>
          <w:bCs/>
          <w:i/>
          <w:iCs/>
          <w:color w:val="002060"/>
          <w:sz w:val="22"/>
          <w:szCs w:val="22"/>
        </w:rPr>
        <w:t>discapacidad intelectual moderada</w:t>
      </w:r>
      <w:r w:rsidRPr="00473D98">
        <w:rPr>
          <w:rFonts w:ascii="Times New Roman" w:hAnsi="Times New Roman" w:cs="Times New Roman"/>
          <w:b/>
          <w:bCs/>
          <w:color w:val="002060"/>
          <w:sz w:val="22"/>
          <w:szCs w:val="22"/>
        </w:rPr>
        <w:t xml:space="preserve"> -artículo 273.1 de la Ley 143- se dispone la aplicación de lo establecido en los artículos 271 y 272, pero no </w:t>
      </w:r>
      <w:r w:rsidR="00A04709" w:rsidRPr="00473D98">
        <w:rPr>
          <w:rFonts w:ascii="Times New Roman" w:hAnsi="Times New Roman" w:cs="Times New Roman"/>
          <w:b/>
          <w:bCs/>
          <w:color w:val="002060"/>
          <w:sz w:val="22"/>
          <w:szCs w:val="22"/>
        </w:rPr>
        <w:t xml:space="preserve">se </w:t>
      </w:r>
      <w:r w:rsidRPr="00473D98">
        <w:rPr>
          <w:rFonts w:ascii="Times New Roman" w:hAnsi="Times New Roman" w:cs="Times New Roman"/>
          <w:b/>
          <w:bCs/>
          <w:color w:val="002060"/>
          <w:sz w:val="22"/>
          <w:szCs w:val="22"/>
        </w:rPr>
        <w:t>especifica</w:t>
      </w:r>
      <w:r w:rsidR="00A04709" w:rsidRPr="00473D98">
        <w:rPr>
          <w:rFonts w:ascii="Times New Roman" w:hAnsi="Times New Roman" w:cs="Times New Roman"/>
          <w:b/>
          <w:bCs/>
          <w:color w:val="002060"/>
          <w:sz w:val="22"/>
          <w:szCs w:val="22"/>
        </w:rPr>
        <w:t xml:space="preserve"> en qué casos el discapacitado debe ser explorado (artículo 271) y en qué casos debe tomársele declaración (artículo 272).</w:t>
      </w:r>
      <w:r w:rsidR="00275783" w:rsidRPr="00473D98">
        <w:rPr>
          <w:rFonts w:ascii="Times New Roman" w:hAnsi="Times New Roman" w:cs="Times New Roman"/>
          <w:b/>
          <w:bCs/>
          <w:color w:val="002060"/>
          <w:sz w:val="22"/>
          <w:szCs w:val="22"/>
        </w:rPr>
        <w:t xml:space="preserve"> </w:t>
      </w:r>
      <w:r w:rsidR="00177BBC" w:rsidRPr="00473D98">
        <w:rPr>
          <w:rFonts w:ascii="Times New Roman" w:hAnsi="Times New Roman" w:cs="Times New Roman"/>
          <w:b/>
          <w:bCs/>
          <w:color w:val="002060"/>
          <w:sz w:val="22"/>
          <w:szCs w:val="22"/>
        </w:rPr>
        <w:t xml:space="preserve">Ha de </w:t>
      </w:r>
      <w:r w:rsidR="00275783" w:rsidRPr="00473D98">
        <w:rPr>
          <w:rFonts w:ascii="Times New Roman" w:hAnsi="Times New Roman" w:cs="Times New Roman"/>
          <w:b/>
          <w:bCs/>
          <w:color w:val="002060"/>
          <w:sz w:val="22"/>
          <w:szCs w:val="22"/>
        </w:rPr>
        <w:t>subrayarse que el modo en que intervienen el imputado y su abogado en esa entrevista difieren en uno u otro supuesto.</w:t>
      </w:r>
    </w:p>
  </w:footnote>
  <w:footnote w:id="5">
    <w:p w14:paraId="58F8003A" w14:textId="293B0A32" w:rsidR="009D0D22" w:rsidRPr="00473D98" w:rsidRDefault="009D0D22" w:rsidP="00473D98">
      <w:pPr>
        <w:autoSpaceDE w:val="0"/>
        <w:autoSpaceDN w:val="0"/>
        <w:adjustRightInd w:val="0"/>
        <w:spacing w:after="0" w:line="240" w:lineRule="auto"/>
        <w:jc w:val="both"/>
        <w:rPr>
          <w:rFonts w:ascii="Times New Roman" w:hAnsi="Times New Roman" w:cs="Times New Roman"/>
          <w:color w:val="002060"/>
        </w:rPr>
      </w:pPr>
      <w:r w:rsidRPr="00473D98">
        <w:rPr>
          <w:rStyle w:val="Refdenotaalpie"/>
          <w:rFonts w:ascii="Times New Roman" w:hAnsi="Times New Roman" w:cs="Times New Roman"/>
          <w:color w:val="002060"/>
        </w:rPr>
        <w:footnoteRef/>
      </w:r>
      <w:r w:rsidR="00940A25" w:rsidRPr="00473D98">
        <w:rPr>
          <w:rFonts w:ascii="Times New Roman" w:hAnsi="Times New Roman" w:cs="Times New Roman"/>
          <w:color w:val="002060"/>
        </w:rPr>
        <w:t xml:space="preserve"> </w:t>
      </w:r>
      <w:r w:rsidRPr="00473D98">
        <w:rPr>
          <w:rFonts w:ascii="Times New Roman" w:hAnsi="Times New Roman" w:cs="Times New Roman"/>
          <w:color w:val="002060"/>
        </w:rPr>
        <w:t xml:space="preserve">Especial análisis requieren los casos en que se excluye del status de perjudicado </w:t>
      </w:r>
      <w:r w:rsidR="00543E36" w:rsidRPr="00473D98">
        <w:rPr>
          <w:rFonts w:ascii="Times New Roman" w:hAnsi="Times New Roman" w:cs="Times New Roman"/>
          <w:color w:val="002060"/>
        </w:rPr>
        <w:t xml:space="preserve">a </w:t>
      </w:r>
      <w:r w:rsidRPr="00473D98">
        <w:rPr>
          <w:rFonts w:ascii="Times New Roman" w:hAnsi="Times New Roman" w:cs="Times New Roman"/>
          <w:color w:val="002060"/>
        </w:rPr>
        <w:t>aquell</w:t>
      </w:r>
      <w:r w:rsidR="00543E36" w:rsidRPr="00473D98">
        <w:rPr>
          <w:rFonts w:ascii="Times New Roman" w:hAnsi="Times New Roman" w:cs="Times New Roman"/>
          <w:color w:val="002060"/>
        </w:rPr>
        <w:t>o</w:t>
      </w:r>
      <w:r w:rsidRPr="00473D98">
        <w:rPr>
          <w:rFonts w:ascii="Times New Roman" w:hAnsi="Times New Roman" w:cs="Times New Roman"/>
          <w:color w:val="002060"/>
        </w:rPr>
        <w:t xml:space="preserve">s </w:t>
      </w:r>
      <w:r w:rsidR="00543E36" w:rsidRPr="00473D98">
        <w:rPr>
          <w:rFonts w:ascii="Times New Roman" w:hAnsi="Times New Roman" w:cs="Times New Roman"/>
          <w:color w:val="002060"/>
        </w:rPr>
        <w:t>sujetos</w:t>
      </w:r>
      <w:r w:rsidRPr="00473D98">
        <w:rPr>
          <w:rFonts w:ascii="Times New Roman" w:hAnsi="Times New Roman" w:cs="Times New Roman"/>
          <w:color w:val="002060"/>
        </w:rPr>
        <w:t xml:space="preserve"> contempladas en el artículo 140 b) de la Ley adjetiva</w:t>
      </w:r>
      <w:r w:rsidR="00543E36" w:rsidRPr="00473D98">
        <w:rPr>
          <w:rFonts w:ascii="Times New Roman" w:hAnsi="Times New Roman" w:cs="Times New Roman"/>
          <w:color w:val="002060"/>
        </w:rPr>
        <w:t>,</w:t>
      </w:r>
      <w:r w:rsidRPr="00473D98">
        <w:rPr>
          <w:rFonts w:ascii="Times New Roman" w:hAnsi="Times New Roman" w:cs="Times New Roman"/>
          <w:color w:val="002060"/>
        </w:rPr>
        <w:t xml:space="preserve"> por considerar que la </w:t>
      </w:r>
      <w:r w:rsidR="00543E36" w:rsidRPr="00473D98">
        <w:rPr>
          <w:rFonts w:ascii="Times New Roman" w:hAnsi="Times New Roman" w:cs="Times New Roman"/>
          <w:color w:val="002060"/>
        </w:rPr>
        <w:t>persona afectada (</w:t>
      </w:r>
      <w:r w:rsidRPr="00473D98">
        <w:rPr>
          <w:rFonts w:ascii="Times New Roman" w:hAnsi="Times New Roman" w:cs="Times New Roman"/>
          <w:color w:val="002060"/>
        </w:rPr>
        <w:t>víctima</w:t>
      </w:r>
      <w:r w:rsidR="00543E36" w:rsidRPr="00473D98">
        <w:rPr>
          <w:rFonts w:ascii="Times New Roman" w:hAnsi="Times New Roman" w:cs="Times New Roman"/>
          <w:color w:val="002060"/>
        </w:rPr>
        <w:t>)</w:t>
      </w:r>
      <w:r w:rsidRPr="00473D98">
        <w:rPr>
          <w:rFonts w:ascii="Times New Roman" w:hAnsi="Times New Roman" w:cs="Times New Roman"/>
          <w:color w:val="002060"/>
        </w:rPr>
        <w:t xml:space="preserve"> no es “</w:t>
      </w:r>
      <w:r w:rsidRPr="00473D98">
        <w:rPr>
          <w:rFonts w:ascii="Times New Roman" w:hAnsi="Times New Roman" w:cs="Times New Roman"/>
          <w:i/>
          <w:iCs/>
          <w:color w:val="002060"/>
        </w:rPr>
        <w:t>menor de edad</w:t>
      </w:r>
      <w:r w:rsidRPr="00473D98">
        <w:rPr>
          <w:rFonts w:ascii="Times New Roman" w:hAnsi="Times New Roman" w:cs="Times New Roman"/>
          <w:color w:val="002060"/>
        </w:rPr>
        <w:t xml:space="preserve">”. </w:t>
      </w:r>
      <w:r w:rsidR="00543E36" w:rsidRPr="00473D98">
        <w:rPr>
          <w:rFonts w:ascii="Times New Roman" w:hAnsi="Times New Roman" w:cs="Times New Roman"/>
          <w:color w:val="002060"/>
        </w:rPr>
        <w:t xml:space="preserve">Sucede cuando se </w:t>
      </w:r>
      <w:r w:rsidR="00FE2913" w:rsidRPr="00473D98">
        <w:rPr>
          <w:rFonts w:ascii="Times New Roman" w:hAnsi="Times New Roman" w:cs="Times New Roman"/>
          <w:color w:val="002060"/>
        </w:rPr>
        <w:t xml:space="preserve">interpreta </w:t>
      </w:r>
      <w:r w:rsidR="00543E36" w:rsidRPr="00473D98">
        <w:rPr>
          <w:rFonts w:ascii="Times New Roman" w:hAnsi="Times New Roman" w:cs="Times New Roman"/>
          <w:color w:val="002060"/>
        </w:rPr>
        <w:t xml:space="preserve">que la edad que ha de tener </w:t>
      </w:r>
      <w:r w:rsidR="00EA669D" w:rsidRPr="00473D98">
        <w:rPr>
          <w:rFonts w:ascii="Times New Roman" w:hAnsi="Times New Roman" w:cs="Times New Roman"/>
          <w:color w:val="002060"/>
        </w:rPr>
        <w:t xml:space="preserve">la persona </w:t>
      </w:r>
      <w:r w:rsidR="00543E36" w:rsidRPr="00473D98">
        <w:rPr>
          <w:rFonts w:ascii="Times New Roman" w:hAnsi="Times New Roman" w:cs="Times New Roman"/>
          <w:color w:val="002060"/>
        </w:rPr>
        <w:t>victimizad</w:t>
      </w:r>
      <w:r w:rsidR="00EA669D" w:rsidRPr="00473D98">
        <w:rPr>
          <w:rFonts w:ascii="Times New Roman" w:hAnsi="Times New Roman" w:cs="Times New Roman"/>
          <w:color w:val="002060"/>
        </w:rPr>
        <w:t>a</w:t>
      </w:r>
      <w:r w:rsidR="00543E36" w:rsidRPr="00473D98">
        <w:rPr>
          <w:rFonts w:ascii="Times New Roman" w:hAnsi="Times New Roman" w:cs="Times New Roman"/>
          <w:color w:val="002060"/>
        </w:rPr>
        <w:t xml:space="preserve"> es </w:t>
      </w:r>
      <w:r w:rsidR="00EA669D" w:rsidRPr="00473D98">
        <w:rPr>
          <w:rFonts w:ascii="Times New Roman" w:hAnsi="Times New Roman" w:cs="Times New Roman"/>
          <w:color w:val="002060"/>
        </w:rPr>
        <w:t xml:space="preserve">hasta </w:t>
      </w:r>
      <w:r w:rsidR="00543E36" w:rsidRPr="00473D98">
        <w:rPr>
          <w:rFonts w:ascii="Times New Roman" w:hAnsi="Times New Roman" w:cs="Times New Roman"/>
          <w:color w:val="002060"/>
        </w:rPr>
        <w:t>16 años</w:t>
      </w:r>
      <w:r w:rsidR="00105130" w:rsidRPr="00473D98">
        <w:rPr>
          <w:rFonts w:ascii="Times New Roman" w:hAnsi="Times New Roman" w:cs="Times New Roman"/>
          <w:color w:val="002060"/>
        </w:rPr>
        <w:t xml:space="preserve"> (edad penal), en lugar de </w:t>
      </w:r>
      <w:r w:rsidR="00EA669D" w:rsidRPr="00473D98">
        <w:rPr>
          <w:rFonts w:ascii="Times New Roman" w:hAnsi="Times New Roman" w:cs="Times New Roman"/>
          <w:color w:val="002060"/>
        </w:rPr>
        <w:t xml:space="preserve">hasta </w:t>
      </w:r>
      <w:r w:rsidR="00105130" w:rsidRPr="00473D98">
        <w:rPr>
          <w:rFonts w:ascii="Times New Roman" w:hAnsi="Times New Roman" w:cs="Times New Roman"/>
          <w:color w:val="002060"/>
        </w:rPr>
        <w:t>18 años, que es la edad civil</w:t>
      </w:r>
      <w:r w:rsidR="00EB2C03" w:rsidRPr="00473D98">
        <w:rPr>
          <w:rFonts w:ascii="Times New Roman" w:hAnsi="Times New Roman" w:cs="Times New Roman"/>
          <w:color w:val="002060"/>
        </w:rPr>
        <w:t xml:space="preserve"> en Cuba</w:t>
      </w:r>
      <w:r w:rsidR="00105130" w:rsidRPr="00473D98">
        <w:rPr>
          <w:rFonts w:ascii="Times New Roman" w:hAnsi="Times New Roman" w:cs="Times New Roman"/>
          <w:color w:val="002060"/>
        </w:rPr>
        <w:t xml:space="preserve">. </w:t>
      </w:r>
      <w:r w:rsidR="00EA669D" w:rsidRPr="00473D98">
        <w:rPr>
          <w:rFonts w:ascii="Times New Roman" w:hAnsi="Times New Roman" w:cs="Times New Roman"/>
          <w:color w:val="002060"/>
        </w:rPr>
        <w:t xml:space="preserve">En nuestra tradición jurídico-penal, la persona que tiene menos de </w:t>
      </w:r>
      <w:r w:rsidR="00105130" w:rsidRPr="00473D98">
        <w:rPr>
          <w:rFonts w:ascii="Times New Roman" w:hAnsi="Times New Roman" w:cs="Times New Roman"/>
          <w:color w:val="002060"/>
        </w:rPr>
        <w:t xml:space="preserve">16 años </w:t>
      </w:r>
      <w:r w:rsidR="00EA669D" w:rsidRPr="00473D98">
        <w:rPr>
          <w:rFonts w:ascii="Times New Roman" w:hAnsi="Times New Roman" w:cs="Times New Roman"/>
          <w:color w:val="002060"/>
        </w:rPr>
        <w:t xml:space="preserve">es considerada, sin lugar a dudas, menor de edad. Sin embargo, la Ley </w:t>
      </w:r>
      <w:r w:rsidR="00647B1F" w:rsidRPr="00473D98">
        <w:rPr>
          <w:rFonts w:ascii="Times New Roman" w:hAnsi="Times New Roman" w:cs="Times New Roman"/>
          <w:color w:val="002060"/>
        </w:rPr>
        <w:t xml:space="preserve">143 del Proceso Penal </w:t>
      </w:r>
      <w:r w:rsidR="00EA669D" w:rsidRPr="00473D98">
        <w:rPr>
          <w:rFonts w:ascii="Times New Roman" w:hAnsi="Times New Roman" w:cs="Times New Roman"/>
          <w:color w:val="002060"/>
        </w:rPr>
        <w:t xml:space="preserve">extiende la condición de </w:t>
      </w:r>
      <w:r w:rsidR="00647B1F" w:rsidRPr="00473D98">
        <w:rPr>
          <w:rFonts w:ascii="Times New Roman" w:hAnsi="Times New Roman" w:cs="Times New Roman"/>
          <w:i/>
          <w:iCs/>
          <w:color w:val="002060"/>
        </w:rPr>
        <w:t>MENOR DE EDAD</w:t>
      </w:r>
      <w:r w:rsidR="00647B1F" w:rsidRPr="00473D98">
        <w:rPr>
          <w:rFonts w:ascii="Times New Roman" w:hAnsi="Times New Roman" w:cs="Times New Roman"/>
          <w:color w:val="002060"/>
        </w:rPr>
        <w:t xml:space="preserve"> </w:t>
      </w:r>
      <w:r w:rsidR="00EA669D" w:rsidRPr="00473D98">
        <w:rPr>
          <w:rFonts w:ascii="Times New Roman" w:hAnsi="Times New Roman" w:cs="Times New Roman"/>
          <w:color w:val="002060"/>
        </w:rPr>
        <w:t xml:space="preserve">a las </w:t>
      </w:r>
      <w:r w:rsidR="00105130" w:rsidRPr="00473D98">
        <w:rPr>
          <w:rFonts w:ascii="Times New Roman" w:hAnsi="Times New Roman" w:cs="Times New Roman"/>
          <w:color w:val="002060"/>
        </w:rPr>
        <w:t>víctimas y testigos mayores de 16 años y menores de 18</w:t>
      </w:r>
      <w:r w:rsidR="00EA669D" w:rsidRPr="00473D98">
        <w:rPr>
          <w:rFonts w:ascii="Times New Roman" w:hAnsi="Times New Roman" w:cs="Times New Roman"/>
          <w:color w:val="002060"/>
        </w:rPr>
        <w:t>, las cuales -precisamente por esa razón-</w:t>
      </w:r>
      <w:r w:rsidR="00883697" w:rsidRPr="00473D98">
        <w:rPr>
          <w:rFonts w:ascii="Times New Roman" w:hAnsi="Times New Roman" w:cs="Times New Roman"/>
          <w:color w:val="002060"/>
        </w:rPr>
        <w:t xml:space="preserve"> está</w:t>
      </w:r>
      <w:r w:rsidR="00DD03CC" w:rsidRPr="00473D98">
        <w:rPr>
          <w:rFonts w:ascii="Times New Roman" w:hAnsi="Times New Roman" w:cs="Times New Roman"/>
          <w:color w:val="002060"/>
        </w:rPr>
        <w:t>n sujetos a</w:t>
      </w:r>
      <w:r w:rsidR="00883697" w:rsidRPr="00473D98">
        <w:rPr>
          <w:rFonts w:ascii="Times New Roman" w:hAnsi="Times New Roman" w:cs="Times New Roman"/>
          <w:color w:val="002060"/>
        </w:rPr>
        <w:t xml:space="preserve"> un FUERO PROCESAL ESPECIAL</w:t>
      </w:r>
      <w:r w:rsidR="00105130" w:rsidRPr="00473D98">
        <w:rPr>
          <w:rFonts w:ascii="Times New Roman" w:hAnsi="Times New Roman" w:cs="Times New Roman"/>
          <w:color w:val="002060"/>
        </w:rPr>
        <w:t xml:space="preserve">. Véase al respecto lo dispuesto en el artículo 272.1 y 2 de la citada Ley. </w:t>
      </w:r>
      <w:r w:rsidR="00EB2C03" w:rsidRPr="00473D98">
        <w:rPr>
          <w:rFonts w:ascii="Times New Roman" w:hAnsi="Times New Roman" w:cs="Times New Roman"/>
          <w:color w:val="002060"/>
        </w:rPr>
        <w:t xml:space="preserve">Otro precepto en el que la minoría de edad viene fijada por los 18 años, es el artículo 316 en uno de cuyos supuestos se exige que el registro </w:t>
      </w:r>
      <w:r w:rsidR="009768C3" w:rsidRPr="00473D98">
        <w:rPr>
          <w:rFonts w:ascii="Times New Roman" w:hAnsi="Times New Roman" w:cs="Times New Roman"/>
          <w:color w:val="002060"/>
        </w:rPr>
        <w:t xml:space="preserve">domiciliario </w:t>
      </w:r>
      <w:r w:rsidR="00EB2C03" w:rsidRPr="00473D98">
        <w:rPr>
          <w:rFonts w:ascii="Times New Roman" w:hAnsi="Times New Roman" w:cs="Times New Roman"/>
          <w:color w:val="002060"/>
        </w:rPr>
        <w:t xml:space="preserve">se practique en presencia de una persona mayor de 18 años, indicativo de que </w:t>
      </w:r>
      <w:r w:rsidR="009768C3" w:rsidRPr="00473D98">
        <w:rPr>
          <w:rFonts w:ascii="Times New Roman" w:hAnsi="Times New Roman" w:cs="Times New Roman"/>
          <w:color w:val="002060"/>
        </w:rPr>
        <w:t xml:space="preserve">tal diligencia </w:t>
      </w:r>
      <w:r w:rsidR="00EB2C03" w:rsidRPr="00473D98">
        <w:rPr>
          <w:rFonts w:ascii="Times New Roman" w:hAnsi="Times New Roman" w:cs="Times New Roman"/>
          <w:color w:val="002060"/>
        </w:rPr>
        <w:t xml:space="preserve">no puede llevarse a cabo cuando el morador es un menor de edad, salvo que lo autorice el fiscal y en presencia de dos testigos. </w:t>
      </w:r>
      <w:r w:rsidR="00CE32CC" w:rsidRPr="00473D98">
        <w:rPr>
          <w:rFonts w:ascii="Times New Roman" w:hAnsi="Times New Roman" w:cs="Times New Roman"/>
          <w:color w:val="002060"/>
        </w:rPr>
        <w:t>De aquí se sigue que los sujetos comprendidos en el artículo 140 b) de la Ley adjetiva deben ser considerados PERJUDICADOS cuando la persona victimizada es menor de 18 años de edad.</w:t>
      </w:r>
      <w:r w:rsidR="00165582" w:rsidRPr="00473D98">
        <w:rPr>
          <w:rFonts w:ascii="Times New Roman" w:hAnsi="Times New Roman" w:cs="Times New Roman"/>
          <w:color w:val="002060"/>
        </w:rPr>
        <w:t xml:space="preserve"> Con independencia de lo anterior, Cuba es firmante de la CONVENCION DE LOS DERECHOS DEL NIÑO, </w:t>
      </w:r>
      <w:r w:rsidR="00083BD4" w:rsidRPr="00473D98">
        <w:rPr>
          <w:rFonts w:ascii="Times New Roman" w:hAnsi="Times New Roman" w:cs="Times New Roman"/>
          <w:color w:val="002060"/>
        </w:rPr>
        <w:t>la cual, en su artículo 1 establece que “</w:t>
      </w:r>
      <w:r w:rsidR="00083BD4" w:rsidRPr="00473D98">
        <w:rPr>
          <w:rFonts w:ascii="Times New Roman" w:hAnsi="Times New Roman" w:cs="Times New Roman"/>
          <w:i/>
          <w:iCs/>
          <w:color w:val="002060"/>
        </w:rPr>
        <w:t>se entiende por niño todo ser humano menor de dieciocho años de edad, salvo que, en virtud de la ley que le sea aplicable, haya alcanzado antes la mayoría de edad</w:t>
      </w:r>
      <w:r w:rsidR="00083BD4" w:rsidRPr="00473D98">
        <w:rPr>
          <w:rFonts w:ascii="Times New Roman" w:hAnsi="Times New Roman" w:cs="Times New Roman"/>
          <w:color w:val="002060"/>
        </w:rPr>
        <w:t xml:space="preserve">.” </w:t>
      </w:r>
    </w:p>
  </w:footnote>
  <w:footnote w:id="6">
    <w:p w14:paraId="0F7C7AD7" w14:textId="6407851F" w:rsidR="0031608D" w:rsidRPr="00473D98" w:rsidRDefault="0031608D"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002C625B" w:rsidRPr="00473D98">
        <w:rPr>
          <w:rFonts w:ascii="Times New Roman" w:hAnsi="Times New Roman" w:cs="Times New Roman"/>
          <w:color w:val="002060"/>
          <w:sz w:val="22"/>
          <w:szCs w:val="22"/>
        </w:rPr>
        <w:t xml:space="preserve"> </w:t>
      </w:r>
      <w:r w:rsidR="001D68A7" w:rsidRPr="00473D98">
        <w:rPr>
          <w:rFonts w:ascii="Times New Roman" w:hAnsi="Times New Roman" w:cs="Times New Roman"/>
          <w:color w:val="002060"/>
          <w:sz w:val="22"/>
          <w:szCs w:val="22"/>
        </w:rPr>
        <w:t>El artículo 280.1 de la Ley del Proceso Penal refiere lo siguiente: “</w:t>
      </w:r>
      <w:r w:rsidR="001D68A7" w:rsidRPr="00473D98">
        <w:rPr>
          <w:rFonts w:ascii="Times New Roman" w:hAnsi="Times New Roman" w:cs="Times New Roman"/>
          <w:i/>
          <w:color w:val="002060"/>
          <w:sz w:val="22"/>
          <w:szCs w:val="22"/>
        </w:rPr>
        <w:t>Las declaraciones de la víctima y del perjudicado se rigen por las reglas previstas en este capítulo, a quienes se les informa, además, los derechos que se le conceden en esta Ley</w:t>
      </w:r>
      <w:r w:rsidR="001D68A7" w:rsidRPr="00473D98">
        <w:rPr>
          <w:rFonts w:ascii="Times New Roman" w:hAnsi="Times New Roman" w:cs="Times New Roman"/>
          <w:color w:val="002060"/>
          <w:sz w:val="22"/>
          <w:szCs w:val="22"/>
        </w:rPr>
        <w:t>.”</w:t>
      </w:r>
      <w:r w:rsidR="00A56147" w:rsidRPr="00473D98">
        <w:rPr>
          <w:rFonts w:ascii="Times New Roman" w:hAnsi="Times New Roman" w:cs="Times New Roman"/>
          <w:color w:val="002060"/>
          <w:sz w:val="22"/>
          <w:szCs w:val="22"/>
        </w:rPr>
        <w:t xml:space="preserve"> Si se observa, la Ley no exige que la información de los derechos a la víctima se tenga que plasmar en la misma declaración que se le toma a esta, pues, en rigor, </w:t>
      </w:r>
      <w:r w:rsidR="007900EB" w:rsidRPr="00473D98">
        <w:rPr>
          <w:rFonts w:ascii="Times New Roman" w:hAnsi="Times New Roman" w:cs="Times New Roman"/>
          <w:color w:val="002060"/>
          <w:sz w:val="22"/>
          <w:szCs w:val="22"/>
        </w:rPr>
        <w:t xml:space="preserve">se trata </w:t>
      </w:r>
      <w:r w:rsidR="00A56147" w:rsidRPr="00473D98">
        <w:rPr>
          <w:rFonts w:ascii="Times New Roman" w:hAnsi="Times New Roman" w:cs="Times New Roman"/>
          <w:color w:val="002060"/>
          <w:sz w:val="22"/>
          <w:szCs w:val="22"/>
        </w:rPr>
        <w:t xml:space="preserve">de </w:t>
      </w:r>
      <w:r w:rsidR="00940A25" w:rsidRPr="00473D98">
        <w:rPr>
          <w:rFonts w:ascii="Times New Roman" w:hAnsi="Times New Roman" w:cs="Times New Roman"/>
          <w:color w:val="002060"/>
          <w:sz w:val="22"/>
          <w:szCs w:val="22"/>
        </w:rPr>
        <w:t xml:space="preserve">dos </w:t>
      </w:r>
      <w:r w:rsidR="00A56147" w:rsidRPr="00473D98">
        <w:rPr>
          <w:rFonts w:ascii="Times New Roman" w:hAnsi="Times New Roman" w:cs="Times New Roman"/>
          <w:color w:val="002060"/>
          <w:sz w:val="22"/>
          <w:szCs w:val="22"/>
        </w:rPr>
        <w:t xml:space="preserve">actos procesales que persiguen propósitos diferentes. Así, cuando a la víctima se le informa de los derechos previstos en los artículos 141 y 142 de la Ley, se pretende </w:t>
      </w:r>
      <w:r w:rsidR="00C45E15" w:rsidRPr="00473D98">
        <w:rPr>
          <w:rFonts w:ascii="Times New Roman" w:hAnsi="Times New Roman" w:cs="Times New Roman"/>
          <w:color w:val="002060"/>
          <w:sz w:val="22"/>
          <w:szCs w:val="22"/>
        </w:rPr>
        <w:t xml:space="preserve">que tome </w:t>
      </w:r>
      <w:r w:rsidR="00A56147" w:rsidRPr="00473D98">
        <w:rPr>
          <w:rFonts w:ascii="Times New Roman" w:hAnsi="Times New Roman" w:cs="Times New Roman"/>
          <w:color w:val="002060"/>
          <w:sz w:val="22"/>
          <w:szCs w:val="22"/>
        </w:rPr>
        <w:t>concien</w:t>
      </w:r>
      <w:r w:rsidR="00C45E15" w:rsidRPr="00473D98">
        <w:rPr>
          <w:rFonts w:ascii="Times New Roman" w:hAnsi="Times New Roman" w:cs="Times New Roman"/>
          <w:color w:val="002060"/>
          <w:sz w:val="22"/>
          <w:szCs w:val="22"/>
        </w:rPr>
        <w:t xml:space="preserve">cia </w:t>
      </w:r>
      <w:r w:rsidR="00A56147" w:rsidRPr="00473D98">
        <w:rPr>
          <w:rFonts w:ascii="Times New Roman" w:hAnsi="Times New Roman" w:cs="Times New Roman"/>
          <w:color w:val="002060"/>
          <w:sz w:val="22"/>
          <w:szCs w:val="22"/>
        </w:rPr>
        <w:t xml:space="preserve">de que es poseedora de un status jurídico específico, el cual </w:t>
      </w:r>
      <w:r w:rsidR="00D60E89" w:rsidRPr="00473D98">
        <w:rPr>
          <w:rFonts w:ascii="Times New Roman" w:hAnsi="Times New Roman" w:cs="Times New Roman"/>
          <w:color w:val="002060"/>
          <w:sz w:val="22"/>
          <w:szCs w:val="22"/>
        </w:rPr>
        <w:t xml:space="preserve">puede hacer valer o no </w:t>
      </w:r>
      <w:r w:rsidR="00A56147" w:rsidRPr="00473D98">
        <w:rPr>
          <w:rFonts w:ascii="Times New Roman" w:hAnsi="Times New Roman" w:cs="Times New Roman"/>
          <w:color w:val="002060"/>
          <w:sz w:val="22"/>
          <w:szCs w:val="22"/>
        </w:rPr>
        <w:t>a lo largo del proceso; sin embargo, cuando se le</w:t>
      </w:r>
      <w:r w:rsidR="00C45E15" w:rsidRPr="00473D98">
        <w:rPr>
          <w:rFonts w:ascii="Times New Roman" w:hAnsi="Times New Roman" w:cs="Times New Roman"/>
          <w:color w:val="002060"/>
          <w:sz w:val="22"/>
          <w:szCs w:val="22"/>
        </w:rPr>
        <w:t xml:space="preserve"> toma declaración, se busca que, ateniéndose a la obligación de decir verdad, </w:t>
      </w:r>
      <w:r w:rsidR="00A56147" w:rsidRPr="00473D98">
        <w:rPr>
          <w:rFonts w:ascii="Times New Roman" w:hAnsi="Times New Roman" w:cs="Times New Roman"/>
          <w:color w:val="002060"/>
          <w:sz w:val="22"/>
          <w:szCs w:val="22"/>
        </w:rPr>
        <w:t xml:space="preserve">aporte información </w:t>
      </w:r>
      <w:r w:rsidR="007900EB" w:rsidRPr="00473D98">
        <w:rPr>
          <w:rFonts w:ascii="Times New Roman" w:hAnsi="Times New Roman" w:cs="Times New Roman"/>
          <w:color w:val="002060"/>
          <w:sz w:val="22"/>
          <w:szCs w:val="22"/>
        </w:rPr>
        <w:t xml:space="preserve">sobre un hecho </w:t>
      </w:r>
      <w:r w:rsidR="00C45E15" w:rsidRPr="00473D98">
        <w:rPr>
          <w:rFonts w:ascii="Times New Roman" w:hAnsi="Times New Roman" w:cs="Times New Roman"/>
          <w:color w:val="002060"/>
          <w:sz w:val="22"/>
          <w:szCs w:val="22"/>
        </w:rPr>
        <w:t xml:space="preserve">o circunstancia </w:t>
      </w:r>
      <w:r w:rsidR="007900EB" w:rsidRPr="00473D98">
        <w:rPr>
          <w:rFonts w:ascii="Times New Roman" w:hAnsi="Times New Roman" w:cs="Times New Roman"/>
          <w:color w:val="002060"/>
          <w:sz w:val="22"/>
          <w:szCs w:val="22"/>
        </w:rPr>
        <w:t>que la afecta de alguna manera.</w:t>
      </w:r>
      <w:r w:rsidR="00C45E15" w:rsidRPr="00473D98">
        <w:rPr>
          <w:rFonts w:ascii="Times New Roman" w:hAnsi="Times New Roman" w:cs="Times New Roman"/>
          <w:color w:val="002060"/>
          <w:sz w:val="22"/>
          <w:szCs w:val="22"/>
        </w:rPr>
        <w:t xml:space="preserve"> </w:t>
      </w:r>
      <w:r w:rsidR="00634BA0" w:rsidRPr="00473D98">
        <w:rPr>
          <w:rFonts w:ascii="Times New Roman" w:hAnsi="Times New Roman" w:cs="Times New Roman"/>
          <w:color w:val="002060"/>
          <w:sz w:val="22"/>
          <w:szCs w:val="22"/>
        </w:rPr>
        <w:t>Este testimonio tiene valor probatorio y su valoración</w:t>
      </w:r>
      <w:r w:rsidR="00E7338F" w:rsidRPr="00473D98">
        <w:rPr>
          <w:rFonts w:ascii="Times New Roman" w:hAnsi="Times New Roman" w:cs="Times New Roman"/>
          <w:color w:val="002060"/>
          <w:sz w:val="22"/>
          <w:szCs w:val="22"/>
        </w:rPr>
        <w:t>, en principio,</w:t>
      </w:r>
      <w:r w:rsidR="00634BA0" w:rsidRPr="00473D98">
        <w:rPr>
          <w:rFonts w:ascii="Times New Roman" w:hAnsi="Times New Roman" w:cs="Times New Roman"/>
          <w:color w:val="002060"/>
          <w:sz w:val="22"/>
          <w:szCs w:val="22"/>
        </w:rPr>
        <w:t xml:space="preserve"> no depende de que la víctima haya sido informada de sus derechos. La </w:t>
      </w:r>
      <w:r w:rsidR="00C45E15" w:rsidRPr="00473D98">
        <w:rPr>
          <w:rFonts w:ascii="Times New Roman" w:hAnsi="Times New Roman" w:cs="Times New Roman"/>
          <w:color w:val="002060"/>
          <w:sz w:val="22"/>
          <w:szCs w:val="22"/>
        </w:rPr>
        <w:t xml:space="preserve">distinción conceptual </w:t>
      </w:r>
      <w:r w:rsidR="00634BA0" w:rsidRPr="00473D98">
        <w:rPr>
          <w:rFonts w:ascii="Times New Roman" w:hAnsi="Times New Roman" w:cs="Times New Roman"/>
          <w:color w:val="002060"/>
          <w:sz w:val="22"/>
          <w:szCs w:val="22"/>
        </w:rPr>
        <w:t xml:space="preserve">que antecede </w:t>
      </w:r>
      <w:r w:rsidR="00C45E15" w:rsidRPr="00473D98">
        <w:rPr>
          <w:rFonts w:ascii="Times New Roman" w:hAnsi="Times New Roman" w:cs="Times New Roman"/>
          <w:color w:val="002060"/>
          <w:sz w:val="22"/>
          <w:szCs w:val="22"/>
        </w:rPr>
        <w:t xml:space="preserve">debería concretarse en la realización de dos diligencias diferentes, a saber: 1.-acta de información de derechos a la víctima o perjudicado, y 2.-declaración de la víctima o perjudicado. De ese modo, la incorrecta realización de la primera pudiera anularse </w:t>
      </w:r>
      <w:r w:rsidR="0039531F" w:rsidRPr="00473D98">
        <w:rPr>
          <w:rFonts w:ascii="Times New Roman" w:hAnsi="Times New Roman" w:cs="Times New Roman"/>
          <w:color w:val="002060"/>
          <w:sz w:val="22"/>
          <w:szCs w:val="22"/>
        </w:rPr>
        <w:t xml:space="preserve">(de resultar procedente) </w:t>
      </w:r>
      <w:r w:rsidR="00C45E15" w:rsidRPr="00473D98">
        <w:rPr>
          <w:rFonts w:ascii="Times New Roman" w:hAnsi="Times New Roman" w:cs="Times New Roman"/>
          <w:color w:val="002060"/>
          <w:sz w:val="22"/>
          <w:szCs w:val="22"/>
        </w:rPr>
        <w:t>sin que afecte necesariamente a la segunda.</w:t>
      </w:r>
    </w:p>
  </w:footnote>
  <w:footnote w:id="7">
    <w:p w14:paraId="259E470F" w14:textId="77777777" w:rsidR="008D1241" w:rsidRPr="00473D98" w:rsidRDefault="008D1241"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iCs/>
          <w:color w:val="002060"/>
          <w:sz w:val="22"/>
          <w:szCs w:val="22"/>
        </w:rPr>
        <w:t>Toda persona debe ser tratada con respeto a su dignidad e integridad física, psíquica y moral, y NO SER VÍCTIMA DE VIOLENCIA, ENGAÑO O COACCIÓN de clase alguna para forzarla a declarar</w:t>
      </w:r>
      <w:r w:rsidRPr="00473D98">
        <w:rPr>
          <w:rFonts w:ascii="Times New Roman" w:hAnsi="Times New Roman" w:cs="Times New Roman"/>
          <w:color w:val="002060"/>
          <w:sz w:val="22"/>
          <w:szCs w:val="22"/>
        </w:rPr>
        <w:t>…”</w:t>
      </w:r>
    </w:p>
  </w:footnote>
  <w:footnote w:id="8">
    <w:p w14:paraId="423DE734" w14:textId="615924A6" w:rsidR="008D1241" w:rsidRPr="00473D98" w:rsidRDefault="008D1241"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iCs/>
          <w:color w:val="002060"/>
          <w:sz w:val="22"/>
          <w:szCs w:val="22"/>
        </w:rPr>
        <w:t>“No declarar contra sí misma…”</w:t>
      </w:r>
      <w:r w:rsidR="00DB1990" w:rsidRPr="00473D98">
        <w:rPr>
          <w:rFonts w:ascii="Times New Roman" w:hAnsi="Times New Roman" w:cs="Times New Roman"/>
          <w:i/>
          <w:iCs/>
          <w:color w:val="002060"/>
          <w:sz w:val="22"/>
          <w:szCs w:val="22"/>
        </w:rPr>
        <w:t>.</w:t>
      </w:r>
    </w:p>
  </w:footnote>
  <w:footnote w:id="9">
    <w:p w14:paraId="007B1F69" w14:textId="33DFDB08" w:rsidR="008D1241" w:rsidRPr="00473D98" w:rsidRDefault="008D1241"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iCs/>
          <w:color w:val="002060"/>
          <w:sz w:val="22"/>
          <w:szCs w:val="22"/>
        </w:rPr>
        <w:t>Ser informado de la imputación en su contra</w:t>
      </w:r>
      <w:r w:rsidRPr="00473D98">
        <w:rPr>
          <w:rFonts w:ascii="Times New Roman" w:hAnsi="Times New Roman" w:cs="Times New Roman"/>
          <w:color w:val="002060"/>
          <w:sz w:val="22"/>
          <w:szCs w:val="22"/>
        </w:rPr>
        <w:t>”</w:t>
      </w:r>
      <w:r w:rsidR="00DB1990" w:rsidRPr="00473D98">
        <w:rPr>
          <w:rFonts w:ascii="Times New Roman" w:hAnsi="Times New Roman" w:cs="Times New Roman"/>
          <w:color w:val="002060"/>
          <w:sz w:val="22"/>
          <w:szCs w:val="22"/>
        </w:rPr>
        <w:t>.</w:t>
      </w:r>
    </w:p>
  </w:footnote>
  <w:footnote w:id="10">
    <w:p w14:paraId="6140C0B9" w14:textId="5EE9F470" w:rsidR="00125378" w:rsidRPr="00473D98" w:rsidRDefault="00125378"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No </w:t>
      </w:r>
      <w:r w:rsidR="00A549DA" w:rsidRPr="00473D98">
        <w:rPr>
          <w:rFonts w:ascii="Times New Roman" w:hAnsi="Times New Roman" w:cs="Times New Roman"/>
          <w:color w:val="002060"/>
          <w:sz w:val="22"/>
          <w:szCs w:val="22"/>
        </w:rPr>
        <w:t xml:space="preserve">se nos escapa </w:t>
      </w:r>
      <w:r w:rsidRPr="00473D98">
        <w:rPr>
          <w:rFonts w:ascii="Times New Roman" w:hAnsi="Times New Roman" w:cs="Times New Roman"/>
          <w:color w:val="002060"/>
          <w:sz w:val="22"/>
          <w:szCs w:val="22"/>
        </w:rPr>
        <w:t xml:space="preserve">el contrasentido </w:t>
      </w:r>
      <w:r w:rsidR="0090771E">
        <w:rPr>
          <w:rFonts w:ascii="Times New Roman" w:hAnsi="Times New Roman" w:cs="Times New Roman"/>
          <w:color w:val="002060"/>
          <w:sz w:val="22"/>
          <w:szCs w:val="22"/>
        </w:rPr>
        <w:t xml:space="preserve">legal </w:t>
      </w:r>
      <w:r w:rsidR="00741875" w:rsidRPr="00473D98">
        <w:rPr>
          <w:rFonts w:ascii="Times New Roman" w:hAnsi="Times New Roman" w:cs="Times New Roman"/>
          <w:color w:val="002060"/>
          <w:sz w:val="22"/>
          <w:szCs w:val="22"/>
        </w:rPr>
        <w:t xml:space="preserve">implícito </w:t>
      </w:r>
      <w:r w:rsidRPr="00473D98">
        <w:rPr>
          <w:rFonts w:ascii="Times New Roman" w:hAnsi="Times New Roman" w:cs="Times New Roman"/>
          <w:color w:val="002060"/>
          <w:sz w:val="22"/>
          <w:szCs w:val="22"/>
        </w:rPr>
        <w:t>en el hecho de que alguien sea “</w:t>
      </w:r>
      <w:r w:rsidRPr="00473D98">
        <w:rPr>
          <w:rFonts w:ascii="Times New Roman" w:hAnsi="Times New Roman" w:cs="Times New Roman"/>
          <w:i/>
          <w:iCs/>
          <w:color w:val="002060"/>
          <w:sz w:val="22"/>
          <w:szCs w:val="22"/>
        </w:rPr>
        <w:t>imputado</w:t>
      </w:r>
      <w:r w:rsidRPr="00473D98">
        <w:rPr>
          <w:rFonts w:ascii="Times New Roman" w:hAnsi="Times New Roman" w:cs="Times New Roman"/>
          <w:color w:val="002060"/>
          <w:sz w:val="22"/>
          <w:szCs w:val="22"/>
        </w:rPr>
        <w:t xml:space="preserve">” antes de </w:t>
      </w:r>
      <w:r w:rsidR="0090771E">
        <w:rPr>
          <w:rFonts w:ascii="Times New Roman" w:hAnsi="Times New Roman" w:cs="Times New Roman"/>
          <w:color w:val="002060"/>
          <w:sz w:val="22"/>
          <w:szCs w:val="22"/>
        </w:rPr>
        <w:t xml:space="preserve">haber sido </w:t>
      </w:r>
      <w:r w:rsidR="00691EA0" w:rsidRPr="00473D98">
        <w:rPr>
          <w:rFonts w:ascii="Times New Roman" w:hAnsi="Times New Roman" w:cs="Times New Roman"/>
          <w:color w:val="002060"/>
          <w:sz w:val="22"/>
          <w:szCs w:val="22"/>
        </w:rPr>
        <w:t>“</w:t>
      </w:r>
      <w:r w:rsidRPr="00473D98">
        <w:rPr>
          <w:rFonts w:ascii="Times New Roman" w:hAnsi="Times New Roman" w:cs="Times New Roman"/>
          <w:i/>
          <w:iCs/>
          <w:color w:val="002060"/>
          <w:sz w:val="22"/>
          <w:szCs w:val="22"/>
        </w:rPr>
        <w:t>instruido de cargos</w:t>
      </w:r>
      <w:r w:rsidR="00691EA0" w:rsidRPr="00473D98">
        <w:rPr>
          <w:rFonts w:ascii="Times New Roman" w:hAnsi="Times New Roman" w:cs="Times New Roman"/>
          <w:color w:val="002060"/>
          <w:sz w:val="22"/>
          <w:szCs w:val="22"/>
        </w:rPr>
        <w:t>”</w:t>
      </w:r>
      <w:r w:rsidR="006E5148" w:rsidRPr="00473D98">
        <w:rPr>
          <w:rFonts w:ascii="Times New Roman" w:hAnsi="Times New Roman" w:cs="Times New Roman"/>
          <w:color w:val="002060"/>
          <w:sz w:val="22"/>
          <w:szCs w:val="22"/>
        </w:rPr>
        <w:t xml:space="preserve">; sin embargo, utilizamos los términos para subrayar lo que objetivamente se observa en </w:t>
      </w:r>
      <w:r w:rsidR="003D7117">
        <w:rPr>
          <w:rFonts w:ascii="Times New Roman" w:hAnsi="Times New Roman" w:cs="Times New Roman"/>
          <w:color w:val="002060"/>
          <w:sz w:val="22"/>
          <w:szCs w:val="22"/>
        </w:rPr>
        <w:t xml:space="preserve">algunos </w:t>
      </w:r>
      <w:r w:rsidR="006E5148" w:rsidRPr="00473D98">
        <w:rPr>
          <w:rFonts w:ascii="Times New Roman" w:hAnsi="Times New Roman" w:cs="Times New Roman"/>
          <w:color w:val="002060"/>
          <w:sz w:val="22"/>
          <w:szCs w:val="22"/>
        </w:rPr>
        <w:t xml:space="preserve">procesos, es decir, declaraciones </w:t>
      </w:r>
      <w:r w:rsidR="0019539D" w:rsidRPr="00473D98">
        <w:rPr>
          <w:rFonts w:ascii="Times New Roman" w:hAnsi="Times New Roman" w:cs="Times New Roman"/>
          <w:color w:val="002060"/>
          <w:sz w:val="22"/>
          <w:szCs w:val="22"/>
        </w:rPr>
        <w:t xml:space="preserve">tomadas a las personas </w:t>
      </w:r>
      <w:r w:rsidR="006E5148" w:rsidRPr="00473D98">
        <w:rPr>
          <w:rFonts w:ascii="Times New Roman" w:hAnsi="Times New Roman" w:cs="Times New Roman"/>
          <w:color w:val="002060"/>
          <w:sz w:val="22"/>
          <w:szCs w:val="22"/>
        </w:rPr>
        <w:t>a título de imputados antes de que haya</w:t>
      </w:r>
      <w:r w:rsidR="0019539D" w:rsidRPr="00473D98">
        <w:rPr>
          <w:rFonts w:ascii="Times New Roman" w:hAnsi="Times New Roman" w:cs="Times New Roman"/>
          <w:color w:val="002060"/>
          <w:sz w:val="22"/>
          <w:szCs w:val="22"/>
        </w:rPr>
        <w:t>n</w:t>
      </w:r>
      <w:r w:rsidR="006E5148" w:rsidRPr="00473D98">
        <w:rPr>
          <w:rFonts w:ascii="Times New Roman" w:hAnsi="Times New Roman" w:cs="Times New Roman"/>
          <w:color w:val="002060"/>
          <w:sz w:val="22"/>
          <w:szCs w:val="22"/>
        </w:rPr>
        <w:t xml:space="preserve"> sido instruida</w:t>
      </w:r>
      <w:r w:rsidR="003B50C8" w:rsidRPr="00473D98">
        <w:rPr>
          <w:rFonts w:ascii="Times New Roman" w:hAnsi="Times New Roman" w:cs="Times New Roman"/>
          <w:color w:val="002060"/>
          <w:sz w:val="22"/>
          <w:szCs w:val="22"/>
        </w:rPr>
        <w:t>s</w:t>
      </w:r>
      <w:r w:rsidR="006E5148" w:rsidRPr="00473D98">
        <w:rPr>
          <w:rFonts w:ascii="Times New Roman" w:hAnsi="Times New Roman" w:cs="Times New Roman"/>
          <w:color w:val="002060"/>
          <w:sz w:val="22"/>
          <w:szCs w:val="22"/>
        </w:rPr>
        <w:t xml:space="preserve"> de cargos.</w:t>
      </w:r>
    </w:p>
  </w:footnote>
  <w:footnote w:id="11">
    <w:p w14:paraId="35814261" w14:textId="341088DD" w:rsidR="00190A74" w:rsidRPr="00473D98" w:rsidRDefault="00190A74"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No consideramos que esta infracción del derecho del </w:t>
      </w:r>
      <w:r w:rsidR="00600828" w:rsidRPr="00473D98">
        <w:rPr>
          <w:rFonts w:ascii="Times New Roman" w:hAnsi="Times New Roman" w:cs="Times New Roman"/>
          <w:color w:val="002060"/>
          <w:sz w:val="22"/>
          <w:szCs w:val="22"/>
        </w:rPr>
        <w:t>imputado/</w:t>
      </w:r>
      <w:r w:rsidRPr="00473D98">
        <w:rPr>
          <w:rFonts w:ascii="Times New Roman" w:hAnsi="Times New Roman" w:cs="Times New Roman"/>
          <w:color w:val="002060"/>
          <w:sz w:val="22"/>
          <w:szCs w:val="22"/>
        </w:rPr>
        <w:t xml:space="preserve">acusado </w:t>
      </w:r>
      <w:r w:rsidR="00FE5BCF" w:rsidRPr="00473D98">
        <w:rPr>
          <w:rFonts w:ascii="Times New Roman" w:hAnsi="Times New Roman" w:cs="Times New Roman"/>
          <w:color w:val="002060"/>
          <w:sz w:val="22"/>
          <w:szCs w:val="22"/>
        </w:rPr>
        <w:t xml:space="preserve">a saber cuáles son las pruebas en su contra </w:t>
      </w:r>
      <w:r w:rsidRPr="00473D98">
        <w:rPr>
          <w:rFonts w:ascii="Times New Roman" w:hAnsi="Times New Roman" w:cs="Times New Roman"/>
          <w:color w:val="002060"/>
          <w:sz w:val="22"/>
          <w:szCs w:val="22"/>
        </w:rPr>
        <w:t xml:space="preserve">deba declararse nula en ningún sentido. Si se observa, </w:t>
      </w:r>
      <w:r w:rsidR="00D92736" w:rsidRPr="00473D98">
        <w:rPr>
          <w:rFonts w:ascii="Times New Roman" w:hAnsi="Times New Roman" w:cs="Times New Roman"/>
          <w:color w:val="002060"/>
          <w:sz w:val="22"/>
          <w:szCs w:val="22"/>
        </w:rPr>
        <w:t xml:space="preserve">en este caso </w:t>
      </w:r>
      <w:r w:rsidRPr="00473D98">
        <w:rPr>
          <w:rFonts w:ascii="Times New Roman" w:hAnsi="Times New Roman" w:cs="Times New Roman"/>
          <w:color w:val="002060"/>
          <w:sz w:val="22"/>
          <w:szCs w:val="22"/>
        </w:rPr>
        <w:t xml:space="preserve">los elementos de prueba sí se le comunicaron, solo que de forma general. </w:t>
      </w:r>
      <w:r w:rsidR="00FE5BCF" w:rsidRPr="00473D98">
        <w:rPr>
          <w:rFonts w:ascii="Times New Roman" w:hAnsi="Times New Roman" w:cs="Times New Roman"/>
          <w:color w:val="002060"/>
          <w:sz w:val="22"/>
          <w:szCs w:val="22"/>
        </w:rPr>
        <w:t xml:space="preserve">De detectarse </w:t>
      </w:r>
      <w:r w:rsidR="00612803" w:rsidRPr="00473D98">
        <w:rPr>
          <w:rFonts w:ascii="Times New Roman" w:hAnsi="Times New Roman" w:cs="Times New Roman"/>
          <w:color w:val="002060"/>
          <w:sz w:val="22"/>
          <w:szCs w:val="22"/>
        </w:rPr>
        <w:t xml:space="preserve">esta </w:t>
      </w:r>
      <w:r w:rsidR="00FE5BCF" w:rsidRPr="00473D98">
        <w:rPr>
          <w:rFonts w:ascii="Times New Roman" w:hAnsi="Times New Roman" w:cs="Times New Roman"/>
          <w:color w:val="002060"/>
          <w:sz w:val="22"/>
          <w:szCs w:val="22"/>
        </w:rPr>
        <w:t>infracción de inmediato, podría subsanarse informándosele con el debido detalle cuáles son tales elementos de prueba</w:t>
      </w:r>
      <w:r w:rsidR="00612803" w:rsidRPr="00473D98">
        <w:rPr>
          <w:rFonts w:ascii="Times New Roman" w:hAnsi="Times New Roman" w:cs="Times New Roman"/>
          <w:color w:val="002060"/>
          <w:sz w:val="22"/>
          <w:szCs w:val="22"/>
        </w:rPr>
        <w:t>, y dejando constancia de tal comunicación en acta</w:t>
      </w:r>
      <w:r w:rsidR="00FE5BCF" w:rsidRPr="00473D98">
        <w:rPr>
          <w:rFonts w:ascii="Times New Roman" w:hAnsi="Times New Roman" w:cs="Times New Roman"/>
          <w:color w:val="002060"/>
          <w:sz w:val="22"/>
          <w:szCs w:val="22"/>
        </w:rPr>
        <w:t xml:space="preserve">. </w:t>
      </w:r>
    </w:p>
    <w:p w14:paraId="3ADC4686" w14:textId="77777777" w:rsidR="002C7979" w:rsidRPr="00473D98" w:rsidRDefault="002C7979"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 xml:space="preserve">También pudiera suceder que el modelo no refleje con toda la amplitud y exactitud la información relativa a las pruebas de cargo, las cuales, sin embargo, puede que sí le fueran dichas al imputado al ser instruido de cargos. En tal caso, debe tomársele declaración al imputado para precisar si fue informado o no sobre las pruebas en su contra y con qué grado de detalle. </w:t>
      </w:r>
    </w:p>
  </w:footnote>
  <w:footnote w:id="12">
    <w:p w14:paraId="59853CC7" w14:textId="30B419DA" w:rsidR="00DB4D84" w:rsidRPr="00473D98" w:rsidRDefault="00DB4D84"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La traducción debe llevarse a cabo por un intérprete titulado en materia legal, dadas las peculiaridades del léxico y los conceptos jurídicos</w:t>
      </w:r>
      <w:r w:rsidR="00BB26BC" w:rsidRPr="00473D98">
        <w:rPr>
          <w:rFonts w:ascii="Times New Roman" w:hAnsi="Times New Roman" w:cs="Times New Roman"/>
          <w:color w:val="002060"/>
          <w:sz w:val="22"/>
          <w:szCs w:val="22"/>
        </w:rPr>
        <w:t xml:space="preserve"> en cualquier idioma.</w:t>
      </w:r>
    </w:p>
  </w:footnote>
  <w:footnote w:id="13">
    <w:p w14:paraId="7EFAA90A" w14:textId="59266354" w:rsidR="00DC3543" w:rsidRPr="00473D98" w:rsidRDefault="00DC3543"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Entre estas diligencias se encuentran: la detención, la instructiva de cargos, la lectura de sus derechos, la autorización para el registro domiciliario y su propia ejecución, la toma de muestras corporales.</w:t>
      </w:r>
    </w:p>
  </w:footnote>
  <w:footnote w:id="14">
    <w:p w14:paraId="5A9C7A94" w14:textId="420B40BF" w:rsidR="00C94E20" w:rsidRPr="00473D98" w:rsidRDefault="00C94E20"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iCs/>
          <w:color w:val="002060"/>
          <w:sz w:val="22"/>
          <w:szCs w:val="22"/>
        </w:rPr>
        <w:t>ser asistido por un traductor o intérprete cuando no hable o entienda el idioma español, sea sordomudo o cuando la persona en situación de discapacidad lo requiera</w:t>
      </w:r>
      <w:r w:rsidRPr="00473D98">
        <w:rPr>
          <w:rFonts w:ascii="Times New Roman" w:hAnsi="Times New Roman" w:cs="Times New Roman"/>
          <w:color w:val="002060"/>
          <w:sz w:val="22"/>
          <w:szCs w:val="22"/>
        </w:rPr>
        <w:t>”.</w:t>
      </w:r>
    </w:p>
  </w:footnote>
  <w:footnote w:id="15">
    <w:p w14:paraId="2F8A60DE" w14:textId="77777777" w:rsidR="00B66E94" w:rsidRPr="00473D98" w:rsidRDefault="00B66E94"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color w:val="002060"/>
          <w:sz w:val="22"/>
          <w:szCs w:val="22"/>
        </w:rPr>
        <w:t>recibir asistencia jurídica para ejercer sus derechos en todos los procesos en que interviene</w:t>
      </w:r>
      <w:r w:rsidRPr="00473D98">
        <w:rPr>
          <w:rFonts w:ascii="Times New Roman" w:hAnsi="Times New Roman" w:cs="Times New Roman"/>
          <w:color w:val="002060"/>
          <w:sz w:val="22"/>
          <w:szCs w:val="22"/>
        </w:rPr>
        <w:t>.”</w:t>
      </w:r>
    </w:p>
  </w:footnote>
  <w:footnote w:id="16">
    <w:p w14:paraId="6AB2E47C" w14:textId="77777777" w:rsidR="00B506AA" w:rsidRPr="00473D98" w:rsidRDefault="00B506AA"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eastAsia="Calibri" w:hAnsi="Times New Roman" w:cs="Times New Roman"/>
          <w:color w:val="002060"/>
          <w:sz w:val="22"/>
          <w:szCs w:val="22"/>
          <w:lang w:eastAsia="es-ES"/>
        </w:rPr>
        <w:t>Ha de insistirse en que los modelos no son confiables para reflejar el cumplimiento real de garantías procesales, pues al venir estas ya plasmadas, se da por sentado que se cumplen, corriéndose el riesgo de que no sea realmente así. En el caso de la garantía analizada, su cumplimiento cabal depende de lo que el imputado refiera en ese momento, de modo que resulta poco creíble que su respuesta haya sido prevista en un modelo que anticipa su decisión de no declarar asistido por un letrado</w:t>
      </w:r>
    </w:p>
  </w:footnote>
  <w:footnote w:id="17">
    <w:p w14:paraId="6BF45FF5" w14:textId="77777777" w:rsidR="00F46E03" w:rsidRPr="00473D98" w:rsidRDefault="00F46E03"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hAnsi="Times New Roman" w:cs="Times New Roman"/>
          <w:i/>
          <w:color w:val="002060"/>
          <w:sz w:val="22"/>
          <w:szCs w:val="22"/>
        </w:rPr>
        <w:t>tener un proceso sin dilaciones indebidas</w:t>
      </w:r>
      <w:r w:rsidRPr="00473D98">
        <w:rPr>
          <w:rFonts w:ascii="Times New Roman" w:hAnsi="Times New Roman" w:cs="Times New Roman"/>
          <w:color w:val="002060"/>
          <w:sz w:val="22"/>
          <w:szCs w:val="22"/>
        </w:rPr>
        <w:t>…”</w:t>
      </w:r>
    </w:p>
  </w:footnote>
  <w:footnote w:id="18">
    <w:p w14:paraId="6AE923B6" w14:textId="324AA790" w:rsidR="00287ED4" w:rsidRPr="00473D98" w:rsidRDefault="00287ED4"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La Ley 143 no relaciona de manera taxativa cuáles son las diligencias que no admiten dilación</w:t>
      </w:r>
      <w:r w:rsidR="004B19ED"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ni las que no son susceptibles de ulterior reproducción</w:t>
      </w:r>
      <w:r w:rsidR="009E5712" w:rsidRPr="00473D98">
        <w:rPr>
          <w:rFonts w:ascii="Times New Roman" w:hAnsi="Times New Roman" w:cs="Times New Roman"/>
          <w:color w:val="002060"/>
          <w:sz w:val="22"/>
          <w:szCs w:val="22"/>
        </w:rPr>
        <w:t xml:space="preserve">; tampoco ofrece definiciones de tales conceptos. </w:t>
      </w:r>
      <w:r w:rsidRPr="00473D98">
        <w:rPr>
          <w:rFonts w:ascii="Times New Roman" w:hAnsi="Times New Roman" w:cs="Times New Roman"/>
          <w:color w:val="002060"/>
          <w:sz w:val="22"/>
          <w:szCs w:val="22"/>
        </w:rPr>
        <w:t xml:space="preserve">La experiencia sugiere que las </w:t>
      </w:r>
      <w:r w:rsidR="009E5712" w:rsidRPr="00473D98">
        <w:rPr>
          <w:rFonts w:ascii="Times New Roman" w:hAnsi="Times New Roman" w:cs="Times New Roman"/>
          <w:b/>
          <w:bCs/>
          <w:i/>
          <w:iCs/>
          <w:color w:val="002060"/>
          <w:sz w:val="22"/>
          <w:szCs w:val="22"/>
        </w:rPr>
        <w:t>DILIGENCIAS QUE NO ADMITEN DILACIÓN</w:t>
      </w:r>
      <w:r w:rsidRPr="00473D98">
        <w:rPr>
          <w:rFonts w:ascii="Times New Roman" w:hAnsi="Times New Roman" w:cs="Times New Roman"/>
          <w:color w:val="002060"/>
          <w:sz w:val="22"/>
          <w:szCs w:val="22"/>
        </w:rPr>
        <w:t xml:space="preserve"> son </w:t>
      </w:r>
      <w:r w:rsidR="00C32EDE" w:rsidRPr="00473D98">
        <w:rPr>
          <w:rFonts w:ascii="Times New Roman" w:hAnsi="Times New Roman" w:cs="Times New Roman"/>
          <w:color w:val="002060"/>
          <w:sz w:val="22"/>
          <w:szCs w:val="22"/>
        </w:rPr>
        <w:t xml:space="preserve">las </w:t>
      </w:r>
      <w:r w:rsidRPr="00473D98">
        <w:rPr>
          <w:rFonts w:ascii="Times New Roman" w:hAnsi="Times New Roman" w:cs="Times New Roman"/>
          <w:color w:val="002060"/>
          <w:sz w:val="22"/>
          <w:szCs w:val="22"/>
        </w:rPr>
        <w:t xml:space="preserve">que, en dependencia de los escenarios delictivo-criminalísticos concretos, </w:t>
      </w:r>
      <w:r w:rsidRPr="00473D98">
        <w:rPr>
          <w:rFonts w:ascii="Times New Roman" w:hAnsi="Times New Roman" w:cs="Times New Roman"/>
          <w:b/>
          <w:bCs/>
          <w:i/>
          <w:iCs/>
          <w:color w:val="002060"/>
          <w:sz w:val="22"/>
          <w:szCs w:val="22"/>
          <w:u w:val="single"/>
        </w:rPr>
        <w:t>de no practicarse de inmediato se perdería la evidencia</w:t>
      </w:r>
      <w:r w:rsidRPr="00473D98">
        <w:rPr>
          <w:rFonts w:ascii="Times New Roman" w:hAnsi="Times New Roman" w:cs="Times New Roman"/>
          <w:color w:val="002060"/>
          <w:sz w:val="22"/>
          <w:szCs w:val="22"/>
        </w:rPr>
        <w:t>. De manera general</w:t>
      </w:r>
      <w:r w:rsidR="009E5712" w:rsidRPr="00473D98">
        <w:rPr>
          <w:rFonts w:ascii="Times New Roman" w:hAnsi="Times New Roman" w:cs="Times New Roman"/>
          <w:color w:val="002060"/>
          <w:sz w:val="22"/>
          <w:szCs w:val="22"/>
        </w:rPr>
        <w:t xml:space="preserve">, caen en ese concepto las extracciones de sangre en los casos de accidentes de tránsito, la toma de declaraciones de testigos y víctimas que están a punto de morir, o que deben marcharse del país en corto tiempo, entre otras. </w:t>
      </w:r>
      <w:r w:rsidR="004B19ED" w:rsidRPr="00473D98">
        <w:rPr>
          <w:rFonts w:ascii="Times New Roman" w:hAnsi="Times New Roman" w:cs="Times New Roman"/>
          <w:color w:val="002060"/>
          <w:sz w:val="22"/>
          <w:szCs w:val="22"/>
        </w:rPr>
        <w:t>A su vez, l</w:t>
      </w:r>
      <w:r w:rsidR="00C32EDE" w:rsidRPr="00473D98">
        <w:rPr>
          <w:rFonts w:ascii="Times New Roman" w:hAnsi="Times New Roman" w:cs="Times New Roman"/>
          <w:color w:val="002060"/>
          <w:sz w:val="22"/>
          <w:szCs w:val="22"/>
        </w:rPr>
        <w:t xml:space="preserve">as </w:t>
      </w:r>
      <w:r w:rsidR="00C32EDE" w:rsidRPr="00473D98">
        <w:rPr>
          <w:rFonts w:ascii="Times New Roman" w:hAnsi="Times New Roman" w:cs="Times New Roman"/>
          <w:b/>
          <w:bCs/>
          <w:i/>
          <w:iCs/>
          <w:color w:val="002060"/>
          <w:sz w:val="22"/>
          <w:szCs w:val="22"/>
        </w:rPr>
        <w:t xml:space="preserve">DILIGENCIAS </w:t>
      </w:r>
      <w:r w:rsidR="00C32EDE" w:rsidRPr="00473D98">
        <w:rPr>
          <w:rFonts w:ascii="Times New Roman" w:eastAsia="Times New Roman" w:hAnsi="Times New Roman" w:cs="Times New Roman"/>
          <w:b/>
          <w:bCs/>
          <w:i/>
          <w:iCs/>
          <w:color w:val="002060"/>
          <w:sz w:val="22"/>
          <w:szCs w:val="22"/>
          <w:lang w:eastAsia="es-ES"/>
        </w:rPr>
        <w:t>QUE NO SON SUSCEPTIBLES DE ULTERIOR REPRODUCCIÓN</w:t>
      </w:r>
      <w:r w:rsidR="00C32EDE" w:rsidRPr="00473D98">
        <w:rPr>
          <w:rFonts w:ascii="Times New Roman" w:eastAsia="Times New Roman" w:hAnsi="Times New Roman" w:cs="Times New Roman"/>
          <w:color w:val="002060"/>
          <w:sz w:val="22"/>
          <w:szCs w:val="22"/>
          <w:lang w:eastAsia="es-ES"/>
        </w:rPr>
        <w:t xml:space="preserve"> son aquellas </w:t>
      </w:r>
      <w:r w:rsidR="00C32EDE" w:rsidRPr="00473D98">
        <w:rPr>
          <w:rFonts w:ascii="Times New Roman" w:eastAsia="Times New Roman" w:hAnsi="Times New Roman" w:cs="Times New Roman"/>
          <w:b/>
          <w:bCs/>
          <w:i/>
          <w:iCs/>
          <w:color w:val="002060"/>
          <w:sz w:val="22"/>
          <w:szCs w:val="22"/>
          <w:u w:val="single"/>
          <w:lang w:eastAsia="es-ES"/>
        </w:rPr>
        <w:t>cuyo resultado concreto es único e irrepetible</w:t>
      </w:r>
      <w:r w:rsidR="00C32EDE" w:rsidRPr="00473D98">
        <w:rPr>
          <w:rFonts w:ascii="Times New Roman" w:eastAsia="Times New Roman" w:hAnsi="Times New Roman" w:cs="Times New Roman"/>
          <w:color w:val="002060"/>
          <w:sz w:val="22"/>
          <w:szCs w:val="22"/>
          <w:lang w:eastAsia="es-ES"/>
        </w:rPr>
        <w:t>, aunque el tipo de diligencia en cuestión pueda practicarse otra vez. Tal es el caso de la inspección del lugar del hecho, pues el escenario delictivo objeto de inspección varía en la medida que pasa el tiempo, de ahí que una segunda inspección no tendrá los mismos resultados que la primera</w:t>
      </w:r>
      <w:r w:rsidR="004B19ED" w:rsidRPr="00473D98">
        <w:rPr>
          <w:rFonts w:ascii="Times New Roman" w:eastAsia="Times New Roman" w:hAnsi="Times New Roman" w:cs="Times New Roman"/>
          <w:color w:val="002060"/>
          <w:sz w:val="22"/>
          <w:szCs w:val="22"/>
          <w:lang w:eastAsia="es-ES"/>
        </w:rPr>
        <w:t>.</w:t>
      </w:r>
    </w:p>
  </w:footnote>
  <w:footnote w:id="19">
    <w:p w14:paraId="44BCE2DF" w14:textId="54666ACC" w:rsidR="00DB60B1" w:rsidRPr="00473D98" w:rsidRDefault="00DB60B1" w:rsidP="00473D98">
      <w:pPr>
        <w:pStyle w:val="Textonotapie"/>
        <w:spacing w:line="240" w:lineRule="atLeast"/>
        <w:contextualSpacing/>
        <w:jc w:val="both"/>
        <w:rPr>
          <w:rFonts w:ascii="Times New Roman" w:eastAsia="Times New Roman" w:hAnsi="Times New Roman" w:cs="Times New Roman"/>
          <w:color w:val="002060"/>
          <w:sz w:val="22"/>
          <w:szCs w:val="22"/>
          <w:lang w:eastAsia="es-ES"/>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Pr="00473D98">
        <w:rPr>
          <w:rFonts w:ascii="Times New Roman" w:eastAsia="Times New Roman" w:hAnsi="Times New Roman" w:cs="Times New Roman"/>
          <w:color w:val="002060"/>
          <w:sz w:val="22"/>
          <w:szCs w:val="22"/>
          <w:lang w:eastAsia="es-ES"/>
        </w:rPr>
        <w:t>El artículo 189. 2 de la Ley adjetiva no incluye al “</w:t>
      </w:r>
      <w:r w:rsidRPr="00473D98">
        <w:rPr>
          <w:rFonts w:ascii="Times New Roman" w:eastAsia="Times New Roman" w:hAnsi="Times New Roman" w:cs="Times New Roman"/>
          <w:i/>
          <w:iCs/>
          <w:color w:val="002060"/>
          <w:sz w:val="22"/>
          <w:szCs w:val="22"/>
          <w:lang w:eastAsia="es-ES"/>
        </w:rPr>
        <w:t>detenido no instruido de cargos</w:t>
      </w:r>
      <w:r w:rsidRPr="00473D98">
        <w:rPr>
          <w:rFonts w:ascii="Times New Roman" w:eastAsia="Times New Roman" w:hAnsi="Times New Roman" w:cs="Times New Roman"/>
          <w:color w:val="002060"/>
          <w:sz w:val="22"/>
          <w:szCs w:val="22"/>
          <w:lang w:eastAsia="es-ES"/>
        </w:rPr>
        <w:t>” entr</w:t>
      </w:r>
      <w:r w:rsidR="00A02CEC" w:rsidRPr="00473D98">
        <w:rPr>
          <w:rFonts w:ascii="Times New Roman" w:eastAsia="Times New Roman" w:hAnsi="Times New Roman" w:cs="Times New Roman"/>
          <w:color w:val="002060"/>
          <w:sz w:val="22"/>
          <w:szCs w:val="22"/>
          <w:lang w:eastAsia="es-ES"/>
        </w:rPr>
        <w:t>e</w:t>
      </w:r>
      <w:r w:rsidRPr="00473D98">
        <w:rPr>
          <w:rFonts w:ascii="Times New Roman" w:eastAsia="Times New Roman" w:hAnsi="Times New Roman" w:cs="Times New Roman"/>
          <w:color w:val="002060"/>
          <w:sz w:val="22"/>
          <w:szCs w:val="22"/>
          <w:lang w:eastAsia="es-ES"/>
        </w:rPr>
        <w:t xml:space="preserve"> los sujetos </w:t>
      </w:r>
      <w:r w:rsidR="0072535E" w:rsidRPr="00473D98">
        <w:rPr>
          <w:rFonts w:ascii="Times New Roman" w:eastAsia="Times New Roman" w:hAnsi="Times New Roman" w:cs="Times New Roman"/>
          <w:color w:val="002060"/>
          <w:sz w:val="22"/>
          <w:szCs w:val="22"/>
          <w:lang w:eastAsia="es-ES"/>
        </w:rPr>
        <w:t xml:space="preserve">a los que hay que asignarles </w:t>
      </w:r>
      <w:r w:rsidRPr="00473D98">
        <w:rPr>
          <w:rFonts w:ascii="Times New Roman" w:eastAsia="Times New Roman" w:hAnsi="Times New Roman" w:cs="Times New Roman"/>
          <w:color w:val="002060"/>
          <w:sz w:val="22"/>
          <w:szCs w:val="22"/>
          <w:lang w:eastAsia="es-ES"/>
        </w:rPr>
        <w:t xml:space="preserve">un abogado de oficio para la práctica de diligencias que no admitan ulterior reproducción o que sean urgentes. Este vacío legal no debe llevar a una interpretación gramatical </w:t>
      </w:r>
      <w:r w:rsidRPr="00473D98">
        <w:rPr>
          <w:rFonts w:ascii="Times New Roman" w:eastAsia="Times New Roman" w:hAnsi="Times New Roman" w:cs="Times New Roman"/>
          <w:i/>
          <w:iCs/>
          <w:color w:val="002060"/>
          <w:sz w:val="22"/>
          <w:szCs w:val="22"/>
          <w:lang w:eastAsia="es-ES"/>
        </w:rPr>
        <w:t>strictu sensu</w:t>
      </w:r>
      <w:r w:rsidRPr="00473D98">
        <w:rPr>
          <w:rFonts w:ascii="Times New Roman" w:eastAsia="Times New Roman" w:hAnsi="Times New Roman" w:cs="Times New Roman"/>
          <w:color w:val="002060"/>
          <w:sz w:val="22"/>
          <w:szCs w:val="22"/>
          <w:lang w:eastAsia="es-ES"/>
        </w:rPr>
        <w:t xml:space="preserve"> de dicho articulado, y mucho menos, en detrimento de los derechos del detenido. Si se observa, no tiene sentido que para un “</w:t>
      </w:r>
      <w:r w:rsidRPr="00473D98">
        <w:rPr>
          <w:rFonts w:ascii="Times New Roman" w:eastAsia="Times New Roman" w:hAnsi="Times New Roman" w:cs="Times New Roman"/>
          <w:i/>
          <w:iCs/>
          <w:color w:val="002060"/>
          <w:sz w:val="22"/>
          <w:szCs w:val="22"/>
          <w:lang w:eastAsia="es-ES"/>
        </w:rPr>
        <w:t>presunto responsable NO HABIDO</w:t>
      </w:r>
      <w:r w:rsidRPr="00473D98">
        <w:rPr>
          <w:rFonts w:ascii="Times New Roman" w:eastAsia="Times New Roman" w:hAnsi="Times New Roman" w:cs="Times New Roman"/>
          <w:color w:val="002060"/>
          <w:sz w:val="22"/>
          <w:szCs w:val="22"/>
          <w:lang w:eastAsia="es-ES"/>
        </w:rPr>
        <w:t xml:space="preserve">” la ley obligue a la designación de un abogado de oficio, y, sin embargo, excluya de ese derecho al </w:t>
      </w:r>
      <w:r w:rsidRPr="00473D98">
        <w:rPr>
          <w:rFonts w:ascii="Times New Roman" w:eastAsia="Times New Roman" w:hAnsi="Times New Roman" w:cs="Times New Roman"/>
          <w:i/>
          <w:iCs/>
          <w:color w:val="002060"/>
          <w:sz w:val="22"/>
          <w:szCs w:val="22"/>
          <w:lang w:eastAsia="es-ES"/>
        </w:rPr>
        <w:t>presunto responsable</w:t>
      </w:r>
      <w:r w:rsidRPr="00473D98">
        <w:rPr>
          <w:rFonts w:ascii="Times New Roman" w:eastAsia="Times New Roman" w:hAnsi="Times New Roman" w:cs="Times New Roman"/>
          <w:color w:val="002060"/>
          <w:sz w:val="22"/>
          <w:szCs w:val="22"/>
          <w:lang w:eastAsia="es-ES"/>
        </w:rPr>
        <w:t xml:space="preserve"> </w:t>
      </w:r>
      <w:r w:rsidRPr="00473D98">
        <w:rPr>
          <w:rFonts w:ascii="Times New Roman" w:eastAsia="Times New Roman" w:hAnsi="Times New Roman" w:cs="Times New Roman"/>
          <w:i/>
          <w:iCs/>
          <w:color w:val="002060"/>
          <w:sz w:val="22"/>
          <w:szCs w:val="22"/>
          <w:lang w:eastAsia="es-ES"/>
        </w:rPr>
        <w:t>YA DETENIDO,</w:t>
      </w:r>
      <w:r w:rsidRPr="00473D98">
        <w:rPr>
          <w:rFonts w:ascii="Times New Roman" w:eastAsia="Times New Roman" w:hAnsi="Times New Roman" w:cs="Times New Roman"/>
          <w:color w:val="002060"/>
          <w:sz w:val="22"/>
          <w:szCs w:val="22"/>
          <w:lang w:eastAsia="es-ES"/>
        </w:rPr>
        <w:t xml:space="preserve"> pero pendiente de instruir de cargos.</w:t>
      </w:r>
    </w:p>
    <w:p w14:paraId="6DFD9B7E" w14:textId="26EF77E4" w:rsidR="00C02288" w:rsidRPr="00473D98" w:rsidRDefault="00C02288"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 xml:space="preserve">La Ley tampoco contempla el supuesto del imputado que </w:t>
      </w:r>
      <w:r w:rsidRPr="00473D98">
        <w:rPr>
          <w:rFonts w:ascii="Times New Roman" w:hAnsi="Times New Roman" w:cs="Times New Roman"/>
          <w:i/>
          <w:iCs/>
          <w:color w:val="002060"/>
          <w:sz w:val="22"/>
          <w:szCs w:val="22"/>
        </w:rPr>
        <w:t>NO QUIERA SER ASISTIDO POR UN DEFENSOR</w:t>
      </w:r>
      <w:r w:rsidRPr="00473D98">
        <w:rPr>
          <w:rFonts w:ascii="Times New Roman" w:hAnsi="Times New Roman" w:cs="Times New Roman"/>
          <w:color w:val="002060"/>
          <w:sz w:val="22"/>
          <w:szCs w:val="22"/>
        </w:rPr>
        <w:t xml:space="preserve">. Sin embargo, la designación del abogado para este tipo de diligencias no responde tanto a la voluntad del imputado de ser asesorado por uno, como a una </w:t>
      </w:r>
      <w:r w:rsidRPr="00473D98">
        <w:rPr>
          <w:rFonts w:ascii="Times New Roman" w:hAnsi="Times New Roman" w:cs="Times New Roman"/>
          <w:i/>
          <w:iCs/>
          <w:color w:val="002060"/>
          <w:sz w:val="22"/>
          <w:szCs w:val="22"/>
        </w:rPr>
        <w:t xml:space="preserve">EXIGENCIA </w:t>
      </w:r>
      <w:r w:rsidRPr="00473D98">
        <w:rPr>
          <w:rFonts w:ascii="Times New Roman" w:hAnsi="Times New Roman" w:cs="Times New Roman"/>
          <w:color w:val="002060"/>
          <w:sz w:val="22"/>
          <w:szCs w:val="22"/>
        </w:rPr>
        <w:t>de la denominada</w:t>
      </w:r>
      <w:r w:rsidRPr="00473D98">
        <w:rPr>
          <w:rFonts w:ascii="Times New Roman" w:hAnsi="Times New Roman" w:cs="Times New Roman"/>
          <w:i/>
          <w:iCs/>
          <w:color w:val="002060"/>
          <w:sz w:val="22"/>
          <w:szCs w:val="22"/>
        </w:rPr>
        <w:t xml:space="preserve"> “PRUEBA ANTICIPADA”</w:t>
      </w:r>
      <w:r w:rsidRPr="00473D98">
        <w:rPr>
          <w:rFonts w:ascii="Times New Roman" w:hAnsi="Times New Roman" w:cs="Times New Roman"/>
          <w:color w:val="002060"/>
          <w:sz w:val="22"/>
          <w:szCs w:val="22"/>
        </w:rPr>
        <w:t xml:space="preserve">, de modo que, si el imputado no quiere un defensor, se le designa de oficio, </w:t>
      </w:r>
      <w:r w:rsidR="00813099" w:rsidRPr="00473D98">
        <w:rPr>
          <w:rFonts w:ascii="Times New Roman" w:hAnsi="Times New Roman" w:cs="Times New Roman"/>
          <w:i/>
          <w:iCs/>
          <w:color w:val="002060"/>
          <w:sz w:val="22"/>
          <w:szCs w:val="22"/>
        </w:rPr>
        <w:t>POR ENTENDERSE QUE NO DESIGNÓ NINGUNO</w:t>
      </w:r>
      <w:r w:rsidRPr="00473D98">
        <w:rPr>
          <w:rFonts w:ascii="Times New Roman" w:hAnsi="Times New Roman" w:cs="Times New Roman"/>
          <w:color w:val="002060"/>
          <w:sz w:val="22"/>
          <w:szCs w:val="22"/>
        </w:rPr>
        <w:t>, tal como establec</w:t>
      </w:r>
      <w:r w:rsidR="00813099" w:rsidRPr="00473D98">
        <w:rPr>
          <w:rFonts w:ascii="Times New Roman" w:hAnsi="Times New Roman" w:cs="Times New Roman"/>
          <w:color w:val="002060"/>
          <w:sz w:val="22"/>
          <w:szCs w:val="22"/>
        </w:rPr>
        <w:t xml:space="preserve">e </w:t>
      </w:r>
      <w:r w:rsidRPr="00473D98">
        <w:rPr>
          <w:rFonts w:ascii="Times New Roman" w:hAnsi="Times New Roman" w:cs="Times New Roman"/>
          <w:color w:val="002060"/>
          <w:sz w:val="22"/>
          <w:szCs w:val="22"/>
        </w:rPr>
        <w:t xml:space="preserve">el inciso 2 del 189 de la citada Ley. </w:t>
      </w:r>
    </w:p>
    <w:p w14:paraId="3543219E" w14:textId="7DEF3800" w:rsidR="00C02288" w:rsidRPr="00473D98" w:rsidRDefault="00C02288"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Cuestión distinta es que el imputado</w:t>
      </w:r>
      <w:r w:rsidR="0012001A" w:rsidRPr="00473D98">
        <w:rPr>
          <w:rFonts w:ascii="Times New Roman" w:hAnsi="Times New Roman" w:cs="Times New Roman"/>
          <w:color w:val="002060"/>
          <w:sz w:val="22"/>
          <w:szCs w:val="22"/>
        </w:rPr>
        <w:t>, habiéndosele notificado la diligencia,</w:t>
      </w:r>
      <w:r w:rsidRPr="00473D98">
        <w:rPr>
          <w:rFonts w:ascii="Times New Roman" w:hAnsi="Times New Roman" w:cs="Times New Roman"/>
          <w:color w:val="002060"/>
          <w:sz w:val="22"/>
          <w:szCs w:val="22"/>
        </w:rPr>
        <w:t xml:space="preserve"> quiera designar un defensor de su elección. En tal supuesto, tiene para ello un día hábil después de serle notificado que se practicará la diligencia (véase el inciso 3 del 189 de la Ley adjetiva). E</w:t>
      </w:r>
      <w:r w:rsidR="0012001A" w:rsidRPr="00473D98">
        <w:rPr>
          <w:rFonts w:ascii="Times New Roman" w:hAnsi="Times New Roman" w:cs="Times New Roman"/>
          <w:color w:val="002060"/>
          <w:sz w:val="22"/>
          <w:szCs w:val="22"/>
        </w:rPr>
        <w:t>ste plazo</w:t>
      </w:r>
      <w:r w:rsidRPr="00473D98">
        <w:rPr>
          <w:rFonts w:ascii="Times New Roman" w:hAnsi="Times New Roman" w:cs="Times New Roman"/>
          <w:color w:val="002060"/>
          <w:sz w:val="22"/>
          <w:szCs w:val="22"/>
        </w:rPr>
        <w:t xml:space="preserve">, sin embargo, podría colisionar con la necesidad de practicar con urgencia la diligencia en cuestión. Si tal fuera el caso, se optará por nombrarle uno de oficio. </w:t>
      </w:r>
    </w:p>
    <w:p w14:paraId="6B6D7327" w14:textId="029DD803" w:rsidR="00C02288" w:rsidRPr="00473D98" w:rsidRDefault="00C02288"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Debe tenerse en cuenta que la expresión que utiliza la Ley en el artículo 189.1</w:t>
      </w:r>
      <w:r w:rsidR="00B55A83"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w:t>
      </w:r>
      <w:r w:rsidRPr="00473D98">
        <w:rPr>
          <w:rFonts w:ascii="Times New Roman" w:hAnsi="Times New Roman" w:cs="Times New Roman"/>
          <w:i/>
          <w:iCs/>
          <w:color w:val="002060"/>
          <w:sz w:val="22"/>
          <w:szCs w:val="22"/>
        </w:rPr>
        <w:t>siempre que sea posible</w:t>
      </w:r>
      <w:r w:rsidRPr="00473D98">
        <w:rPr>
          <w:rFonts w:ascii="Times New Roman" w:hAnsi="Times New Roman" w:cs="Times New Roman"/>
          <w:color w:val="002060"/>
          <w:sz w:val="22"/>
          <w:szCs w:val="22"/>
        </w:rPr>
        <w:t>”</w:t>
      </w:r>
      <w:r w:rsidR="00B55A83"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ref</w:t>
      </w:r>
      <w:r w:rsidR="00CB1E32" w:rsidRPr="00473D98">
        <w:rPr>
          <w:rFonts w:ascii="Times New Roman" w:hAnsi="Times New Roman" w:cs="Times New Roman"/>
          <w:color w:val="002060"/>
          <w:sz w:val="22"/>
          <w:szCs w:val="22"/>
        </w:rPr>
        <w:t xml:space="preserve">erida </w:t>
      </w:r>
      <w:r w:rsidRPr="00473D98">
        <w:rPr>
          <w:rFonts w:ascii="Times New Roman" w:hAnsi="Times New Roman" w:cs="Times New Roman"/>
          <w:color w:val="002060"/>
          <w:sz w:val="22"/>
          <w:szCs w:val="22"/>
        </w:rPr>
        <w:t xml:space="preserve">a la notificación del imputado para que nombre abogado, </w:t>
      </w:r>
      <w:r w:rsidR="004171D5" w:rsidRPr="00473D98">
        <w:rPr>
          <w:rFonts w:ascii="Times New Roman" w:hAnsi="Times New Roman" w:cs="Times New Roman"/>
          <w:color w:val="002060"/>
          <w:sz w:val="22"/>
          <w:szCs w:val="22"/>
        </w:rPr>
        <w:t xml:space="preserve">tampoco </w:t>
      </w:r>
      <w:r w:rsidRPr="00473D98">
        <w:rPr>
          <w:rFonts w:ascii="Times New Roman" w:hAnsi="Times New Roman" w:cs="Times New Roman"/>
          <w:color w:val="002060"/>
          <w:sz w:val="22"/>
          <w:szCs w:val="22"/>
        </w:rPr>
        <w:t xml:space="preserve">exonera a la autoridad actuante de </w:t>
      </w:r>
      <w:r w:rsidR="00BA09F7" w:rsidRPr="00473D98">
        <w:rPr>
          <w:rFonts w:ascii="Times New Roman" w:hAnsi="Times New Roman" w:cs="Times New Roman"/>
          <w:color w:val="002060"/>
          <w:sz w:val="22"/>
          <w:szCs w:val="22"/>
        </w:rPr>
        <w:t>a</w:t>
      </w:r>
      <w:r w:rsidRPr="00473D98">
        <w:rPr>
          <w:rFonts w:ascii="Times New Roman" w:hAnsi="Times New Roman" w:cs="Times New Roman"/>
          <w:color w:val="002060"/>
          <w:sz w:val="22"/>
          <w:szCs w:val="22"/>
        </w:rPr>
        <w:t xml:space="preserve">signarle uno de oficio si urge practicar la diligencia y no hay tiempo de </w:t>
      </w:r>
      <w:r w:rsidR="003D1670" w:rsidRPr="00473D98">
        <w:rPr>
          <w:rFonts w:ascii="Times New Roman" w:hAnsi="Times New Roman" w:cs="Times New Roman"/>
          <w:color w:val="002060"/>
          <w:sz w:val="22"/>
          <w:szCs w:val="22"/>
        </w:rPr>
        <w:t>notificársela</w:t>
      </w:r>
      <w:r w:rsidRPr="00473D98">
        <w:rPr>
          <w:rFonts w:ascii="Times New Roman" w:hAnsi="Times New Roman" w:cs="Times New Roman"/>
          <w:color w:val="002060"/>
          <w:sz w:val="22"/>
          <w:szCs w:val="22"/>
        </w:rPr>
        <w:t xml:space="preserve">. </w:t>
      </w:r>
    </w:p>
    <w:p w14:paraId="639CEF58" w14:textId="220695A7" w:rsidR="00C02288" w:rsidRPr="00473D98" w:rsidRDefault="006F2EC0"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L</w:t>
      </w:r>
      <w:r w:rsidR="00C02288" w:rsidRPr="00473D98">
        <w:rPr>
          <w:rFonts w:ascii="Times New Roman" w:hAnsi="Times New Roman" w:cs="Times New Roman"/>
          <w:color w:val="002060"/>
          <w:sz w:val="22"/>
          <w:szCs w:val="22"/>
        </w:rPr>
        <w:t xml:space="preserve">a necesidad de un defensor </w:t>
      </w:r>
      <w:r w:rsidRPr="00473D98">
        <w:rPr>
          <w:rFonts w:ascii="Times New Roman" w:hAnsi="Times New Roman" w:cs="Times New Roman"/>
          <w:color w:val="002060"/>
          <w:sz w:val="22"/>
          <w:szCs w:val="22"/>
        </w:rPr>
        <w:t xml:space="preserve">constituye </w:t>
      </w:r>
      <w:r w:rsidR="00C02288" w:rsidRPr="00473D98">
        <w:rPr>
          <w:rFonts w:ascii="Times New Roman" w:hAnsi="Times New Roman" w:cs="Times New Roman"/>
          <w:color w:val="002060"/>
          <w:sz w:val="22"/>
          <w:szCs w:val="22"/>
        </w:rPr>
        <w:t>un requisito de legalidad de este tipo de prueba, de modo que poca relevancia tiene si, en ese momento, el imputado está detenido o en libertad. No obstante, si estuviera detenido o en prisión provisional, se refuerza la necesidad de asistencia letrada</w:t>
      </w:r>
      <w:r w:rsidR="00022E5B" w:rsidRPr="00473D98">
        <w:rPr>
          <w:rFonts w:ascii="Times New Roman" w:hAnsi="Times New Roman" w:cs="Times New Roman"/>
          <w:color w:val="002060"/>
          <w:sz w:val="22"/>
          <w:szCs w:val="22"/>
        </w:rPr>
        <w:t>,</w:t>
      </w:r>
      <w:r w:rsidR="00C02288" w:rsidRPr="00473D98">
        <w:rPr>
          <w:rFonts w:ascii="Times New Roman" w:hAnsi="Times New Roman" w:cs="Times New Roman"/>
          <w:color w:val="002060"/>
          <w:sz w:val="22"/>
          <w:szCs w:val="22"/>
        </w:rPr>
        <w:t xml:space="preserve"> tal como establece el inciso 3 del artículo 12 de la Ley 143.</w:t>
      </w:r>
    </w:p>
  </w:footnote>
  <w:footnote w:id="20">
    <w:p w14:paraId="19121DF6" w14:textId="77777777" w:rsidR="00F46E03" w:rsidRPr="00473D98" w:rsidRDefault="00F46E03"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Este artículo refiere que: “</w:t>
      </w:r>
      <w:r w:rsidRPr="00473D98">
        <w:rPr>
          <w:rFonts w:ascii="Times New Roman" w:hAnsi="Times New Roman" w:cs="Times New Roman"/>
          <w:i/>
          <w:color w:val="002060"/>
          <w:sz w:val="22"/>
          <w:szCs w:val="22"/>
        </w:rPr>
        <w:t xml:space="preserve">La autoridad actuante comunica al imputado y a su defensor la fecha de realización de esta diligencia </w:t>
      </w:r>
      <w:r w:rsidRPr="00473D98">
        <w:rPr>
          <w:rFonts w:ascii="Times New Roman" w:hAnsi="Times New Roman" w:cs="Times New Roman"/>
          <w:color w:val="002060"/>
          <w:sz w:val="22"/>
          <w:szCs w:val="22"/>
        </w:rPr>
        <w:t>(exploración del menor víctima o testigo)</w:t>
      </w:r>
      <w:r w:rsidRPr="00473D98">
        <w:rPr>
          <w:rFonts w:ascii="Times New Roman" w:hAnsi="Times New Roman" w:cs="Times New Roman"/>
          <w:i/>
          <w:color w:val="002060"/>
          <w:sz w:val="22"/>
          <w:szCs w:val="22"/>
        </w:rPr>
        <w:t xml:space="preserve"> a fin de que si lo consideran necesario aporten los aspectos que interesen sean esclarecidos mediante la exploración</w:t>
      </w:r>
      <w:r w:rsidRPr="00473D98">
        <w:rPr>
          <w:rFonts w:ascii="Times New Roman" w:hAnsi="Times New Roman" w:cs="Times New Roman"/>
          <w:color w:val="002060"/>
          <w:sz w:val="22"/>
          <w:szCs w:val="22"/>
        </w:rPr>
        <w:t>.”</w:t>
      </w:r>
    </w:p>
  </w:footnote>
  <w:footnote w:id="21">
    <w:p w14:paraId="33F77716" w14:textId="7295C092" w:rsidR="00E64CBB" w:rsidRPr="00473D98" w:rsidRDefault="00E64CBB"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Debe </w:t>
      </w:r>
      <w:r w:rsidR="00A02CEC" w:rsidRPr="00473D98">
        <w:rPr>
          <w:rFonts w:ascii="Times New Roman" w:hAnsi="Times New Roman" w:cs="Times New Roman"/>
          <w:color w:val="002060"/>
          <w:sz w:val="22"/>
          <w:szCs w:val="22"/>
        </w:rPr>
        <w:t xml:space="preserve">acotarse </w:t>
      </w:r>
      <w:r w:rsidRPr="00473D98">
        <w:rPr>
          <w:rFonts w:ascii="Times New Roman" w:hAnsi="Times New Roman" w:cs="Times New Roman"/>
          <w:color w:val="002060"/>
          <w:sz w:val="22"/>
          <w:szCs w:val="22"/>
        </w:rPr>
        <w:t xml:space="preserve">que el artículo 12.3 de la Ley 143 exige la designación de un abogado de oficio para los casos en que la ley lo requiere, </w:t>
      </w:r>
      <w:r w:rsidR="00073FC5" w:rsidRPr="00473D98">
        <w:rPr>
          <w:rFonts w:ascii="Times New Roman" w:hAnsi="Times New Roman" w:cs="Times New Roman"/>
          <w:i/>
          <w:iCs/>
          <w:color w:val="002060"/>
          <w:sz w:val="22"/>
          <w:szCs w:val="22"/>
        </w:rPr>
        <w:t>SIEMPRE Y CUANDO EL IMPUTADO ESTÉ DETENIDO, SUJETO A PRISIÓN PROVISIONAL, O CUMPLIENDO SANCIÓN EN CENTRO PENITENCIARIO</w:t>
      </w:r>
      <w:r w:rsidRPr="00473D98">
        <w:rPr>
          <w:rFonts w:ascii="Times New Roman" w:hAnsi="Times New Roman" w:cs="Times New Roman"/>
          <w:color w:val="002060"/>
          <w:sz w:val="22"/>
          <w:szCs w:val="22"/>
        </w:rPr>
        <w:t xml:space="preserve">. </w:t>
      </w:r>
    </w:p>
  </w:footnote>
  <w:footnote w:id="22">
    <w:p w14:paraId="4DCB48D3" w14:textId="3197202E" w:rsidR="00D8202C" w:rsidRPr="00473D98" w:rsidRDefault="00D8202C"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Ratifica esta apreciación lo dispuesto en el artículo 451.1 de la Ley del Proceso Penal: “</w:t>
      </w:r>
      <w:r w:rsidRPr="00473D98">
        <w:rPr>
          <w:rFonts w:ascii="Times New Roman" w:hAnsi="Times New Roman" w:cs="Times New Roman"/>
          <w:i/>
          <w:iCs/>
          <w:color w:val="002060"/>
          <w:sz w:val="22"/>
          <w:szCs w:val="22"/>
        </w:rPr>
        <w:t xml:space="preserve">Cuando alguno de los testigos sea menor de 18 años de edad, el fiscal propone su exploración o declaración, según el caso, en el acto del juicio oral, </w:t>
      </w:r>
      <w:r w:rsidRPr="00473D98">
        <w:rPr>
          <w:rFonts w:ascii="Times New Roman" w:hAnsi="Times New Roman" w:cs="Times New Roman"/>
          <w:b/>
          <w:bCs/>
          <w:i/>
          <w:iCs/>
          <w:color w:val="002060"/>
          <w:sz w:val="22"/>
          <w:szCs w:val="22"/>
          <w:u w:val="single"/>
        </w:rPr>
        <w:t>solamente cuando resulte imprescindible</w:t>
      </w:r>
      <w:r w:rsidRPr="00473D98">
        <w:rPr>
          <w:rFonts w:ascii="Times New Roman" w:hAnsi="Times New Roman" w:cs="Times New Roman"/>
          <w:i/>
          <w:iCs/>
          <w:color w:val="002060"/>
          <w:sz w:val="22"/>
          <w:szCs w:val="22"/>
        </w:rPr>
        <w:t>, sobre todo si se trata de menores de 12 años</w:t>
      </w:r>
      <w:r w:rsidR="00D35201" w:rsidRPr="00473D98">
        <w:rPr>
          <w:rFonts w:ascii="Times New Roman" w:hAnsi="Times New Roman" w:cs="Times New Roman"/>
          <w:i/>
          <w:iCs/>
          <w:color w:val="002060"/>
          <w:sz w:val="22"/>
          <w:szCs w:val="22"/>
        </w:rPr>
        <w:t xml:space="preserve">, optando por proponer como prueba documental la filmación de la exploración realizada durante la fase investigativa o, en su defecto, la lectura del acta que contiene la referida exploración, para lo cual argumenta las razones que fundamentan su solicitud y tiene en cuenta los criterios siguientes: b) </w:t>
      </w:r>
      <w:r w:rsidR="00D35201" w:rsidRPr="00473D98">
        <w:rPr>
          <w:rFonts w:ascii="Times New Roman" w:hAnsi="Times New Roman" w:cs="Times New Roman"/>
          <w:b/>
          <w:bCs/>
          <w:i/>
          <w:iCs/>
          <w:color w:val="002060"/>
          <w:sz w:val="22"/>
          <w:szCs w:val="22"/>
          <w:u w:val="single"/>
        </w:rPr>
        <w:t>evitar su victimización</w:t>
      </w:r>
      <w:r w:rsidRPr="00473D98">
        <w:rPr>
          <w:rFonts w:ascii="Times New Roman" w:hAnsi="Times New Roman" w:cs="Times New Roman"/>
          <w:color w:val="002060"/>
          <w:sz w:val="22"/>
          <w:szCs w:val="22"/>
        </w:rPr>
        <w:t>…”</w:t>
      </w:r>
    </w:p>
  </w:footnote>
  <w:footnote w:id="23">
    <w:p w14:paraId="29057952" w14:textId="528D9C61" w:rsidR="00836173" w:rsidRPr="00473D98" w:rsidRDefault="00836173"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00154ED5" w:rsidRPr="00473D98">
        <w:rPr>
          <w:rFonts w:ascii="Times New Roman" w:hAnsi="Times New Roman" w:cs="Times New Roman"/>
          <w:color w:val="002060"/>
          <w:sz w:val="22"/>
          <w:szCs w:val="22"/>
        </w:rPr>
        <w:t>El artículo 271.1 establece que a</w:t>
      </w:r>
      <w:r w:rsidR="00A334C9" w:rsidRPr="00473D98">
        <w:rPr>
          <w:rFonts w:ascii="Times New Roman" w:hAnsi="Times New Roman" w:cs="Times New Roman"/>
          <w:color w:val="002060"/>
          <w:sz w:val="22"/>
          <w:szCs w:val="22"/>
        </w:rPr>
        <w:t>l</w:t>
      </w:r>
      <w:r w:rsidR="00154ED5" w:rsidRPr="00473D98">
        <w:rPr>
          <w:rFonts w:ascii="Times New Roman" w:hAnsi="Times New Roman" w:cs="Times New Roman"/>
          <w:color w:val="002060"/>
          <w:sz w:val="22"/>
          <w:szCs w:val="22"/>
        </w:rPr>
        <w:t xml:space="preserve"> testigo (o víctima) menor de 16 años “…</w:t>
      </w:r>
      <w:r w:rsidR="00154ED5" w:rsidRPr="00473D98">
        <w:rPr>
          <w:rFonts w:ascii="Times New Roman" w:hAnsi="Times New Roman" w:cs="Times New Roman"/>
          <w:i/>
          <w:iCs/>
          <w:color w:val="002060"/>
          <w:sz w:val="22"/>
          <w:szCs w:val="22"/>
        </w:rPr>
        <w:t>se le examina por vía de exploración, en la que está presente SOLAMENTE su representante legal, y en caso de carecer de este o si existen intereses contrapuestos, será representado por el fiscal</w:t>
      </w:r>
      <w:r w:rsidR="00154ED5" w:rsidRPr="00473D98">
        <w:rPr>
          <w:rFonts w:ascii="Times New Roman" w:hAnsi="Times New Roman" w:cs="Times New Roman"/>
          <w:color w:val="002060"/>
          <w:sz w:val="22"/>
          <w:szCs w:val="22"/>
        </w:rPr>
        <w:t xml:space="preserve">”. </w:t>
      </w:r>
      <w:r w:rsidRPr="00473D98">
        <w:rPr>
          <w:rFonts w:ascii="Times New Roman" w:hAnsi="Times New Roman" w:cs="Times New Roman"/>
          <w:color w:val="002060"/>
          <w:sz w:val="22"/>
          <w:szCs w:val="22"/>
        </w:rPr>
        <w:t>No debe soslayarse que esta limitación no excluye el derecho del defensor y del imputado a escuchar l</w:t>
      </w:r>
      <w:r w:rsidR="00871D5A" w:rsidRPr="00473D98">
        <w:rPr>
          <w:rFonts w:ascii="Times New Roman" w:hAnsi="Times New Roman" w:cs="Times New Roman"/>
          <w:color w:val="002060"/>
          <w:sz w:val="22"/>
          <w:szCs w:val="22"/>
        </w:rPr>
        <w:t>o que acontece en l</w:t>
      </w:r>
      <w:r w:rsidRPr="00473D98">
        <w:rPr>
          <w:rFonts w:ascii="Times New Roman" w:hAnsi="Times New Roman" w:cs="Times New Roman"/>
          <w:color w:val="002060"/>
          <w:sz w:val="22"/>
          <w:szCs w:val="22"/>
        </w:rPr>
        <w:t xml:space="preserve">a exploración del menor, conforme lo establece el artículo 263. 2 de la Ley adjetiva. </w:t>
      </w:r>
    </w:p>
  </w:footnote>
  <w:footnote w:id="24">
    <w:p w14:paraId="373B6F7B" w14:textId="12549D84" w:rsidR="009F47DF" w:rsidRPr="00473D98" w:rsidRDefault="009F47DF"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El artículo 278.1 prescribe que: “</w:t>
      </w:r>
      <w:r w:rsidRPr="00473D98">
        <w:rPr>
          <w:rFonts w:ascii="Times New Roman" w:hAnsi="Times New Roman" w:cs="Times New Roman"/>
          <w:i/>
          <w:iCs/>
          <w:color w:val="002060"/>
          <w:sz w:val="22"/>
          <w:szCs w:val="22"/>
        </w:rPr>
        <w:t>Si al hacerle la prevención de que debe comunicar los cambios de residencia o paradero, el testigo manifiesta la posibilidad de hallarse ausente del país en la fecha probable en que habrá de celebrarse el juicio oral, se hace saber al imputado, al tercero civil responsable…que, si no lo han hecho aún, pueden, en el plazo de veinticuatro horas, nombrar defensor o, en su defecto, se le designa de oficio, para que intervenga en la práctica de la declaración</w:t>
      </w:r>
      <w:r w:rsidRPr="00473D98">
        <w:rPr>
          <w:rFonts w:ascii="Times New Roman" w:hAnsi="Times New Roman" w:cs="Times New Roman"/>
          <w:color w:val="002060"/>
          <w:sz w:val="22"/>
          <w:szCs w:val="22"/>
        </w:rPr>
        <w:t>.”</w:t>
      </w:r>
    </w:p>
    <w:p w14:paraId="532B9031" w14:textId="3627A5B1" w:rsidR="009F47DF" w:rsidRPr="00473D98" w:rsidRDefault="009F47DF"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El inciso 2 del artículo 278, regula: “</w:t>
      </w:r>
      <w:r w:rsidRPr="00473D98">
        <w:rPr>
          <w:rFonts w:ascii="Times New Roman" w:hAnsi="Times New Roman" w:cs="Times New Roman"/>
          <w:i/>
          <w:iCs/>
          <w:color w:val="002060"/>
          <w:sz w:val="22"/>
          <w:szCs w:val="22"/>
        </w:rPr>
        <w:t>Igual proceder al apartado anterior se sigue si existe motivo racional para temer la muerte o incapacidad física o mental del testigo, o cuando la autoridad decida la declaración en privado de la víctima o el perjudicado, o del testigo en situación de vulnerabilidad</w:t>
      </w:r>
      <w:r w:rsidRPr="00473D98">
        <w:rPr>
          <w:rFonts w:ascii="Times New Roman" w:hAnsi="Times New Roman" w:cs="Times New Roman"/>
          <w:color w:val="002060"/>
          <w:sz w:val="22"/>
          <w:szCs w:val="22"/>
        </w:rPr>
        <w:t>.”</w:t>
      </w:r>
    </w:p>
    <w:p w14:paraId="2A0C5963" w14:textId="674461DC" w:rsidR="006E001B" w:rsidRPr="00473D98" w:rsidRDefault="006E001B"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A su vez, el artículo 278.4 expresa: “</w:t>
      </w:r>
      <w:r w:rsidRPr="00473D98">
        <w:rPr>
          <w:rFonts w:ascii="Times New Roman" w:hAnsi="Times New Roman" w:cs="Times New Roman"/>
          <w:i/>
          <w:iCs/>
          <w:color w:val="002060"/>
          <w:sz w:val="22"/>
          <w:szCs w:val="22"/>
        </w:rPr>
        <w:t>Si al practicarse esta diligencia no se conoce la identidad de la persona que cometió el hecho delictivo o no es habida, se requiere la presencia de un defensor designado de oficio para que asista a dicho acto</w:t>
      </w:r>
      <w:r w:rsidRPr="00473D98">
        <w:rPr>
          <w:rFonts w:ascii="Times New Roman" w:hAnsi="Times New Roman" w:cs="Times New Roman"/>
          <w:color w:val="002060"/>
          <w:sz w:val="22"/>
          <w:szCs w:val="22"/>
        </w:rPr>
        <w:t>.”</w:t>
      </w:r>
    </w:p>
  </w:footnote>
  <w:footnote w:id="25">
    <w:p w14:paraId="7980ADFA" w14:textId="32328334" w:rsidR="00886A81" w:rsidRPr="00473D98" w:rsidRDefault="00886A81"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Argüir que no debe disponerse la nulidad absoluta del testimonio del testigo porque lo que pudiera haber preguntado el imputado o su abogado, de haber estado presentes, se soluciona en una nueva declaración</w:t>
      </w:r>
      <w:r w:rsidR="003C53EC" w:rsidRPr="00473D98">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si aquellos lo solicitaran, equivale a soslayar: 1ro.-que </w:t>
      </w:r>
      <w:r w:rsidR="00B41011" w:rsidRPr="00473D98">
        <w:rPr>
          <w:rFonts w:ascii="Times New Roman" w:hAnsi="Times New Roman" w:cs="Times New Roman"/>
          <w:color w:val="002060"/>
          <w:sz w:val="22"/>
          <w:szCs w:val="22"/>
        </w:rPr>
        <w:t xml:space="preserve">al privarse </w:t>
      </w:r>
      <w:r w:rsidR="007723CD" w:rsidRPr="00473D98">
        <w:rPr>
          <w:rFonts w:ascii="Times New Roman" w:hAnsi="Times New Roman" w:cs="Times New Roman"/>
          <w:color w:val="002060"/>
          <w:sz w:val="22"/>
          <w:szCs w:val="22"/>
        </w:rPr>
        <w:t>a una de las partes del derecho a participar en la toma de declaración</w:t>
      </w:r>
      <w:r w:rsidR="00B41011" w:rsidRPr="00473D98">
        <w:rPr>
          <w:rFonts w:ascii="Times New Roman" w:hAnsi="Times New Roman" w:cs="Times New Roman"/>
          <w:color w:val="002060"/>
          <w:sz w:val="22"/>
          <w:szCs w:val="22"/>
        </w:rPr>
        <w:t>, se viola un derecho constitucional, lo cual obliga al Fiscal a disponer la nulidad absoluta de ese testimonio, no a esperar a que la parte afectada la solicite</w:t>
      </w:r>
      <w:r w:rsidR="007723CD" w:rsidRPr="00473D98">
        <w:rPr>
          <w:rFonts w:ascii="Times New Roman" w:hAnsi="Times New Roman" w:cs="Times New Roman"/>
          <w:color w:val="002060"/>
          <w:sz w:val="22"/>
          <w:szCs w:val="22"/>
        </w:rPr>
        <w:t>; 2do.-que la declaración del testigo, así obtenida, no tiene valor legal, por lo que no puede</w:t>
      </w:r>
      <w:r w:rsidR="008135B0" w:rsidRPr="00473D98">
        <w:rPr>
          <w:rFonts w:ascii="Times New Roman" w:hAnsi="Times New Roman" w:cs="Times New Roman"/>
          <w:color w:val="002060"/>
          <w:sz w:val="22"/>
          <w:szCs w:val="22"/>
        </w:rPr>
        <w:t xml:space="preserve"> simplemente</w:t>
      </w:r>
      <w:r w:rsidR="007723CD" w:rsidRPr="00473D98">
        <w:rPr>
          <w:rFonts w:ascii="Times New Roman" w:hAnsi="Times New Roman" w:cs="Times New Roman"/>
          <w:color w:val="002060"/>
          <w:sz w:val="22"/>
          <w:szCs w:val="22"/>
        </w:rPr>
        <w:t xml:space="preserve"> “ampliarse” </w:t>
      </w:r>
      <w:r w:rsidR="006A1E1A" w:rsidRPr="00473D98">
        <w:rPr>
          <w:rFonts w:ascii="Times New Roman" w:hAnsi="Times New Roman" w:cs="Times New Roman"/>
          <w:color w:val="002060"/>
          <w:sz w:val="22"/>
          <w:szCs w:val="22"/>
        </w:rPr>
        <w:t xml:space="preserve">dado que </w:t>
      </w:r>
      <w:r w:rsidR="007723CD" w:rsidRPr="00473D98">
        <w:rPr>
          <w:rFonts w:ascii="Times New Roman" w:hAnsi="Times New Roman" w:cs="Times New Roman"/>
          <w:color w:val="002060"/>
          <w:sz w:val="22"/>
          <w:szCs w:val="22"/>
        </w:rPr>
        <w:t>ello supondría, implícitamente, valida</w:t>
      </w:r>
      <w:r w:rsidR="00B41011" w:rsidRPr="00473D98">
        <w:rPr>
          <w:rFonts w:ascii="Times New Roman" w:hAnsi="Times New Roman" w:cs="Times New Roman"/>
          <w:color w:val="002060"/>
          <w:sz w:val="22"/>
          <w:szCs w:val="22"/>
        </w:rPr>
        <w:t xml:space="preserve">r de </w:t>
      </w:r>
      <w:r w:rsidR="00B41011" w:rsidRPr="00473D98">
        <w:rPr>
          <w:rFonts w:ascii="Times New Roman" w:hAnsi="Times New Roman" w:cs="Times New Roman"/>
          <w:i/>
          <w:iCs/>
          <w:color w:val="002060"/>
          <w:sz w:val="22"/>
          <w:szCs w:val="22"/>
        </w:rPr>
        <w:t>facto</w:t>
      </w:r>
      <w:r w:rsidR="00B41011" w:rsidRPr="00473D98">
        <w:rPr>
          <w:rFonts w:ascii="Times New Roman" w:hAnsi="Times New Roman" w:cs="Times New Roman"/>
          <w:color w:val="002060"/>
          <w:sz w:val="22"/>
          <w:szCs w:val="22"/>
        </w:rPr>
        <w:t xml:space="preserve"> lo que de </w:t>
      </w:r>
      <w:r w:rsidR="00B41011" w:rsidRPr="00473D98">
        <w:rPr>
          <w:rFonts w:ascii="Times New Roman" w:hAnsi="Times New Roman" w:cs="Times New Roman"/>
          <w:i/>
          <w:iCs/>
          <w:color w:val="002060"/>
          <w:sz w:val="22"/>
          <w:szCs w:val="22"/>
        </w:rPr>
        <w:t>iure</w:t>
      </w:r>
      <w:r w:rsidR="00B41011" w:rsidRPr="00473D98">
        <w:rPr>
          <w:rFonts w:ascii="Times New Roman" w:hAnsi="Times New Roman" w:cs="Times New Roman"/>
          <w:color w:val="002060"/>
          <w:sz w:val="22"/>
          <w:szCs w:val="22"/>
        </w:rPr>
        <w:t xml:space="preserve"> es nulo absoluto</w:t>
      </w:r>
      <w:r w:rsidR="007723CD" w:rsidRPr="00473D98">
        <w:rPr>
          <w:rFonts w:ascii="Times New Roman" w:hAnsi="Times New Roman" w:cs="Times New Roman"/>
          <w:color w:val="002060"/>
          <w:sz w:val="22"/>
          <w:szCs w:val="22"/>
        </w:rPr>
        <w:t>; 3ro.-</w:t>
      </w:r>
      <w:r w:rsidR="00B41011" w:rsidRPr="00473D98">
        <w:rPr>
          <w:rFonts w:ascii="Times New Roman" w:hAnsi="Times New Roman" w:cs="Times New Roman"/>
          <w:color w:val="002060"/>
          <w:sz w:val="22"/>
          <w:szCs w:val="22"/>
        </w:rPr>
        <w:t xml:space="preserve">la nueva declaración podría no estar en correspondencia con la anterior, cuestión que </w:t>
      </w:r>
      <w:r w:rsidR="001560F7" w:rsidRPr="00473D98">
        <w:rPr>
          <w:rFonts w:ascii="Times New Roman" w:hAnsi="Times New Roman" w:cs="Times New Roman"/>
          <w:color w:val="002060"/>
          <w:sz w:val="22"/>
          <w:szCs w:val="22"/>
        </w:rPr>
        <w:t xml:space="preserve">se haría evidente y podría dar </w:t>
      </w:r>
      <w:r w:rsidR="00B41011" w:rsidRPr="00473D98">
        <w:rPr>
          <w:rFonts w:ascii="Times New Roman" w:hAnsi="Times New Roman" w:cs="Times New Roman"/>
          <w:color w:val="002060"/>
          <w:sz w:val="22"/>
          <w:szCs w:val="22"/>
        </w:rPr>
        <w:t>lugar a nuevas diligencias (careos, cuestionamientos al testigo,</w:t>
      </w:r>
      <w:r w:rsidR="001560F7" w:rsidRPr="00473D98">
        <w:rPr>
          <w:rFonts w:ascii="Times New Roman" w:hAnsi="Times New Roman" w:cs="Times New Roman"/>
          <w:color w:val="002060"/>
          <w:sz w:val="22"/>
          <w:szCs w:val="22"/>
        </w:rPr>
        <w:t xml:space="preserve"> nuevos interrogatorios, </w:t>
      </w:r>
      <w:r w:rsidR="00B41011" w:rsidRPr="00473D98">
        <w:rPr>
          <w:rFonts w:ascii="Times New Roman" w:hAnsi="Times New Roman" w:cs="Times New Roman"/>
          <w:color w:val="002060"/>
          <w:sz w:val="22"/>
          <w:szCs w:val="22"/>
        </w:rPr>
        <w:t xml:space="preserve">etc.,) que se evitarían si </w:t>
      </w:r>
      <w:r w:rsidR="001560F7" w:rsidRPr="00473D98">
        <w:rPr>
          <w:rFonts w:ascii="Times New Roman" w:hAnsi="Times New Roman" w:cs="Times New Roman"/>
          <w:color w:val="002060"/>
          <w:sz w:val="22"/>
          <w:szCs w:val="22"/>
        </w:rPr>
        <w:t xml:space="preserve">el </w:t>
      </w:r>
      <w:r w:rsidR="00B41011" w:rsidRPr="00473D98">
        <w:rPr>
          <w:rFonts w:ascii="Times New Roman" w:hAnsi="Times New Roman" w:cs="Times New Roman"/>
          <w:color w:val="002060"/>
          <w:sz w:val="22"/>
          <w:szCs w:val="22"/>
        </w:rPr>
        <w:t xml:space="preserve">primer testimonio </w:t>
      </w:r>
      <w:r w:rsidR="001560F7" w:rsidRPr="00473D98">
        <w:rPr>
          <w:rFonts w:ascii="Times New Roman" w:hAnsi="Times New Roman" w:cs="Times New Roman"/>
          <w:color w:val="002060"/>
          <w:sz w:val="22"/>
          <w:szCs w:val="22"/>
        </w:rPr>
        <w:t xml:space="preserve">hubiese sido extraído </w:t>
      </w:r>
      <w:r w:rsidR="00B41011" w:rsidRPr="00473D98">
        <w:rPr>
          <w:rFonts w:ascii="Times New Roman" w:hAnsi="Times New Roman" w:cs="Times New Roman"/>
          <w:color w:val="002060"/>
          <w:sz w:val="22"/>
          <w:szCs w:val="22"/>
        </w:rPr>
        <w:t xml:space="preserve">del proceso después de ser declarado nulo. </w:t>
      </w:r>
    </w:p>
  </w:footnote>
  <w:footnote w:id="26">
    <w:p w14:paraId="137068CF" w14:textId="1E8FE965" w:rsidR="008F58FE" w:rsidRPr="00473D98" w:rsidRDefault="008F58FE"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El hecho de que la no información de este derecho se considere una formalidad insoslayable de la legalidad del registro domiciliario, parece estar basada en la posibilidad de que el consentimiento del morador quede viciado por desconocimiento de ese derecho.</w:t>
      </w:r>
      <w:r w:rsidR="005C50EF" w:rsidRPr="00473D98">
        <w:rPr>
          <w:rFonts w:ascii="Times New Roman" w:hAnsi="Times New Roman" w:cs="Times New Roman"/>
          <w:color w:val="002060"/>
          <w:sz w:val="22"/>
          <w:szCs w:val="22"/>
        </w:rPr>
        <w:t xml:space="preserve"> En tal sentido, se han dado casos en los que el morador, luego del registro, ha expresado que de haber sabido que podía negarse a su </w:t>
      </w:r>
      <w:r w:rsidR="00082924" w:rsidRPr="00473D98">
        <w:rPr>
          <w:rFonts w:ascii="Times New Roman" w:hAnsi="Times New Roman" w:cs="Times New Roman"/>
          <w:color w:val="002060"/>
          <w:sz w:val="22"/>
          <w:szCs w:val="22"/>
        </w:rPr>
        <w:t>realización, no</w:t>
      </w:r>
      <w:r w:rsidR="005C50EF" w:rsidRPr="00473D98">
        <w:rPr>
          <w:rFonts w:ascii="Times New Roman" w:hAnsi="Times New Roman" w:cs="Times New Roman"/>
          <w:color w:val="002060"/>
          <w:sz w:val="22"/>
          <w:szCs w:val="22"/>
        </w:rPr>
        <w:t xml:space="preserve"> lo habría consentido.</w:t>
      </w:r>
    </w:p>
    <w:p w14:paraId="48E2B58E" w14:textId="108787EA" w:rsidR="00082924" w:rsidRPr="00473D98" w:rsidRDefault="00082924" w:rsidP="00473D98">
      <w:pPr>
        <w:pStyle w:val="Textonotapie"/>
        <w:spacing w:line="240" w:lineRule="atLeast"/>
        <w:contextualSpacing/>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Se ha discutido la relevancia legal del conocimiento de ese derecho en los casos en que el morador habría consentido la ejecución del registro domiciliario con independencia de que hubiera sabido o no que tenía derecho a negarse.</w:t>
      </w:r>
    </w:p>
  </w:footnote>
  <w:footnote w:id="27">
    <w:p w14:paraId="312D2858" w14:textId="3DB8A3F0" w:rsidR="004C619C" w:rsidRPr="00473D98" w:rsidRDefault="004C619C" w:rsidP="00473D98">
      <w:pPr>
        <w:pStyle w:val="Textonotapie"/>
        <w:spacing w:line="240" w:lineRule="atLeast"/>
        <w:contextualSpacing/>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w:t>
      </w:r>
      <w:r w:rsidR="004068C7" w:rsidRPr="00473D98">
        <w:rPr>
          <w:rFonts w:ascii="Times New Roman" w:hAnsi="Times New Roman" w:cs="Times New Roman"/>
          <w:color w:val="002060"/>
          <w:sz w:val="22"/>
          <w:szCs w:val="22"/>
        </w:rPr>
        <w:t>Si el instructor omite consignar en el acta de registro todos los objetos ocupados durante esta diligencia, o parte de ellos, pero los relaciona en un acta de ocupación, no es procedente decretar la nulidad absoluta ni relativa del registro domiciliario, sino aclarar -mediante acta- el error en el que se incurrió.</w:t>
      </w:r>
      <w:r w:rsidR="00841177" w:rsidRPr="00473D98">
        <w:rPr>
          <w:rFonts w:ascii="Times New Roman" w:hAnsi="Times New Roman" w:cs="Times New Roman"/>
          <w:color w:val="002060"/>
          <w:sz w:val="22"/>
          <w:szCs w:val="22"/>
        </w:rPr>
        <w:t xml:space="preserve"> </w:t>
      </w:r>
      <w:r w:rsidR="004068C7" w:rsidRPr="00473D98">
        <w:rPr>
          <w:rFonts w:ascii="Times New Roman" w:hAnsi="Times New Roman" w:cs="Times New Roman"/>
          <w:color w:val="002060"/>
          <w:sz w:val="22"/>
          <w:szCs w:val="22"/>
        </w:rPr>
        <w:t>Véase al respecto lo establecido en la DISPOSICIÓN ESPECIAL 3ra</w:t>
      </w:r>
      <w:r w:rsidR="00940537" w:rsidRPr="00473D98">
        <w:rPr>
          <w:rFonts w:ascii="Times New Roman" w:hAnsi="Times New Roman" w:cs="Times New Roman"/>
          <w:color w:val="002060"/>
          <w:sz w:val="22"/>
          <w:szCs w:val="22"/>
        </w:rPr>
        <w:t>, 2do párrafo,</w:t>
      </w:r>
      <w:r w:rsidR="004068C7" w:rsidRPr="00473D98">
        <w:rPr>
          <w:rFonts w:ascii="Times New Roman" w:hAnsi="Times New Roman" w:cs="Times New Roman"/>
          <w:color w:val="002060"/>
          <w:sz w:val="22"/>
          <w:szCs w:val="22"/>
        </w:rPr>
        <w:t xml:space="preserve"> de la Ley 143.</w:t>
      </w:r>
      <w:r w:rsidRPr="00473D98">
        <w:rPr>
          <w:rFonts w:ascii="Times New Roman" w:hAnsi="Times New Roman" w:cs="Times New Roman"/>
          <w:color w:val="002060"/>
          <w:sz w:val="22"/>
          <w:szCs w:val="22"/>
        </w:rPr>
        <w:t xml:space="preserve"> </w:t>
      </w:r>
    </w:p>
  </w:footnote>
  <w:footnote w:id="28">
    <w:p w14:paraId="73CAB727" w14:textId="2EB46A23" w:rsidR="00827232" w:rsidRDefault="00473D98" w:rsidP="00473D98">
      <w:pPr>
        <w:pStyle w:val="Textonotapie"/>
        <w:jc w:val="both"/>
        <w:rPr>
          <w:rFonts w:ascii="Times New Roman" w:hAnsi="Times New Roman" w:cs="Times New Roman"/>
          <w:color w:val="002060"/>
          <w:sz w:val="22"/>
          <w:szCs w:val="22"/>
        </w:rPr>
      </w:pPr>
      <w:r w:rsidRPr="00473D98">
        <w:rPr>
          <w:rStyle w:val="Refdenotaalpie"/>
          <w:rFonts w:ascii="Times New Roman" w:hAnsi="Times New Roman" w:cs="Times New Roman"/>
          <w:color w:val="002060"/>
          <w:sz w:val="22"/>
          <w:szCs w:val="22"/>
        </w:rPr>
        <w:footnoteRef/>
      </w:r>
      <w:r w:rsidRPr="00473D98">
        <w:rPr>
          <w:rFonts w:ascii="Times New Roman" w:hAnsi="Times New Roman" w:cs="Times New Roman"/>
          <w:color w:val="002060"/>
          <w:sz w:val="22"/>
          <w:szCs w:val="22"/>
        </w:rPr>
        <w:t xml:space="preserve"> En ciertos casos, la</w:t>
      </w:r>
      <w:r>
        <w:rPr>
          <w:rFonts w:ascii="Times New Roman" w:hAnsi="Times New Roman" w:cs="Times New Roman"/>
          <w:color w:val="002060"/>
          <w:sz w:val="22"/>
          <w:szCs w:val="22"/>
        </w:rPr>
        <w:t xml:space="preserve">s circunstancias </w:t>
      </w:r>
      <w:r w:rsidR="004064EB">
        <w:rPr>
          <w:rFonts w:ascii="Times New Roman" w:hAnsi="Times New Roman" w:cs="Times New Roman"/>
          <w:color w:val="002060"/>
          <w:sz w:val="22"/>
          <w:szCs w:val="22"/>
        </w:rPr>
        <w:t xml:space="preserve">apremiantes o imprevistas </w:t>
      </w:r>
      <w:r>
        <w:rPr>
          <w:rFonts w:ascii="Times New Roman" w:hAnsi="Times New Roman" w:cs="Times New Roman"/>
          <w:color w:val="002060"/>
          <w:sz w:val="22"/>
          <w:szCs w:val="22"/>
        </w:rPr>
        <w:t xml:space="preserve">en que se ocupa </w:t>
      </w:r>
      <w:r w:rsidRPr="00473D98">
        <w:rPr>
          <w:rFonts w:ascii="Times New Roman" w:hAnsi="Times New Roman" w:cs="Times New Roman"/>
          <w:color w:val="002060"/>
          <w:sz w:val="22"/>
          <w:szCs w:val="22"/>
        </w:rPr>
        <w:t>un celular u otro equipo digital</w:t>
      </w:r>
      <w:r w:rsidR="009C676B">
        <w:rPr>
          <w:rFonts w:ascii="Times New Roman" w:hAnsi="Times New Roman" w:cs="Times New Roman"/>
          <w:color w:val="002060"/>
          <w:sz w:val="22"/>
          <w:szCs w:val="22"/>
        </w:rPr>
        <w:t>,</w:t>
      </w:r>
      <w:r w:rsidRPr="00473D98">
        <w:rPr>
          <w:rFonts w:ascii="Times New Roman" w:hAnsi="Times New Roman" w:cs="Times New Roman"/>
          <w:color w:val="002060"/>
          <w:sz w:val="22"/>
          <w:szCs w:val="22"/>
        </w:rPr>
        <w:t xml:space="preserve"> que contenga correspondencia o comunicación </w:t>
      </w:r>
      <w:r>
        <w:rPr>
          <w:rFonts w:ascii="Times New Roman" w:hAnsi="Times New Roman" w:cs="Times New Roman"/>
          <w:color w:val="002060"/>
          <w:sz w:val="22"/>
          <w:szCs w:val="22"/>
        </w:rPr>
        <w:t xml:space="preserve">privadas </w:t>
      </w:r>
      <w:r w:rsidRPr="00473D98">
        <w:rPr>
          <w:rFonts w:ascii="Times New Roman" w:hAnsi="Times New Roman" w:cs="Times New Roman"/>
          <w:color w:val="002060"/>
          <w:sz w:val="22"/>
          <w:szCs w:val="22"/>
        </w:rPr>
        <w:t>asociada al delito, puede</w:t>
      </w:r>
      <w:r>
        <w:rPr>
          <w:rFonts w:ascii="Times New Roman" w:hAnsi="Times New Roman" w:cs="Times New Roman"/>
          <w:color w:val="002060"/>
          <w:sz w:val="22"/>
          <w:szCs w:val="22"/>
        </w:rPr>
        <w:t xml:space="preserve">n chocar con la exigencia </w:t>
      </w:r>
      <w:r w:rsidRPr="00473D98">
        <w:rPr>
          <w:rFonts w:ascii="Times New Roman" w:hAnsi="Times New Roman" w:cs="Times New Roman"/>
          <w:color w:val="002060"/>
          <w:sz w:val="22"/>
          <w:szCs w:val="22"/>
        </w:rPr>
        <w:t xml:space="preserve">de legalización </w:t>
      </w:r>
      <w:r>
        <w:rPr>
          <w:rFonts w:ascii="Times New Roman" w:hAnsi="Times New Roman" w:cs="Times New Roman"/>
          <w:color w:val="002060"/>
          <w:sz w:val="22"/>
          <w:szCs w:val="22"/>
        </w:rPr>
        <w:t xml:space="preserve">prevista en </w:t>
      </w:r>
      <w:r w:rsidRPr="00473D98">
        <w:rPr>
          <w:rFonts w:ascii="Times New Roman" w:hAnsi="Times New Roman" w:cs="Times New Roman"/>
          <w:color w:val="002060"/>
          <w:sz w:val="22"/>
          <w:szCs w:val="22"/>
        </w:rPr>
        <w:t>el 322 de la Ley adjetiva. En rigor legal, el mero acto de ocupación del equipo, no constituye “</w:t>
      </w:r>
      <w:r w:rsidRPr="00473D98">
        <w:rPr>
          <w:rFonts w:ascii="Times New Roman" w:hAnsi="Times New Roman" w:cs="Times New Roman"/>
          <w:i/>
          <w:iCs/>
          <w:color w:val="002060"/>
          <w:sz w:val="22"/>
          <w:szCs w:val="22"/>
        </w:rPr>
        <w:t>per se</w:t>
      </w:r>
      <w:r w:rsidRPr="00473D98">
        <w:rPr>
          <w:rFonts w:ascii="Times New Roman" w:hAnsi="Times New Roman" w:cs="Times New Roman"/>
          <w:color w:val="002060"/>
          <w:sz w:val="22"/>
          <w:szCs w:val="22"/>
        </w:rPr>
        <w:t xml:space="preserve">” la intercepción de la correspondencia, </w:t>
      </w:r>
      <w:r w:rsidR="004064EB">
        <w:rPr>
          <w:rFonts w:ascii="Times New Roman" w:hAnsi="Times New Roman" w:cs="Times New Roman"/>
          <w:color w:val="002060"/>
          <w:sz w:val="22"/>
          <w:szCs w:val="22"/>
        </w:rPr>
        <w:t xml:space="preserve">sino tan solo del soporte </w:t>
      </w:r>
      <w:r w:rsidR="006B3447">
        <w:rPr>
          <w:rFonts w:ascii="Times New Roman" w:hAnsi="Times New Roman" w:cs="Times New Roman"/>
          <w:color w:val="002060"/>
          <w:sz w:val="22"/>
          <w:szCs w:val="22"/>
        </w:rPr>
        <w:t xml:space="preserve">material </w:t>
      </w:r>
      <w:r w:rsidR="004064EB">
        <w:rPr>
          <w:rFonts w:ascii="Times New Roman" w:hAnsi="Times New Roman" w:cs="Times New Roman"/>
          <w:color w:val="002060"/>
          <w:sz w:val="22"/>
          <w:szCs w:val="22"/>
        </w:rPr>
        <w:t xml:space="preserve">por el que se tiene acceso a un mundo digital que contiene mucha más información que la que se </w:t>
      </w:r>
      <w:r w:rsidR="009C676B">
        <w:rPr>
          <w:rFonts w:ascii="Times New Roman" w:hAnsi="Times New Roman" w:cs="Times New Roman"/>
          <w:color w:val="002060"/>
          <w:sz w:val="22"/>
          <w:szCs w:val="22"/>
        </w:rPr>
        <w:t xml:space="preserve">conceptúa </w:t>
      </w:r>
      <w:r w:rsidR="004064EB">
        <w:rPr>
          <w:rFonts w:ascii="Times New Roman" w:hAnsi="Times New Roman" w:cs="Times New Roman"/>
          <w:color w:val="002060"/>
          <w:sz w:val="22"/>
          <w:szCs w:val="22"/>
        </w:rPr>
        <w:t xml:space="preserve">como </w:t>
      </w:r>
      <w:r w:rsidR="004064EB" w:rsidRPr="004064EB">
        <w:rPr>
          <w:rFonts w:ascii="Times New Roman" w:hAnsi="Times New Roman" w:cs="Times New Roman"/>
          <w:i/>
          <w:iCs/>
          <w:color w:val="002060"/>
          <w:sz w:val="22"/>
          <w:szCs w:val="22"/>
        </w:rPr>
        <w:t>correspondencia</w:t>
      </w:r>
      <w:r w:rsidR="009C676B">
        <w:rPr>
          <w:rFonts w:ascii="Times New Roman" w:hAnsi="Times New Roman" w:cs="Times New Roman"/>
          <w:i/>
          <w:iCs/>
          <w:color w:val="002060"/>
          <w:sz w:val="22"/>
          <w:szCs w:val="22"/>
        </w:rPr>
        <w:t xml:space="preserve"> privada</w:t>
      </w:r>
      <w:r w:rsidR="004064EB">
        <w:rPr>
          <w:rFonts w:ascii="Times New Roman" w:hAnsi="Times New Roman" w:cs="Times New Roman"/>
          <w:color w:val="002060"/>
          <w:sz w:val="22"/>
          <w:szCs w:val="22"/>
        </w:rPr>
        <w:t xml:space="preserve">. En tal caso, </w:t>
      </w:r>
      <w:r w:rsidRPr="00473D98">
        <w:rPr>
          <w:rFonts w:ascii="Times New Roman" w:hAnsi="Times New Roman" w:cs="Times New Roman"/>
          <w:color w:val="002060"/>
          <w:sz w:val="22"/>
          <w:szCs w:val="22"/>
        </w:rPr>
        <w:t xml:space="preserve">no se exigiría auto del instructor. </w:t>
      </w:r>
      <w:r w:rsidR="00A0221A">
        <w:rPr>
          <w:rFonts w:ascii="Times New Roman" w:hAnsi="Times New Roman" w:cs="Times New Roman"/>
          <w:color w:val="002060"/>
          <w:sz w:val="22"/>
          <w:szCs w:val="22"/>
        </w:rPr>
        <w:t xml:space="preserve">Si se observa, la ocupación </w:t>
      </w:r>
      <w:r w:rsidR="00CF4EA4">
        <w:rPr>
          <w:rFonts w:ascii="Times New Roman" w:hAnsi="Times New Roman" w:cs="Times New Roman"/>
          <w:color w:val="002060"/>
          <w:sz w:val="22"/>
          <w:szCs w:val="22"/>
        </w:rPr>
        <w:t xml:space="preserve">del celular </w:t>
      </w:r>
      <w:r w:rsidR="00A0221A">
        <w:rPr>
          <w:rFonts w:ascii="Times New Roman" w:hAnsi="Times New Roman" w:cs="Times New Roman"/>
          <w:color w:val="002060"/>
          <w:sz w:val="22"/>
          <w:szCs w:val="22"/>
        </w:rPr>
        <w:t xml:space="preserve">puede </w:t>
      </w:r>
      <w:r w:rsidR="0005189F">
        <w:rPr>
          <w:rFonts w:ascii="Times New Roman" w:hAnsi="Times New Roman" w:cs="Times New Roman"/>
          <w:color w:val="002060"/>
          <w:sz w:val="22"/>
          <w:szCs w:val="22"/>
        </w:rPr>
        <w:t>realizarse con</w:t>
      </w:r>
      <w:r w:rsidR="00CF4EA4">
        <w:rPr>
          <w:rFonts w:ascii="Times New Roman" w:hAnsi="Times New Roman" w:cs="Times New Roman"/>
          <w:color w:val="002060"/>
          <w:sz w:val="22"/>
          <w:szCs w:val="22"/>
        </w:rPr>
        <w:t xml:space="preserve"> el </w:t>
      </w:r>
      <w:r w:rsidR="004D1E1E">
        <w:rPr>
          <w:rFonts w:ascii="Times New Roman" w:hAnsi="Times New Roman" w:cs="Times New Roman"/>
          <w:color w:val="002060"/>
          <w:sz w:val="22"/>
          <w:szCs w:val="22"/>
        </w:rPr>
        <w:t xml:space="preserve">propósito </w:t>
      </w:r>
      <w:r w:rsidR="00CF4EA4">
        <w:rPr>
          <w:rFonts w:ascii="Times New Roman" w:hAnsi="Times New Roman" w:cs="Times New Roman"/>
          <w:color w:val="002060"/>
          <w:sz w:val="22"/>
          <w:szCs w:val="22"/>
        </w:rPr>
        <w:t xml:space="preserve">de obtener </w:t>
      </w:r>
      <w:r w:rsidR="00827232">
        <w:rPr>
          <w:rFonts w:ascii="Times New Roman" w:hAnsi="Times New Roman" w:cs="Times New Roman"/>
          <w:color w:val="002060"/>
          <w:sz w:val="22"/>
          <w:szCs w:val="22"/>
        </w:rPr>
        <w:t>filmaciones</w:t>
      </w:r>
      <w:r w:rsidR="00CF4EA4">
        <w:rPr>
          <w:rFonts w:ascii="Times New Roman" w:hAnsi="Times New Roman" w:cs="Times New Roman"/>
          <w:color w:val="002060"/>
          <w:sz w:val="22"/>
          <w:szCs w:val="22"/>
        </w:rPr>
        <w:t xml:space="preserve"> o grabaciones</w:t>
      </w:r>
      <w:r w:rsidR="00827232">
        <w:rPr>
          <w:rFonts w:ascii="Times New Roman" w:hAnsi="Times New Roman" w:cs="Times New Roman"/>
          <w:color w:val="002060"/>
          <w:sz w:val="22"/>
          <w:szCs w:val="22"/>
        </w:rPr>
        <w:t xml:space="preserve">, las cuales no son </w:t>
      </w:r>
      <w:r w:rsidR="00827232" w:rsidRPr="00827232">
        <w:rPr>
          <w:rFonts w:ascii="Times New Roman" w:hAnsi="Times New Roman" w:cs="Times New Roman"/>
          <w:i/>
          <w:iCs/>
          <w:color w:val="002060"/>
          <w:sz w:val="22"/>
          <w:szCs w:val="22"/>
        </w:rPr>
        <w:t>strictu sensu</w:t>
      </w:r>
      <w:r w:rsidR="00827232">
        <w:rPr>
          <w:rFonts w:ascii="Times New Roman" w:hAnsi="Times New Roman" w:cs="Times New Roman"/>
          <w:color w:val="002060"/>
          <w:sz w:val="22"/>
          <w:szCs w:val="22"/>
        </w:rPr>
        <w:t xml:space="preserve"> correspondencia ni comunicación privadas, y respecto a las cuales la Ley adjetiva, en sus artículos del 325 al 326, no exige resolución fundada de ninguna autoridad.  </w:t>
      </w:r>
    </w:p>
    <w:p w14:paraId="33E61B2A" w14:textId="06456C1E" w:rsidR="00473D98" w:rsidRPr="00473D98" w:rsidRDefault="00473D98" w:rsidP="00473D98">
      <w:pPr>
        <w:pStyle w:val="Textonotapie"/>
        <w:jc w:val="both"/>
        <w:rPr>
          <w:rFonts w:ascii="Times New Roman" w:hAnsi="Times New Roman" w:cs="Times New Roman"/>
          <w:color w:val="002060"/>
          <w:sz w:val="22"/>
          <w:szCs w:val="22"/>
        </w:rPr>
      </w:pPr>
      <w:r w:rsidRPr="00473D98">
        <w:rPr>
          <w:rFonts w:ascii="Times New Roman" w:hAnsi="Times New Roman" w:cs="Times New Roman"/>
          <w:color w:val="002060"/>
          <w:sz w:val="22"/>
          <w:szCs w:val="22"/>
        </w:rPr>
        <w:t xml:space="preserve">Sin embargo, </w:t>
      </w:r>
      <w:r w:rsidR="004064EB">
        <w:rPr>
          <w:rFonts w:ascii="Times New Roman" w:hAnsi="Times New Roman" w:cs="Times New Roman"/>
          <w:color w:val="002060"/>
          <w:sz w:val="22"/>
          <w:szCs w:val="22"/>
        </w:rPr>
        <w:t>cualquier acceso al universo digital a través del equipo</w:t>
      </w:r>
      <w:r w:rsidR="0005189F">
        <w:rPr>
          <w:rFonts w:ascii="Times New Roman" w:hAnsi="Times New Roman" w:cs="Times New Roman"/>
          <w:color w:val="002060"/>
          <w:sz w:val="22"/>
          <w:szCs w:val="22"/>
        </w:rPr>
        <w:t xml:space="preserve"> ocupado</w:t>
      </w:r>
      <w:r w:rsidR="004064EB">
        <w:rPr>
          <w:rFonts w:ascii="Times New Roman" w:hAnsi="Times New Roman" w:cs="Times New Roman"/>
          <w:color w:val="002060"/>
          <w:sz w:val="22"/>
          <w:szCs w:val="22"/>
        </w:rPr>
        <w:t xml:space="preserve">, con el fin de observar si hay correspondencia o comunicación privadas, supone ya </w:t>
      </w:r>
      <w:r w:rsidR="005D70C7">
        <w:rPr>
          <w:rFonts w:ascii="Times New Roman" w:hAnsi="Times New Roman" w:cs="Times New Roman"/>
          <w:color w:val="002060"/>
          <w:sz w:val="22"/>
          <w:szCs w:val="22"/>
        </w:rPr>
        <w:t xml:space="preserve">-en tales circunstancias- </w:t>
      </w:r>
      <w:r w:rsidR="004064EB">
        <w:rPr>
          <w:rFonts w:ascii="Times New Roman" w:hAnsi="Times New Roman" w:cs="Times New Roman"/>
          <w:color w:val="002060"/>
          <w:sz w:val="22"/>
          <w:szCs w:val="22"/>
        </w:rPr>
        <w:t xml:space="preserve">un acto de intercepción de aquellas, por lo que se exigiría resolución fundada del instructor, tal como </w:t>
      </w:r>
      <w:r w:rsidR="006B3447">
        <w:rPr>
          <w:rFonts w:ascii="Times New Roman" w:hAnsi="Times New Roman" w:cs="Times New Roman"/>
          <w:color w:val="002060"/>
          <w:sz w:val="22"/>
          <w:szCs w:val="22"/>
        </w:rPr>
        <w:t xml:space="preserve">establece </w:t>
      </w:r>
      <w:r w:rsidR="004064EB">
        <w:rPr>
          <w:rFonts w:ascii="Times New Roman" w:hAnsi="Times New Roman" w:cs="Times New Roman"/>
          <w:color w:val="002060"/>
          <w:sz w:val="22"/>
          <w:szCs w:val="22"/>
        </w:rPr>
        <w:t xml:space="preserve">el artículo 322 de la Ley adjetiva. De más está decir que </w:t>
      </w:r>
      <w:r w:rsidR="005D70C7">
        <w:rPr>
          <w:rFonts w:ascii="Times New Roman" w:hAnsi="Times New Roman" w:cs="Times New Roman"/>
          <w:color w:val="002060"/>
          <w:sz w:val="22"/>
          <w:szCs w:val="22"/>
        </w:rPr>
        <w:t>tener acceso al contenido mismo de la correspondencia demanda autorización del fiscal.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747"/>
    <w:multiLevelType w:val="hybridMultilevel"/>
    <w:tmpl w:val="6C7660C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6383EF5"/>
    <w:multiLevelType w:val="hybridMultilevel"/>
    <w:tmpl w:val="B2D65E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DB7694B"/>
    <w:multiLevelType w:val="hybridMultilevel"/>
    <w:tmpl w:val="2EBE9B6E"/>
    <w:lvl w:ilvl="0" w:tplc="0C0A000F">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 w15:restartNumberingAfterBreak="0">
    <w:nsid w:val="10663CEB"/>
    <w:multiLevelType w:val="hybridMultilevel"/>
    <w:tmpl w:val="6346085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1437189"/>
    <w:multiLevelType w:val="hybridMultilevel"/>
    <w:tmpl w:val="F4C4B7CE"/>
    <w:lvl w:ilvl="0" w:tplc="E104F3F0">
      <w:start w:val="1"/>
      <w:numFmt w:val="lowerLetter"/>
      <w:lvlText w:val="%1)"/>
      <w:lvlJc w:val="left"/>
      <w:pPr>
        <w:ind w:left="862" w:hanging="360"/>
      </w:pPr>
      <w:rPr>
        <w:rFonts w:hint="default"/>
        <w:b w:val="0"/>
        <w:bCs w:val="0"/>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5" w15:restartNumberingAfterBreak="0">
    <w:nsid w:val="11BF02F6"/>
    <w:multiLevelType w:val="hybridMultilevel"/>
    <w:tmpl w:val="482A0688"/>
    <w:lvl w:ilvl="0" w:tplc="00E6EB88">
      <w:start w:val="1"/>
      <w:numFmt w:val="decimal"/>
      <w:lvlText w:val="%1."/>
      <w:lvlJc w:val="left"/>
      <w:pPr>
        <w:ind w:left="502" w:hanging="360"/>
      </w:pPr>
      <w:rPr>
        <w:rFonts w:hint="default"/>
        <w:b w:val="0"/>
        <w:bCs w:val="0"/>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6" w15:restartNumberingAfterBreak="0">
    <w:nsid w:val="13862A87"/>
    <w:multiLevelType w:val="hybridMultilevel"/>
    <w:tmpl w:val="E1EA72E6"/>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7" w15:restartNumberingAfterBreak="0">
    <w:nsid w:val="16557570"/>
    <w:multiLevelType w:val="hybridMultilevel"/>
    <w:tmpl w:val="2D1CDAB6"/>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 w15:restartNumberingAfterBreak="0">
    <w:nsid w:val="1B8E4DE3"/>
    <w:multiLevelType w:val="hybridMultilevel"/>
    <w:tmpl w:val="78609924"/>
    <w:lvl w:ilvl="0" w:tplc="8EE68AC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 w15:restartNumberingAfterBreak="0">
    <w:nsid w:val="1C3001F1"/>
    <w:multiLevelType w:val="hybridMultilevel"/>
    <w:tmpl w:val="5A7004F6"/>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0" w15:restartNumberingAfterBreak="0">
    <w:nsid w:val="1C6046E8"/>
    <w:multiLevelType w:val="hybridMultilevel"/>
    <w:tmpl w:val="87A07C6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FE8404F"/>
    <w:multiLevelType w:val="hybridMultilevel"/>
    <w:tmpl w:val="754EC860"/>
    <w:lvl w:ilvl="0" w:tplc="99C6DDD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06042FD"/>
    <w:multiLevelType w:val="hybridMultilevel"/>
    <w:tmpl w:val="21A03B8E"/>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480DB9"/>
    <w:multiLevelType w:val="hybridMultilevel"/>
    <w:tmpl w:val="37182378"/>
    <w:lvl w:ilvl="0" w:tplc="3622487A">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96951ED"/>
    <w:multiLevelType w:val="hybridMultilevel"/>
    <w:tmpl w:val="040E0B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A8F7644"/>
    <w:multiLevelType w:val="hybridMultilevel"/>
    <w:tmpl w:val="7D767774"/>
    <w:lvl w:ilvl="0" w:tplc="0C0A0017">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6" w15:restartNumberingAfterBreak="0">
    <w:nsid w:val="2FEF1BC2"/>
    <w:multiLevelType w:val="hybridMultilevel"/>
    <w:tmpl w:val="8CF4FAA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7" w15:restartNumberingAfterBreak="0">
    <w:nsid w:val="316366A5"/>
    <w:multiLevelType w:val="hybridMultilevel"/>
    <w:tmpl w:val="156E7022"/>
    <w:lvl w:ilvl="0" w:tplc="0C0A0017">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8" w15:restartNumberingAfterBreak="0">
    <w:nsid w:val="31D44635"/>
    <w:multiLevelType w:val="hybridMultilevel"/>
    <w:tmpl w:val="4AD2F32E"/>
    <w:lvl w:ilvl="0" w:tplc="C93E0810">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321A4F33"/>
    <w:multiLevelType w:val="hybridMultilevel"/>
    <w:tmpl w:val="2CB21078"/>
    <w:lvl w:ilvl="0" w:tplc="516C2E78">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0" w15:restartNumberingAfterBreak="0">
    <w:nsid w:val="32E8290B"/>
    <w:multiLevelType w:val="hybridMultilevel"/>
    <w:tmpl w:val="239ECD2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1" w15:restartNumberingAfterBreak="0">
    <w:nsid w:val="35CB5FD8"/>
    <w:multiLevelType w:val="hybridMultilevel"/>
    <w:tmpl w:val="2C063C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2" w15:restartNumberingAfterBreak="0">
    <w:nsid w:val="3F7D6886"/>
    <w:multiLevelType w:val="hybridMultilevel"/>
    <w:tmpl w:val="55C27586"/>
    <w:lvl w:ilvl="0" w:tplc="1D442016">
      <w:start w:val="1"/>
      <w:numFmt w:val="lowerLetter"/>
      <w:lvlText w:val="%1)"/>
      <w:lvlJc w:val="left"/>
      <w:pPr>
        <w:ind w:left="720" w:hanging="360"/>
      </w:pPr>
      <w:rPr>
        <w:rFonts w:hint="default"/>
        <w:b w:val="0"/>
        <w:bCs/>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02E5A28"/>
    <w:multiLevelType w:val="hybridMultilevel"/>
    <w:tmpl w:val="F842C23E"/>
    <w:lvl w:ilvl="0" w:tplc="6A1A0256">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15:restartNumberingAfterBreak="0">
    <w:nsid w:val="497857F1"/>
    <w:multiLevelType w:val="hybridMultilevel"/>
    <w:tmpl w:val="C6EAB46E"/>
    <w:lvl w:ilvl="0" w:tplc="EFD6A72C">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5" w15:restartNumberingAfterBreak="0">
    <w:nsid w:val="4E747B41"/>
    <w:multiLevelType w:val="hybridMultilevel"/>
    <w:tmpl w:val="784C8F0E"/>
    <w:lvl w:ilvl="0" w:tplc="AEF45AA4">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ECB77F3"/>
    <w:multiLevelType w:val="hybridMultilevel"/>
    <w:tmpl w:val="2C063C64"/>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15:restartNumberingAfterBreak="0">
    <w:nsid w:val="50F6225C"/>
    <w:multiLevelType w:val="hybridMultilevel"/>
    <w:tmpl w:val="C2C455EE"/>
    <w:lvl w:ilvl="0" w:tplc="08C26190">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55BA05AD"/>
    <w:multiLevelType w:val="hybridMultilevel"/>
    <w:tmpl w:val="49582F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B354FAC"/>
    <w:multiLevelType w:val="hybridMultilevel"/>
    <w:tmpl w:val="32EE2EEA"/>
    <w:lvl w:ilvl="0" w:tplc="0C0A000D">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30" w15:restartNumberingAfterBreak="0">
    <w:nsid w:val="5E3E4D51"/>
    <w:multiLevelType w:val="hybridMultilevel"/>
    <w:tmpl w:val="9C642DDE"/>
    <w:lvl w:ilvl="0" w:tplc="FD06663E">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1" w15:restartNumberingAfterBreak="0">
    <w:nsid w:val="60B9636E"/>
    <w:multiLevelType w:val="hybridMultilevel"/>
    <w:tmpl w:val="B3A65BC4"/>
    <w:lvl w:ilvl="0" w:tplc="12A224E4">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2" w15:restartNumberingAfterBreak="0">
    <w:nsid w:val="639B0D50"/>
    <w:multiLevelType w:val="hybridMultilevel"/>
    <w:tmpl w:val="3EE8A9C0"/>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3" w15:restartNumberingAfterBreak="0">
    <w:nsid w:val="64D342BC"/>
    <w:multiLevelType w:val="hybridMultilevel"/>
    <w:tmpl w:val="385452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4" w15:restartNumberingAfterBreak="0">
    <w:nsid w:val="667D2829"/>
    <w:multiLevelType w:val="hybridMultilevel"/>
    <w:tmpl w:val="7E40C60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6B503DF"/>
    <w:multiLevelType w:val="hybridMultilevel"/>
    <w:tmpl w:val="7F066AB2"/>
    <w:lvl w:ilvl="0" w:tplc="C23E7824">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6" w15:restartNumberingAfterBreak="0">
    <w:nsid w:val="689860D1"/>
    <w:multiLevelType w:val="hybridMultilevel"/>
    <w:tmpl w:val="DBA4AD90"/>
    <w:lvl w:ilvl="0" w:tplc="7DE2CCD0">
      <w:start w:val="1"/>
      <w:numFmt w:val="lowerLetter"/>
      <w:lvlText w:val="%1)"/>
      <w:lvlJc w:val="left"/>
      <w:pPr>
        <w:ind w:left="1004" w:hanging="360"/>
      </w:pPr>
      <w:rPr>
        <w:rFonts w:hint="default"/>
      </w:r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37" w15:restartNumberingAfterBreak="0">
    <w:nsid w:val="6EC95F0A"/>
    <w:multiLevelType w:val="hybridMultilevel"/>
    <w:tmpl w:val="59AA2C3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F096AE2"/>
    <w:multiLevelType w:val="hybridMultilevel"/>
    <w:tmpl w:val="60BA1424"/>
    <w:lvl w:ilvl="0" w:tplc="0C0A000F">
      <w:start w:val="1"/>
      <w:numFmt w:val="decimal"/>
      <w:lvlText w:val="%1."/>
      <w:lvlJc w:val="left"/>
      <w:pPr>
        <w:ind w:left="360" w:hanging="360"/>
      </w:pPr>
      <w:rPr>
        <w:rFonts w:hint="default"/>
        <w:b w:val="0"/>
        <w:bCs/>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1AB6DC2"/>
    <w:multiLevelType w:val="hybridMultilevel"/>
    <w:tmpl w:val="BB6004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2660B5A"/>
    <w:multiLevelType w:val="hybridMultilevel"/>
    <w:tmpl w:val="5DA0157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68B1245"/>
    <w:multiLevelType w:val="hybridMultilevel"/>
    <w:tmpl w:val="50DA379E"/>
    <w:lvl w:ilvl="0" w:tplc="20827AD2">
      <w:start w:val="1"/>
      <w:numFmt w:val="lowerLetter"/>
      <w:lvlText w:val="%1)"/>
      <w:lvlJc w:val="left"/>
      <w:pPr>
        <w:ind w:left="862" w:hanging="360"/>
      </w:pPr>
      <w:rPr>
        <w:rFonts w:hint="default"/>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42" w15:restartNumberingAfterBreak="0">
    <w:nsid w:val="77D57EEF"/>
    <w:multiLevelType w:val="hybridMultilevel"/>
    <w:tmpl w:val="D3969E2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8E24305"/>
    <w:multiLevelType w:val="hybridMultilevel"/>
    <w:tmpl w:val="7324B6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7D062C75"/>
    <w:multiLevelType w:val="hybridMultilevel"/>
    <w:tmpl w:val="FB101FD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0"/>
  </w:num>
  <w:num w:numId="2">
    <w:abstractNumId w:val="40"/>
  </w:num>
  <w:num w:numId="3">
    <w:abstractNumId w:val="3"/>
  </w:num>
  <w:num w:numId="4">
    <w:abstractNumId w:val="13"/>
  </w:num>
  <w:num w:numId="5">
    <w:abstractNumId w:val="11"/>
  </w:num>
  <w:num w:numId="6">
    <w:abstractNumId w:val="7"/>
  </w:num>
  <w:num w:numId="7">
    <w:abstractNumId w:val="8"/>
  </w:num>
  <w:num w:numId="8">
    <w:abstractNumId w:val="25"/>
  </w:num>
  <w:num w:numId="9">
    <w:abstractNumId w:val="12"/>
  </w:num>
  <w:num w:numId="10">
    <w:abstractNumId w:val="17"/>
  </w:num>
  <w:num w:numId="11">
    <w:abstractNumId w:val="16"/>
  </w:num>
  <w:num w:numId="12">
    <w:abstractNumId w:val="28"/>
  </w:num>
  <w:num w:numId="13">
    <w:abstractNumId w:val="26"/>
  </w:num>
  <w:num w:numId="14">
    <w:abstractNumId w:val="35"/>
  </w:num>
  <w:num w:numId="15">
    <w:abstractNumId w:val="43"/>
  </w:num>
  <w:num w:numId="16">
    <w:abstractNumId w:val="44"/>
  </w:num>
  <w:num w:numId="17">
    <w:abstractNumId w:val="14"/>
  </w:num>
  <w:num w:numId="18">
    <w:abstractNumId w:val="37"/>
  </w:num>
  <w:num w:numId="19">
    <w:abstractNumId w:val="23"/>
  </w:num>
  <w:num w:numId="20">
    <w:abstractNumId w:val="27"/>
  </w:num>
  <w:num w:numId="21">
    <w:abstractNumId w:val="39"/>
  </w:num>
  <w:num w:numId="22">
    <w:abstractNumId w:val="33"/>
  </w:num>
  <w:num w:numId="23">
    <w:abstractNumId w:val="42"/>
  </w:num>
  <w:num w:numId="24">
    <w:abstractNumId w:val="38"/>
  </w:num>
  <w:num w:numId="25">
    <w:abstractNumId w:val="0"/>
  </w:num>
  <w:num w:numId="26">
    <w:abstractNumId w:val="10"/>
  </w:num>
  <w:num w:numId="27">
    <w:abstractNumId w:val="20"/>
  </w:num>
  <w:num w:numId="28">
    <w:abstractNumId w:val="18"/>
  </w:num>
  <w:num w:numId="29">
    <w:abstractNumId w:val="22"/>
  </w:num>
  <w:num w:numId="30">
    <w:abstractNumId w:val="34"/>
  </w:num>
  <w:num w:numId="31">
    <w:abstractNumId w:val="1"/>
  </w:num>
  <w:num w:numId="32">
    <w:abstractNumId w:val="6"/>
  </w:num>
  <w:num w:numId="33">
    <w:abstractNumId w:val="41"/>
  </w:num>
  <w:num w:numId="34">
    <w:abstractNumId w:val="24"/>
  </w:num>
  <w:num w:numId="35">
    <w:abstractNumId w:val="19"/>
  </w:num>
  <w:num w:numId="36">
    <w:abstractNumId w:val="29"/>
  </w:num>
  <w:num w:numId="37">
    <w:abstractNumId w:val="5"/>
  </w:num>
  <w:num w:numId="38">
    <w:abstractNumId w:val="4"/>
  </w:num>
  <w:num w:numId="39">
    <w:abstractNumId w:val="32"/>
  </w:num>
  <w:num w:numId="40">
    <w:abstractNumId w:val="31"/>
  </w:num>
  <w:num w:numId="41">
    <w:abstractNumId w:val="2"/>
  </w:num>
  <w:num w:numId="42">
    <w:abstractNumId w:val="36"/>
  </w:num>
  <w:num w:numId="43">
    <w:abstractNumId w:val="15"/>
  </w:num>
  <w:num w:numId="44">
    <w:abstractNumId w:val="9"/>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970"/>
    <w:rsid w:val="00001C22"/>
    <w:rsid w:val="00002574"/>
    <w:rsid w:val="00004211"/>
    <w:rsid w:val="0000633D"/>
    <w:rsid w:val="000071C2"/>
    <w:rsid w:val="00007A66"/>
    <w:rsid w:val="00007F2A"/>
    <w:rsid w:val="00010860"/>
    <w:rsid w:val="0001142A"/>
    <w:rsid w:val="00011835"/>
    <w:rsid w:val="000122E7"/>
    <w:rsid w:val="000165D9"/>
    <w:rsid w:val="00022E5B"/>
    <w:rsid w:val="000259CB"/>
    <w:rsid w:val="0002609D"/>
    <w:rsid w:val="00027708"/>
    <w:rsid w:val="00031826"/>
    <w:rsid w:val="00035A25"/>
    <w:rsid w:val="0003653B"/>
    <w:rsid w:val="00043AF9"/>
    <w:rsid w:val="000444D5"/>
    <w:rsid w:val="00046180"/>
    <w:rsid w:val="0005189F"/>
    <w:rsid w:val="000523F5"/>
    <w:rsid w:val="00056705"/>
    <w:rsid w:val="0006009B"/>
    <w:rsid w:val="00064546"/>
    <w:rsid w:val="00064BCC"/>
    <w:rsid w:val="00064D80"/>
    <w:rsid w:val="00067F95"/>
    <w:rsid w:val="00072970"/>
    <w:rsid w:val="00073FC5"/>
    <w:rsid w:val="000751F0"/>
    <w:rsid w:val="00082924"/>
    <w:rsid w:val="00083BD4"/>
    <w:rsid w:val="0008439F"/>
    <w:rsid w:val="00086872"/>
    <w:rsid w:val="00092A2D"/>
    <w:rsid w:val="0009356D"/>
    <w:rsid w:val="000937DE"/>
    <w:rsid w:val="00095CE1"/>
    <w:rsid w:val="00095FC9"/>
    <w:rsid w:val="000A117A"/>
    <w:rsid w:val="000A15B1"/>
    <w:rsid w:val="000A2B8F"/>
    <w:rsid w:val="000A571B"/>
    <w:rsid w:val="000A5AB2"/>
    <w:rsid w:val="000A7889"/>
    <w:rsid w:val="000B17FA"/>
    <w:rsid w:val="000B3500"/>
    <w:rsid w:val="000B375F"/>
    <w:rsid w:val="000B5B9E"/>
    <w:rsid w:val="000B6190"/>
    <w:rsid w:val="000C08D9"/>
    <w:rsid w:val="000C156F"/>
    <w:rsid w:val="000C541E"/>
    <w:rsid w:val="000C7019"/>
    <w:rsid w:val="000C7B60"/>
    <w:rsid w:val="000D11CA"/>
    <w:rsid w:val="000D141F"/>
    <w:rsid w:val="000D3F6C"/>
    <w:rsid w:val="000D47FE"/>
    <w:rsid w:val="000D491C"/>
    <w:rsid w:val="000E14A4"/>
    <w:rsid w:val="000F1200"/>
    <w:rsid w:val="000F15C4"/>
    <w:rsid w:val="000F5364"/>
    <w:rsid w:val="000F76FA"/>
    <w:rsid w:val="00104326"/>
    <w:rsid w:val="00105130"/>
    <w:rsid w:val="0010623D"/>
    <w:rsid w:val="001066A7"/>
    <w:rsid w:val="00107291"/>
    <w:rsid w:val="001102DA"/>
    <w:rsid w:val="00110B44"/>
    <w:rsid w:val="0012001A"/>
    <w:rsid w:val="00121BB3"/>
    <w:rsid w:val="00122006"/>
    <w:rsid w:val="00124078"/>
    <w:rsid w:val="00124F0A"/>
    <w:rsid w:val="00125378"/>
    <w:rsid w:val="001274AC"/>
    <w:rsid w:val="00130927"/>
    <w:rsid w:val="00130C8B"/>
    <w:rsid w:val="001315AB"/>
    <w:rsid w:val="001315FF"/>
    <w:rsid w:val="00135CAA"/>
    <w:rsid w:val="00136FA2"/>
    <w:rsid w:val="0013776F"/>
    <w:rsid w:val="00137F9D"/>
    <w:rsid w:val="00142A04"/>
    <w:rsid w:val="001461E9"/>
    <w:rsid w:val="001475FB"/>
    <w:rsid w:val="0014785B"/>
    <w:rsid w:val="0015397A"/>
    <w:rsid w:val="00154ED5"/>
    <w:rsid w:val="00154F66"/>
    <w:rsid w:val="00155DD1"/>
    <w:rsid w:val="001560F7"/>
    <w:rsid w:val="00162343"/>
    <w:rsid w:val="00165582"/>
    <w:rsid w:val="00165633"/>
    <w:rsid w:val="00166201"/>
    <w:rsid w:val="00171021"/>
    <w:rsid w:val="00171A5F"/>
    <w:rsid w:val="0017610E"/>
    <w:rsid w:val="001775AA"/>
    <w:rsid w:val="00177BBC"/>
    <w:rsid w:val="00181FAD"/>
    <w:rsid w:val="00183524"/>
    <w:rsid w:val="00185C5D"/>
    <w:rsid w:val="00190945"/>
    <w:rsid w:val="00190A74"/>
    <w:rsid w:val="0019331A"/>
    <w:rsid w:val="00194387"/>
    <w:rsid w:val="0019539D"/>
    <w:rsid w:val="001A5A96"/>
    <w:rsid w:val="001B46F8"/>
    <w:rsid w:val="001B59C5"/>
    <w:rsid w:val="001B5BFC"/>
    <w:rsid w:val="001C392F"/>
    <w:rsid w:val="001C673F"/>
    <w:rsid w:val="001D0763"/>
    <w:rsid w:val="001D39CF"/>
    <w:rsid w:val="001D68A7"/>
    <w:rsid w:val="001D6DBF"/>
    <w:rsid w:val="001E1EB5"/>
    <w:rsid w:val="001E26B2"/>
    <w:rsid w:val="001E44D0"/>
    <w:rsid w:val="001E4C4D"/>
    <w:rsid w:val="001F5B69"/>
    <w:rsid w:val="001F6C5A"/>
    <w:rsid w:val="001F7CE1"/>
    <w:rsid w:val="0020306D"/>
    <w:rsid w:val="00203EDB"/>
    <w:rsid w:val="00204527"/>
    <w:rsid w:val="00204BA3"/>
    <w:rsid w:val="00206749"/>
    <w:rsid w:val="00213A29"/>
    <w:rsid w:val="00214016"/>
    <w:rsid w:val="00214A95"/>
    <w:rsid w:val="0021744E"/>
    <w:rsid w:val="00217DE7"/>
    <w:rsid w:val="002208DC"/>
    <w:rsid w:val="00223043"/>
    <w:rsid w:val="00225825"/>
    <w:rsid w:val="00225FC3"/>
    <w:rsid w:val="002267C9"/>
    <w:rsid w:val="00227CF9"/>
    <w:rsid w:val="00230775"/>
    <w:rsid w:val="00230DC8"/>
    <w:rsid w:val="00233025"/>
    <w:rsid w:val="00242533"/>
    <w:rsid w:val="00242EAA"/>
    <w:rsid w:val="00247863"/>
    <w:rsid w:val="00247E7D"/>
    <w:rsid w:val="002506FE"/>
    <w:rsid w:val="002533F7"/>
    <w:rsid w:val="002537FE"/>
    <w:rsid w:val="00255D1C"/>
    <w:rsid w:val="00257B8C"/>
    <w:rsid w:val="00264E8A"/>
    <w:rsid w:val="002718CA"/>
    <w:rsid w:val="002719F9"/>
    <w:rsid w:val="002731B8"/>
    <w:rsid w:val="0027374C"/>
    <w:rsid w:val="00273A2A"/>
    <w:rsid w:val="00274130"/>
    <w:rsid w:val="00274DF4"/>
    <w:rsid w:val="002750B8"/>
    <w:rsid w:val="00275783"/>
    <w:rsid w:val="00281134"/>
    <w:rsid w:val="00283989"/>
    <w:rsid w:val="00284053"/>
    <w:rsid w:val="00284202"/>
    <w:rsid w:val="002849A4"/>
    <w:rsid w:val="00287ED4"/>
    <w:rsid w:val="0029383F"/>
    <w:rsid w:val="002A61CB"/>
    <w:rsid w:val="002B2316"/>
    <w:rsid w:val="002B78C0"/>
    <w:rsid w:val="002C026C"/>
    <w:rsid w:val="002C2FD9"/>
    <w:rsid w:val="002C3EEB"/>
    <w:rsid w:val="002C4EFD"/>
    <w:rsid w:val="002C58A2"/>
    <w:rsid w:val="002C625B"/>
    <w:rsid w:val="002C7979"/>
    <w:rsid w:val="002D2C40"/>
    <w:rsid w:val="002D4A7A"/>
    <w:rsid w:val="002D6BB0"/>
    <w:rsid w:val="002D7A61"/>
    <w:rsid w:val="002E04C9"/>
    <w:rsid w:val="002E14AC"/>
    <w:rsid w:val="002E78A2"/>
    <w:rsid w:val="002F48B0"/>
    <w:rsid w:val="002F706F"/>
    <w:rsid w:val="00301ED6"/>
    <w:rsid w:val="00302B8E"/>
    <w:rsid w:val="00303847"/>
    <w:rsid w:val="00304D6D"/>
    <w:rsid w:val="00306669"/>
    <w:rsid w:val="0030720A"/>
    <w:rsid w:val="00307326"/>
    <w:rsid w:val="00310482"/>
    <w:rsid w:val="00313567"/>
    <w:rsid w:val="00313ACC"/>
    <w:rsid w:val="003147FF"/>
    <w:rsid w:val="0031608D"/>
    <w:rsid w:val="00316591"/>
    <w:rsid w:val="00316D68"/>
    <w:rsid w:val="00316EF4"/>
    <w:rsid w:val="00321CA0"/>
    <w:rsid w:val="003314B8"/>
    <w:rsid w:val="00332439"/>
    <w:rsid w:val="00333362"/>
    <w:rsid w:val="00340E39"/>
    <w:rsid w:val="00343540"/>
    <w:rsid w:val="003445F7"/>
    <w:rsid w:val="00345043"/>
    <w:rsid w:val="00352D1A"/>
    <w:rsid w:val="00352ED1"/>
    <w:rsid w:val="003551FA"/>
    <w:rsid w:val="00356AEE"/>
    <w:rsid w:val="00357DA5"/>
    <w:rsid w:val="003613AE"/>
    <w:rsid w:val="003624A2"/>
    <w:rsid w:val="0036267B"/>
    <w:rsid w:val="00363356"/>
    <w:rsid w:val="00365A38"/>
    <w:rsid w:val="00367B75"/>
    <w:rsid w:val="00370062"/>
    <w:rsid w:val="0037479E"/>
    <w:rsid w:val="00375B90"/>
    <w:rsid w:val="00376DBA"/>
    <w:rsid w:val="00381C60"/>
    <w:rsid w:val="0038366F"/>
    <w:rsid w:val="00385FFF"/>
    <w:rsid w:val="00387C07"/>
    <w:rsid w:val="00390D62"/>
    <w:rsid w:val="00391666"/>
    <w:rsid w:val="00395127"/>
    <w:rsid w:val="0039531F"/>
    <w:rsid w:val="00397E2C"/>
    <w:rsid w:val="003A4709"/>
    <w:rsid w:val="003A6CB9"/>
    <w:rsid w:val="003A71D2"/>
    <w:rsid w:val="003B108F"/>
    <w:rsid w:val="003B207E"/>
    <w:rsid w:val="003B4C37"/>
    <w:rsid w:val="003B50C8"/>
    <w:rsid w:val="003B6AC6"/>
    <w:rsid w:val="003B6EB8"/>
    <w:rsid w:val="003C1924"/>
    <w:rsid w:val="003C53EC"/>
    <w:rsid w:val="003C7B17"/>
    <w:rsid w:val="003D1193"/>
    <w:rsid w:val="003D1670"/>
    <w:rsid w:val="003D1DB3"/>
    <w:rsid w:val="003D295E"/>
    <w:rsid w:val="003D3D4D"/>
    <w:rsid w:val="003D3F97"/>
    <w:rsid w:val="003D5204"/>
    <w:rsid w:val="003D58E7"/>
    <w:rsid w:val="003D7117"/>
    <w:rsid w:val="003E3855"/>
    <w:rsid w:val="003E5CB4"/>
    <w:rsid w:val="003E634C"/>
    <w:rsid w:val="003E6F61"/>
    <w:rsid w:val="003F2C9D"/>
    <w:rsid w:val="003F57F1"/>
    <w:rsid w:val="00400C2C"/>
    <w:rsid w:val="004020AE"/>
    <w:rsid w:val="00402D82"/>
    <w:rsid w:val="004064EB"/>
    <w:rsid w:val="004068C7"/>
    <w:rsid w:val="00407639"/>
    <w:rsid w:val="004116C3"/>
    <w:rsid w:val="00411CB9"/>
    <w:rsid w:val="004141AC"/>
    <w:rsid w:val="00414B8A"/>
    <w:rsid w:val="004168CA"/>
    <w:rsid w:val="004171D5"/>
    <w:rsid w:val="00417C1D"/>
    <w:rsid w:val="00420AA3"/>
    <w:rsid w:val="00421AC6"/>
    <w:rsid w:val="00421C5F"/>
    <w:rsid w:val="004228FD"/>
    <w:rsid w:val="00422C99"/>
    <w:rsid w:val="00422E06"/>
    <w:rsid w:val="00422F52"/>
    <w:rsid w:val="00423F38"/>
    <w:rsid w:val="004251C8"/>
    <w:rsid w:val="00432114"/>
    <w:rsid w:val="00432866"/>
    <w:rsid w:val="004357C3"/>
    <w:rsid w:val="004400FF"/>
    <w:rsid w:val="00445E86"/>
    <w:rsid w:val="004461C6"/>
    <w:rsid w:val="004512F4"/>
    <w:rsid w:val="00453611"/>
    <w:rsid w:val="00457F3B"/>
    <w:rsid w:val="00460AF3"/>
    <w:rsid w:val="004660F4"/>
    <w:rsid w:val="004662CD"/>
    <w:rsid w:val="00466C09"/>
    <w:rsid w:val="00467F57"/>
    <w:rsid w:val="004703D4"/>
    <w:rsid w:val="00470515"/>
    <w:rsid w:val="004715C3"/>
    <w:rsid w:val="00473D98"/>
    <w:rsid w:val="0048110D"/>
    <w:rsid w:val="00481B4F"/>
    <w:rsid w:val="00481F94"/>
    <w:rsid w:val="00491747"/>
    <w:rsid w:val="004A229C"/>
    <w:rsid w:val="004A6A3E"/>
    <w:rsid w:val="004A6DBD"/>
    <w:rsid w:val="004B01A3"/>
    <w:rsid w:val="004B024A"/>
    <w:rsid w:val="004B0307"/>
    <w:rsid w:val="004B19ED"/>
    <w:rsid w:val="004B3E1D"/>
    <w:rsid w:val="004B5015"/>
    <w:rsid w:val="004B79AC"/>
    <w:rsid w:val="004C58C5"/>
    <w:rsid w:val="004C619C"/>
    <w:rsid w:val="004C71A2"/>
    <w:rsid w:val="004D105F"/>
    <w:rsid w:val="004D1E1E"/>
    <w:rsid w:val="004D26A0"/>
    <w:rsid w:val="004D45D9"/>
    <w:rsid w:val="004D5580"/>
    <w:rsid w:val="004E0FFB"/>
    <w:rsid w:val="004E7D07"/>
    <w:rsid w:val="004F0025"/>
    <w:rsid w:val="004F07D6"/>
    <w:rsid w:val="004F19D7"/>
    <w:rsid w:val="004F1CA2"/>
    <w:rsid w:val="004F2CD3"/>
    <w:rsid w:val="004F2DB5"/>
    <w:rsid w:val="004F2FBA"/>
    <w:rsid w:val="004F2FEB"/>
    <w:rsid w:val="004F3564"/>
    <w:rsid w:val="0050060E"/>
    <w:rsid w:val="005009DC"/>
    <w:rsid w:val="0050342B"/>
    <w:rsid w:val="00504570"/>
    <w:rsid w:val="00511B4B"/>
    <w:rsid w:val="0051325D"/>
    <w:rsid w:val="0051333B"/>
    <w:rsid w:val="005136CA"/>
    <w:rsid w:val="005201F9"/>
    <w:rsid w:val="00520A59"/>
    <w:rsid w:val="00525014"/>
    <w:rsid w:val="0052557C"/>
    <w:rsid w:val="00526B60"/>
    <w:rsid w:val="005374C2"/>
    <w:rsid w:val="00537928"/>
    <w:rsid w:val="0053796E"/>
    <w:rsid w:val="00543B88"/>
    <w:rsid w:val="00543E36"/>
    <w:rsid w:val="005469C2"/>
    <w:rsid w:val="00552B76"/>
    <w:rsid w:val="005535BD"/>
    <w:rsid w:val="00554FA0"/>
    <w:rsid w:val="00562BD7"/>
    <w:rsid w:val="00562F8F"/>
    <w:rsid w:val="005705B4"/>
    <w:rsid w:val="00570FF8"/>
    <w:rsid w:val="00571C93"/>
    <w:rsid w:val="00573C16"/>
    <w:rsid w:val="00573DAB"/>
    <w:rsid w:val="0057522C"/>
    <w:rsid w:val="0058043A"/>
    <w:rsid w:val="00580850"/>
    <w:rsid w:val="005836B3"/>
    <w:rsid w:val="0059081C"/>
    <w:rsid w:val="00591B53"/>
    <w:rsid w:val="0059588B"/>
    <w:rsid w:val="00596B74"/>
    <w:rsid w:val="005A1CC3"/>
    <w:rsid w:val="005A3EE4"/>
    <w:rsid w:val="005A446C"/>
    <w:rsid w:val="005B159F"/>
    <w:rsid w:val="005B33F5"/>
    <w:rsid w:val="005B3A56"/>
    <w:rsid w:val="005B68A1"/>
    <w:rsid w:val="005B6D05"/>
    <w:rsid w:val="005C3A1C"/>
    <w:rsid w:val="005C4B6E"/>
    <w:rsid w:val="005C4C40"/>
    <w:rsid w:val="005C50EF"/>
    <w:rsid w:val="005C5FE2"/>
    <w:rsid w:val="005C7011"/>
    <w:rsid w:val="005D145C"/>
    <w:rsid w:val="005D3214"/>
    <w:rsid w:val="005D4CB1"/>
    <w:rsid w:val="005D5F75"/>
    <w:rsid w:val="005D70C7"/>
    <w:rsid w:val="005E1906"/>
    <w:rsid w:val="005E1C02"/>
    <w:rsid w:val="005E25C2"/>
    <w:rsid w:val="005E5848"/>
    <w:rsid w:val="005F1DA8"/>
    <w:rsid w:val="005F5D22"/>
    <w:rsid w:val="00600828"/>
    <w:rsid w:val="00601A90"/>
    <w:rsid w:val="006025C4"/>
    <w:rsid w:val="00602674"/>
    <w:rsid w:val="00604F02"/>
    <w:rsid w:val="00606FD4"/>
    <w:rsid w:val="00610386"/>
    <w:rsid w:val="006113D3"/>
    <w:rsid w:val="00612803"/>
    <w:rsid w:val="0061451D"/>
    <w:rsid w:val="0061594C"/>
    <w:rsid w:val="00621919"/>
    <w:rsid w:val="006227F0"/>
    <w:rsid w:val="0062409C"/>
    <w:rsid w:val="00631EA9"/>
    <w:rsid w:val="006336B8"/>
    <w:rsid w:val="00634BA0"/>
    <w:rsid w:val="0063642C"/>
    <w:rsid w:val="006370E6"/>
    <w:rsid w:val="00641BAF"/>
    <w:rsid w:val="00642DE3"/>
    <w:rsid w:val="00643985"/>
    <w:rsid w:val="00643D1C"/>
    <w:rsid w:val="00645711"/>
    <w:rsid w:val="00647B1F"/>
    <w:rsid w:val="00655A0E"/>
    <w:rsid w:val="0066093E"/>
    <w:rsid w:val="00660B78"/>
    <w:rsid w:val="00662260"/>
    <w:rsid w:val="0067429B"/>
    <w:rsid w:val="0067531A"/>
    <w:rsid w:val="0067601E"/>
    <w:rsid w:val="00681B18"/>
    <w:rsid w:val="0068299E"/>
    <w:rsid w:val="00685AC7"/>
    <w:rsid w:val="00691EA0"/>
    <w:rsid w:val="006951C4"/>
    <w:rsid w:val="00695E21"/>
    <w:rsid w:val="00695FBC"/>
    <w:rsid w:val="00696182"/>
    <w:rsid w:val="00697ECB"/>
    <w:rsid w:val="006A0FAC"/>
    <w:rsid w:val="006A1497"/>
    <w:rsid w:val="006A18F4"/>
    <w:rsid w:val="006A1A6E"/>
    <w:rsid w:val="006A1E1A"/>
    <w:rsid w:val="006A48A7"/>
    <w:rsid w:val="006A7B52"/>
    <w:rsid w:val="006B10B6"/>
    <w:rsid w:val="006B153B"/>
    <w:rsid w:val="006B17DE"/>
    <w:rsid w:val="006B32BE"/>
    <w:rsid w:val="006B3447"/>
    <w:rsid w:val="006B540A"/>
    <w:rsid w:val="006B6B08"/>
    <w:rsid w:val="006C09C9"/>
    <w:rsid w:val="006C0E46"/>
    <w:rsid w:val="006C13DC"/>
    <w:rsid w:val="006C4C99"/>
    <w:rsid w:val="006D1AA0"/>
    <w:rsid w:val="006D20C2"/>
    <w:rsid w:val="006D248F"/>
    <w:rsid w:val="006E001B"/>
    <w:rsid w:val="006E0BDF"/>
    <w:rsid w:val="006E5148"/>
    <w:rsid w:val="006F0D36"/>
    <w:rsid w:val="006F14DE"/>
    <w:rsid w:val="006F15C4"/>
    <w:rsid w:val="006F2EC0"/>
    <w:rsid w:val="006F31C8"/>
    <w:rsid w:val="006F33EB"/>
    <w:rsid w:val="006F3736"/>
    <w:rsid w:val="0070027A"/>
    <w:rsid w:val="00704CCD"/>
    <w:rsid w:val="00706502"/>
    <w:rsid w:val="00711A24"/>
    <w:rsid w:val="00712869"/>
    <w:rsid w:val="00714312"/>
    <w:rsid w:val="00716DF8"/>
    <w:rsid w:val="00717110"/>
    <w:rsid w:val="00723A1B"/>
    <w:rsid w:val="0072535E"/>
    <w:rsid w:val="00725ECC"/>
    <w:rsid w:val="00732362"/>
    <w:rsid w:val="007336B6"/>
    <w:rsid w:val="0073617F"/>
    <w:rsid w:val="00736DD3"/>
    <w:rsid w:val="00737932"/>
    <w:rsid w:val="00741875"/>
    <w:rsid w:val="00744BB0"/>
    <w:rsid w:val="00744D75"/>
    <w:rsid w:val="007453E7"/>
    <w:rsid w:val="007619BE"/>
    <w:rsid w:val="00765C05"/>
    <w:rsid w:val="00770CE7"/>
    <w:rsid w:val="007723CD"/>
    <w:rsid w:val="00772B35"/>
    <w:rsid w:val="0077494E"/>
    <w:rsid w:val="00776FC8"/>
    <w:rsid w:val="00777E71"/>
    <w:rsid w:val="00780872"/>
    <w:rsid w:val="007830A9"/>
    <w:rsid w:val="00784670"/>
    <w:rsid w:val="007872EC"/>
    <w:rsid w:val="007900EB"/>
    <w:rsid w:val="00790960"/>
    <w:rsid w:val="00790F22"/>
    <w:rsid w:val="007920F2"/>
    <w:rsid w:val="00792F09"/>
    <w:rsid w:val="007A13DC"/>
    <w:rsid w:val="007A1461"/>
    <w:rsid w:val="007A6C36"/>
    <w:rsid w:val="007A7D46"/>
    <w:rsid w:val="007B1F8B"/>
    <w:rsid w:val="007B2CD8"/>
    <w:rsid w:val="007B4ED9"/>
    <w:rsid w:val="007B567E"/>
    <w:rsid w:val="007B577B"/>
    <w:rsid w:val="007C1208"/>
    <w:rsid w:val="007C2FC6"/>
    <w:rsid w:val="007C3C81"/>
    <w:rsid w:val="007D076F"/>
    <w:rsid w:val="007D4A19"/>
    <w:rsid w:val="007D5F8D"/>
    <w:rsid w:val="007D63B1"/>
    <w:rsid w:val="007D6430"/>
    <w:rsid w:val="007E1AC0"/>
    <w:rsid w:val="007E2B8E"/>
    <w:rsid w:val="007E6EC0"/>
    <w:rsid w:val="007E77F1"/>
    <w:rsid w:val="007E78E4"/>
    <w:rsid w:val="007F013A"/>
    <w:rsid w:val="007F4939"/>
    <w:rsid w:val="00800C09"/>
    <w:rsid w:val="0080432D"/>
    <w:rsid w:val="00805B54"/>
    <w:rsid w:val="00806380"/>
    <w:rsid w:val="00810547"/>
    <w:rsid w:val="00810EBE"/>
    <w:rsid w:val="008112C8"/>
    <w:rsid w:val="00813099"/>
    <w:rsid w:val="00813279"/>
    <w:rsid w:val="008135B0"/>
    <w:rsid w:val="0081565A"/>
    <w:rsid w:val="00816EB8"/>
    <w:rsid w:val="00820D4E"/>
    <w:rsid w:val="008210D4"/>
    <w:rsid w:val="00822DE6"/>
    <w:rsid w:val="00825C8C"/>
    <w:rsid w:val="008270C3"/>
    <w:rsid w:val="00827232"/>
    <w:rsid w:val="0083013F"/>
    <w:rsid w:val="00831E9C"/>
    <w:rsid w:val="00832818"/>
    <w:rsid w:val="00833520"/>
    <w:rsid w:val="00834BCA"/>
    <w:rsid w:val="00835BFF"/>
    <w:rsid w:val="00836173"/>
    <w:rsid w:val="008366DF"/>
    <w:rsid w:val="00836D88"/>
    <w:rsid w:val="008401BB"/>
    <w:rsid w:val="00840997"/>
    <w:rsid w:val="00840D86"/>
    <w:rsid w:val="00841177"/>
    <w:rsid w:val="00846E89"/>
    <w:rsid w:val="00847C7D"/>
    <w:rsid w:val="00852969"/>
    <w:rsid w:val="0085562D"/>
    <w:rsid w:val="00860700"/>
    <w:rsid w:val="0086158C"/>
    <w:rsid w:val="00862FDF"/>
    <w:rsid w:val="00863253"/>
    <w:rsid w:val="00863ED4"/>
    <w:rsid w:val="00865296"/>
    <w:rsid w:val="00871D5A"/>
    <w:rsid w:val="00873CBC"/>
    <w:rsid w:val="0087471D"/>
    <w:rsid w:val="0087562F"/>
    <w:rsid w:val="00877050"/>
    <w:rsid w:val="008824E5"/>
    <w:rsid w:val="00883697"/>
    <w:rsid w:val="008856E3"/>
    <w:rsid w:val="00885791"/>
    <w:rsid w:val="00885E2F"/>
    <w:rsid w:val="00886711"/>
    <w:rsid w:val="00886A81"/>
    <w:rsid w:val="0088705D"/>
    <w:rsid w:val="00890A38"/>
    <w:rsid w:val="008A0EA7"/>
    <w:rsid w:val="008A14EC"/>
    <w:rsid w:val="008A2FB1"/>
    <w:rsid w:val="008A382B"/>
    <w:rsid w:val="008B2237"/>
    <w:rsid w:val="008B35DB"/>
    <w:rsid w:val="008B6621"/>
    <w:rsid w:val="008C03AE"/>
    <w:rsid w:val="008C52D3"/>
    <w:rsid w:val="008C649A"/>
    <w:rsid w:val="008C7ED4"/>
    <w:rsid w:val="008D0009"/>
    <w:rsid w:val="008D1241"/>
    <w:rsid w:val="008D2298"/>
    <w:rsid w:val="008D4A68"/>
    <w:rsid w:val="008E1DB4"/>
    <w:rsid w:val="008E5813"/>
    <w:rsid w:val="008E5CE0"/>
    <w:rsid w:val="008E7FA5"/>
    <w:rsid w:val="008F1A4F"/>
    <w:rsid w:val="008F213C"/>
    <w:rsid w:val="008F3386"/>
    <w:rsid w:val="008F4DA5"/>
    <w:rsid w:val="008F535E"/>
    <w:rsid w:val="008F58FE"/>
    <w:rsid w:val="008F6399"/>
    <w:rsid w:val="008F65CB"/>
    <w:rsid w:val="008F6623"/>
    <w:rsid w:val="00902932"/>
    <w:rsid w:val="00904690"/>
    <w:rsid w:val="0090771E"/>
    <w:rsid w:val="0090784C"/>
    <w:rsid w:val="00907FB4"/>
    <w:rsid w:val="00912605"/>
    <w:rsid w:val="00916654"/>
    <w:rsid w:val="00916ED7"/>
    <w:rsid w:val="009225D7"/>
    <w:rsid w:val="00931C1E"/>
    <w:rsid w:val="009330AF"/>
    <w:rsid w:val="009343A3"/>
    <w:rsid w:val="00935F2B"/>
    <w:rsid w:val="009368FB"/>
    <w:rsid w:val="0093751B"/>
    <w:rsid w:val="00940537"/>
    <w:rsid w:val="00940A25"/>
    <w:rsid w:val="00941599"/>
    <w:rsid w:val="00942E1F"/>
    <w:rsid w:val="00944F6E"/>
    <w:rsid w:val="00946F8E"/>
    <w:rsid w:val="00950820"/>
    <w:rsid w:val="00950D96"/>
    <w:rsid w:val="00951603"/>
    <w:rsid w:val="00952F97"/>
    <w:rsid w:val="009607CC"/>
    <w:rsid w:val="00962458"/>
    <w:rsid w:val="00965418"/>
    <w:rsid w:val="00965F65"/>
    <w:rsid w:val="009736A9"/>
    <w:rsid w:val="009768C3"/>
    <w:rsid w:val="00977F96"/>
    <w:rsid w:val="00980568"/>
    <w:rsid w:val="009808B3"/>
    <w:rsid w:val="00981259"/>
    <w:rsid w:val="00983051"/>
    <w:rsid w:val="0098736D"/>
    <w:rsid w:val="009919F1"/>
    <w:rsid w:val="009926D4"/>
    <w:rsid w:val="00994E44"/>
    <w:rsid w:val="009A0797"/>
    <w:rsid w:val="009A3D19"/>
    <w:rsid w:val="009A4FD3"/>
    <w:rsid w:val="009A6846"/>
    <w:rsid w:val="009A7C2F"/>
    <w:rsid w:val="009B6825"/>
    <w:rsid w:val="009B74EA"/>
    <w:rsid w:val="009C30C5"/>
    <w:rsid w:val="009C37D6"/>
    <w:rsid w:val="009C3AD3"/>
    <w:rsid w:val="009C5241"/>
    <w:rsid w:val="009C676B"/>
    <w:rsid w:val="009C7141"/>
    <w:rsid w:val="009C757E"/>
    <w:rsid w:val="009C7AC9"/>
    <w:rsid w:val="009C7B96"/>
    <w:rsid w:val="009D0D22"/>
    <w:rsid w:val="009D0EFC"/>
    <w:rsid w:val="009D2C3B"/>
    <w:rsid w:val="009D3A70"/>
    <w:rsid w:val="009D624E"/>
    <w:rsid w:val="009D66A6"/>
    <w:rsid w:val="009E0E70"/>
    <w:rsid w:val="009E2F09"/>
    <w:rsid w:val="009E5265"/>
    <w:rsid w:val="009E5712"/>
    <w:rsid w:val="009F2AA2"/>
    <w:rsid w:val="009F47DF"/>
    <w:rsid w:val="009F55CC"/>
    <w:rsid w:val="00A0221A"/>
    <w:rsid w:val="00A02CEC"/>
    <w:rsid w:val="00A02D59"/>
    <w:rsid w:val="00A03461"/>
    <w:rsid w:val="00A04709"/>
    <w:rsid w:val="00A052E6"/>
    <w:rsid w:val="00A065CB"/>
    <w:rsid w:val="00A11019"/>
    <w:rsid w:val="00A17663"/>
    <w:rsid w:val="00A17AB3"/>
    <w:rsid w:val="00A2277B"/>
    <w:rsid w:val="00A23121"/>
    <w:rsid w:val="00A236F6"/>
    <w:rsid w:val="00A30F43"/>
    <w:rsid w:val="00A334C9"/>
    <w:rsid w:val="00A35F48"/>
    <w:rsid w:val="00A364C5"/>
    <w:rsid w:val="00A36922"/>
    <w:rsid w:val="00A379E4"/>
    <w:rsid w:val="00A42CC1"/>
    <w:rsid w:val="00A4420B"/>
    <w:rsid w:val="00A44755"/>
    <w:rsid w:val="00A447A8"/>
    <w:rsid w:val="00A447E2"/>
    <w:rsid w:val="00A5404C"/>
    <w:rsid w:val="00A549DA"/>
    <w:rsid w:val="00A56147"/>
    <w:rsid w:val="00A57DCC"/>
    <w:rsid w:val="00A63F33"/>
    <w:rsid w:val="00A66F23"/>
    <w:rsid w:val="00A71D7F"/>
    <w:rsid w:val="00A74874"/>
    <w:rsid w:val="00A748E1"/>
    <w:rsid w:val="00A77CC9"/>
    <w:rsid w:val="00A876B0"/>
    <w:rsid w:val="00AA05F8"/>
    <w:rsid w:val="00AA127E"/>
    <w:rsid w:val="00AA4E77"/>
    <w:rsid w:val="00AA7D08"/>
    <w:rsid w:val="00AB1A60"/>
    <w:rsid w:val="00AB31F0"/>
    <w:rsid w:val="00AB35E3"/>
    <w:rsid w:val="00AB42BD"/>
    <w:rsid w:val="00AB5484"/>
    <w:rsid w:val="00AC0232"/>
    <w:rsid w:val="00AC2984"/>
    <w:rsid w:val="00AC46FD"/>
    <w:rsid w:val="00AC7C85"/>
    <w:rsid w:val="00AD6259"/>
    <w:rsid w:val="00AD6831"/>
    <w:rsid w:val="00AD7DBE"/>
    <w:rsid w:val="00AE0100"/>
    <w:rsid w:val="00AE4DC7"/>
    <w:rsid w:val="00AE5B9D"/>
    <w:rsid w:val="00AF15FE"/>
    <w:rsid w:val="00B04819"/>
    <w:rsid w:val="00B060EC"/>
    <w:rsid w:val="00B072B6"/>
    <w:rsid w:val="00B137D7"/>
    <w:rsid w:val="00B153E8"/>
    <w:rsid w:val="00B21788"/>
    <w:rsid w:val="00B232CE"/>
    <w:rsid w:val="00B23C6F"/>
    <w:rsid w:val="00B23E9B"/>
    <w:rsid w:val="00B24D5A"/>
    <w:rsid w:val="00B30C3D"/>
    <w:rsid w:val="00B31FC0"/>
    <w:rsid w:val="00B363EB"/>
    <w:rsid w:val="00B41011"/>
    <w:rsid w:val="00B4114A"/>
    <w:rsid w:val="00B41B0D"/>
    <w:rsid w:val="00B43400"/>
    <w:rsid w:val="00B504BD"/>
    <w:rsid w:val="00B50588"/>
    <w:rsid w:val="00B506AA"/>
    <w:rsid w:val="00B52CF8"/>
    <w:rsid w:val="00B532CE"/>
    <w:rsid w:val="00B55A83"/>
    <w:rsid w:val="00B56F41"/>
    <w:rsid w:val="00B64339"/>
    <w:rsid w:val="00B66209"/>
    <w:rsid w:val="00B66E94"/>
    <w:rsid w:val="00B70967"/>
    <w:rsid w:val="00B71C04"/>
    <w:rsid w:val="00B73723"/>
    <w:rsid w:val="00B77ADB"/>
    <w:rsid w:val="00B83A38"/>
    <w:rsid w:val="00B83B9E"/>
    <w:rsid w:val="00B85A25"/>
    <w:rsid w:val="00B85D8E"/>
    <w:rsid w:val="00B86083"/>
    <w:rsid w:val="00B863E4"/>
    <w:rsid w:val="00B91449"/>
    <w:rsid w:val="00B940DB"/>
    <w:rsid w:val="00B960B5"/>
    <w:rsid w:val="00B97154"/>
    <w:rsid w:val="00BA09F7"/>
    <w:rsid w:val="00BA169B"/>
    <w:rsid w:val="00BA2052"/>
    <w:rsid w:val="00BA27B5"/>
    <w:rsid w:val="00BA2FB5"/>
    <w:rsid w:val="00BA6DA9"/>
    <w:rsid w:val="00BB0698"/>
    <w:rsid w:val="00BB26BC"/>
    <w:rsid w:val="00BB4457"/>
    <w:rsid w:val="00BB636E"/>
    <w:rsid w:val="00BC6A6E"/>
    <w:rsid w:val="00BC6F79"/>
    <w:rsid w:val="00BD0D9A"/>
    <w:rsid w:val="00BD0EC2"/>
    <w:rsid w:val="00BD6256"/>
    <w:rsid w:val="00BD64CB"/>
    <w:rsid w:val="00BE0E58"/>
    <w:rsid w:val="00BE3967"/>
    <w:rsid w:val="00BE505D"/>
    <w:rsid w:val="00BF313C"/>
    <w:rsid w:val="00BF6F66"/>
    <w:rsid w:val="00C00FB9"/>
    <w:rsid w:val="00C02288"/>
    <w:rsid w:val="00C03C08"/>
    <w:rsid w:val="00C04146"/>
    <w:rsid w:val="00C07C51"/>
    <w:rsid w:val="00C108CF"/>
    <w:rsid w:val="00C15BB9"/>
    <w:rsid w:val="00C1629B"/>
    <w:rsid w:val="00C165C3"/>
    <w:rsid w:val="00C17894"/>
    <w:rsid w:val="00C20ABD"/>
    <w:rsid w:val="00C21F6A"/>
    <w:rsid w:val="00C225E8"/>
    <w:rsid w:val="00C2363D"/>
    <w:rsid w:val="00C26440"/>
    <w:rsid w:val="00C32BDA"/>
    <w:rsid w:val="00C32EDE"/>
    <w:rsid w:val="00C345E0"/>
    <w:rsid w:val="00C35706"/>
    <w:rsid w:val="00C377F1"/>
    <w:rsid w:val="00C43A07"/>
    <w:rsid w:val="00C45E15"/>
    <w:rsid w:val="00C50FC5"/>
    <w:rsid w:val="00C51921"/>
    <w:rsid w:val="00C525A9"/>
    <w:rsid w:val="00C549E7"/>
    <w:rsid w:val="00C6005A"/>
    <w:rsid w:val="00C657DE"/>
    <w:rsid w:val="00C705BD"/>
    <w:rsid w:val="00C72021"/>
    <w:rsid w:val="00C721B1"/>
    <w:rsid w:val="00C76488"/>
    <w:rsid w:val="00C76709"/>
    <w:rsid w:val="00C80F91"/>
    <w:rsid w:val="00C820CC"/>
    <w:rsid w:val="00C83433"/>
    <w:rsid w:val="00C83826"/>
    <w:rsid w:val="00C83E27"/>
    <w:rsid w:val="00C847A3"/>
    <w:rsid w:val="00C8602A"/>
    <w:rsid w:val="00C867B1"/>
    <w:rsid w:val="00C86F71"/>
    <w:rsid w:val="00C9056A"/>
    <w:rsid w:val="00C94E20"/>
    <w:rsid w:val="00C951F2"/>
    <w:rsid w:val="00CA0AB1"/>
    <w:rsid w:val="00CA1285"/>
    <w:rsid w:val="00CA6EC3"/>
    <w:rsid w:val="00CB1D16"/>
    <w:rsid w:val="00CB1E32"/>
    <w:rsid w:val="00CB38FE"/>
    <w:rsid w:val="00CB7D1C"/>
    <w:rsid w:val="00CB7F48"/>
    <w:rsid w:val="00CC0564"/>
    <w:rsid w:val="00CC0929"/>
    <w:rsid w:val="00CC0B06"/>
    <w:rsid w:val="00CC116A"/>
    <w:rsid w:val="00CC1FD2"/>
    <w:rsid w:val="00CC2167"/>
    <w:rsid w:val="00CC662D"/>
    <w:rsid w:val="00CC6913"/>
    <w:rsid w:val="00CD0B7F"/>
    <w:rsid w:val="00CD0E9D"/>
    <w:rsid w:val="00CD3F79"/>
    <w:rsid w:val="00CD7EB5"/>
    <w:rsid w:val="00CE0D2C"/>
    <w:rsid w:val="00CE32CC"/>
    <w:rsid w:val="00CE42BF"/>
    <w:rsid w:val="00CE66C3"/>
    <w:rsid w:val="00CF0BE8"/>
    <w:rsid w:val="00CF13A0"/>
    <w:rsid w:val="00CF27F6"/>
    <w:rsid w:val="00CF4EA4"/>
    <w:rsid w:val="00CF6F98"/>
    <w:rsid w:val="00CF78E5"/>
    <w:rsid w:val="00D004BF"/>
    <w:rsid w:val="00D00756"/>
    <w:rsid w:val="00D00A59"/>
    <w:rsid w:val="00D063AB"/>
    <w:rsid w:val="00D10497"/>
    <w:rsid w:val="00D15A39"/>
    <w:rsid w:val="00D160AC"/>
    <w:rsid w:val="00D167E5"/>
    <w:rsid w:val="00D168E4"/>
    <w:rsid w:val="00D24613"/>
    <w:rsid w:val="00D3395C"/>
    <w:rsid w:val="00D33CE4"/>
    <w:rsid w:val="00D35201"/>
    <w:rsid w:val="00D414B2"/>
    <w:rsid w:val="00D434EF"/>
    <w:rsid w:val="00D50383"/>
    <w:rsid w:val="00D5137A"/>
    <w:rsid w:val="00D51C98"/>
    <w:rsid w:val="00D555EC"/>
    <w:rsid w:val="00D6005A"/>
    <w:rsid w:val="00D60E89"/>
    <w:rsid w:val="00D63F72"/>
    <w:rsid w:val="00D641DB"/>
    <w:rsid w:val="00D65177"/>
    <w:rsid w:val="00D66FB2"/>
    <w:rsid w:val="00D70415"/>
    <w:rsid w:val="00D76728"/>
    <w:rsid w:val="00D80001"/>
    <w:rsid w:val="00D8202C"/>
    <w:rsid w:val="00D82FCC"/>
    <w:rsid w:val="00D84A04"/>
    <w:rsid w:val="00D8581E"/>
    <w:rsid w:val="00D92736"/>
    <w:rsid w:val="00D9682C"/>
    <w:rsid w:val="00D9712C"/>
    <w:rsid w:val="00DA4E40"/>
    <w:rsid w:val="00DA5647"/>
    <w:rsid w:val="00DB1990"/>
    <w:rsid w:val="00DB3A16"/>
    <w:rsid w:val="00DB4D03"/>
    <w:rsid w:val="00DB4D84"/>
    <w:rsid w:val="00DB5F73"/>
    <w:rsid w:val="00DB60B1"/>
    <w:rsid w:val="00DB6A90"/>
    <w:rsid w:val="00DC184F"/>
    <w:rsid w:val="00DC2794"/>
    <w:rsid w:val="00DC3543"/>
    <w:rsid w:val="00DC529A"/>
    <w:rsid w:val="00DD03CC"/>
    <w:rsid w:val="00DD294D"/>
    <w:rsid w:val="00DD4B30"/>
    <w:rsid w:val="00DD54D5"/>
    <w:rsid w:val="00DE2270"/>
    <w:rsid w:val="00DE55C4"/>
    <w:rsid w:val="00DE5CC6"/>
    <w:rsid w:val="00DF20C9"/>
    <w:rsid w:val="00DF31E1"/>
    <w:rsid w:val="00DF392A"/>
    <w:rsid w:val="00DF5E46"/>
    <w:rsid w:val="00DF6FA9"/>
    <w:rsid w:val="00DF711D"/>
    <w:rsid w:val="00DF769C"/>
    <w:rsid w:val="00DF7A5E"/>
    <w:rsid w:val="00E016A1"/>
    <w:rsid w:val="00E05F4F"/>
    <w:rsid w:val="00E05FF6"/>
    <w:rsid w:val="00E06B79"/>
    <w:rsid w:val="00E06CDE"/>
    <w:rsid w:val="00E07B32"/>
    <w:rsid w:val="00E12D79"/>
    <w:rsid w:val="00E13FEA"/>
    <w:rsid w:val="00E14228"/>
    <w:rsid w:val="00E1763A"/>
    <w:rsid w:val="00E22550"/>
    <w:rsid w:val="00E25A42"/>
    <w:rsid w:val="00E27DE9"/>
    <w:rsid w:val="00E300D5"/>
    <w:rsid w:val="00E33C2B"/>
    <w:rsid w:val="00E350D1"/>
    <w:rsid w:val="00E36519"/>
    <w:rsid w:val="00E460E3"/>
    <w:rsid w:val="00E54D89"/>
    <w:rsid w:val="00E552DA"/>
    <w:rsid w:val="00E56E12"/>
    <w:rsid w:val="00E61926"/>
    <w:rsid w:val="00E62A5D"/>
    <w:rsid w:val="00E64CBB"/>
    <w:rsid w:val="00E652BB"/>
    <w:rsid w:val="00E65A6C"/>
    <w:rsid w:val="00E66A87"/>
    <w:rsid w:val="00E70874"/>
    <w:rsid w:val="00E7184B"/>
    <w:rsid w:val="00E719CB"/>
    <w:rsid w:val="00E71D60"/>
    <w:rsid w:val="00E725D6"/>
    <w:rsid w:val="00E72DE3"/>
    <w:rsid w:val="00E7338F"/>
    <w:rsid w:val="00E74FD0"/>
    <w:rsid w:val="00E82D01"/>
    <w:rsid w:val="00E86E40"/>
    <w:rsid w:val="00E878C9"/>
    <w:rsid w:val="00E87942"/>
    <w:rsid w:val="00E91260"/>
    <w:rsid w:val="00E912F9"/>
    <w:rsid w:val="00E94D6A"/>
    <w:rsid w:val="00E967A7"/>
    <w:rsid w:val="00EA1141"/>
    <w:rsid w:val="00EA27D3"/>
    <w:rsid w:val="00EA35C1"/>
    <w:rsid w:val="00EA669D"/>
    <w:rsid w:val="00EB152D"/>
    <w:rsid w:val="00EB2BC7"/>
    <w:rsid w:val="00EB2C03"/>
    <w:rsid w:val="00EB77AF"/>
    <w:rsid w:val="00EC318F"/>
    <w:rsid w:val="00EC3EF5"/>
    <w:rsid w:val="00ED03B3"/>
    <w:rsid w:val="00ED067E"/>
    <w:rsid w:val="00ED1BE3"/>
    <w:rsid w:val="00ED2083"/>
    <w:rsid w:val="00ED298C"/>
    <w:rsid w:val="00ED3AB7"/>
    <w:rsid w:val="00ED4FE4"/>
    <w:rsid w:val="00ED7344"/>
    <w:rsid w:val="00EE3BA7"/>
    <w:rsid w:val="00EE5806"/>
    <w:rsid w:val="00EE6167"/>
    <w:rsid w:val="00EE75E7"/>
    <w:rsid w:val="00EE7A5B"/>
    <w:rsid w:val="00EF4C21"/>
    <w:rsid w:val="00EF5668"/>
    <w:rsid w:val="00EF7089"/>
    <w:rsid w:val="00F01C03"/>
    <w:rsid w:val="00F04F02"/>
    <w:rsid w:val="00F06EDC"/>
    <w:rsid w:val="00F13063"/>
    <w:rsid w:val="00F15499"/>
    <w:rsid w:val="00F25BFA"/>
    <w:rsid w:val="00F270AF"/>
    <w:rsid w:val="00F27F46"/>
    <w:rsid w:val="00F32AAA"/>
    <w:rsid w:val="00F3594E"/>
    <w:rsid w:val="00F44B31"/>
    <w:rsid w:val="00F45627"/>
    <w:rsid w:val="00F45BCB"/>
    <w:rsid w:val="00F46BF5"/>
    <w:rsid w:val="00F46E03"/>
    <w:rsid w:val="00F508B3"/>
    <w:rsid w:val="00F64E4B"/>
    <w:rsid w:val="00F677FC"/>
    <w:rsid w:val="00F76459"/>
    <w:rsid w:val="00F805AB"/>
    <w:rsid w:val="00F8089A"/>
    <w:rsid w:val="00F83105"/>
    <w:rsid w:val="00F84423"/>
    <w:rsid w:val="00F84E6B"/>
    <w:rsid w:val="00F90043"/>
    <w:rsid w:val="00F9059B"/>
    <w:rsid w:val="00F920A7"/>
    <w:rsid w:val="00F93B8A"/>
    <w:rsid w:val="00F93CD8"/>
    <w:rsid w:val="00F9533F"/>
    <w:rsid w:val="00F9543C"/>
    <w:rsid w:val="00F95F32"/>
    <w:rsid w:val="00F96026"/>
    <w:rsid w:val="00F96918"/>
    <w:rsid w:val="00F96EF0"/>
    <w:rsid w:val="00F97D7C"/>
    <w:rsid w:val="00F97F2D"/>
    <w:rsid w:val="00FA1F62"/>
    <w:rsid w:val="00FA2896"/>
    <w:rsid w:val="00FA2970"/>
    <w:rsid w:val="00FA2D56"/>
    <w:rsid w:val="00FA32DA"/>
    <w:rsid w:val="00FA4A2F"/>
    <w:rsid w:val="00FB1BAF"/>
    <w:rsid w:val="00FC3F99"/>
    <w:rsid w:val="00FC4825"/>
    <w:rsid w:val="00FC492E"/>
    <w:rsid w:val="00FD16FD"/>
    <w:rsid w:val="00FE111C"/>
    <w:rsid w:val="00FE1487"/>
    <w:rsid w:val="00FE2913"/>
    <w:rsid w:val="00FE31BD"/>
    <w:rsid w:val="00FE448D"/>
    <w:rsid w:val="00FE497E"/>
    <w:rsid w:val="00FE4B0A"/>
    <w:rsid w:val="00FE53B7"/>
    <w:rsid w:val="00FE5933"/>
    <w:rsid w:val="00FE5BCF"/>
    <w:rsid w:val="00FE6FAD"/>
    <w:rsid w:val="00FE71CB"/>
    <w:rsid w:val="00FF0B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C9D44"/>
  <w15:chartTrackingRefBased/>
  <w15:docId w15:val="{736DCC6F-B5BA-4D0E-81E3-0536CA0C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0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6E03"/>
    <w:pPr>
      <w:ind w:left="720"/>
      <w:contextualSpacing/>
    </w:pPr>
  </w:style>
  <w:style w:type="paragraph" w:styleId="Textonotapie">
    <w:name w:val="footnote text"/>
    <w:basedOn w:val="Normal"/>
    <w:link w:val="TextonotapieCar"/>
    <w:uiPriority w:val="99"/>
    <w:semiHidden/>
    <w:unhideWhenUsed/>
    <w:rsid w:val="00F46E03"/>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6E03"/>
    <w:rPr>
      <w:sz w:val="20"/>
      <w:szCs w:val="20"/>
    </w:rPr>
  </w:style>
  <w:style w:type="character" w:styleId="Refdenotaalpie">
    <w:name w:val="footnote reference"/>
    <w:basedOn w:val="Fuentedeprrafopredeter"/>
    <w:uiPriority w:val="99"/>
    <w:semiHidden/>
    <w:unhideWhenUsed/>
    <w:rsid w:val="00F46E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2E5450-E359-4826-8D5C-C8F0842E7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2514</TotalTime>
  <Pages>16</Pages>
  <Words>4618</Words>
  <Characters>25404</Characters>
  <Application>Microsoft Office Word</Application>
  <DocSecurity>0</DocSecurity>
  <Lines>211</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Alejandro Aldana Fong</dc:creator>
  <cp:keywords/>
  <dc:description/>
  <cp:lastModifiedBy>Alejandro Aldana Fong</cp:lastModifiedBy>
  <cp:revision>847</cp:revision>
  <dcterms:created xsi:type="dcterms:W3CDTF">2022-06-27T14:54:00Z</dcterms:created>
  <dcterms:modified xsi:type="dcterms:W3CDTF">2022-10-28T19:46:00Z</dcterms:modified>
</cp:coreProperties>
</file>